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环江毛南族自治县下南乡初级中学2022年度部门决算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520" w:firstLineChars="700"/>
        <w:jc w:val="left"/>
        <w:rPr>
          <w:rFonts w:hint="eastAsia" w:ascii="黑体" w:hAnsi="黑体" w:eastAsia="黑体" w:cs="仿宋"/>
          <w:sz w:val="36"/>
          <w:szCs w:val="36"/>
          <w:lang w:val="en-US" w:eastAsia="zh-CN"/>
        </w:rPr>
      </w:pPr>
      <w:r>
        <w:rPr>
          <w:rFonts w:hint="eastAsia" w:ascii="黑体" w:hAnsi="黑体" w:eastAsia="黑体" w:cs="仿宋"/>
          <w:sz w:val="36"/>
          <w:szCs w:val="36"/>
        </w:rPr>
        <w:t>单位负责人:</w:t>
      </w:r>
      <w:r>
        <w:rPr>
          <w:rFonts w:hint="eastAsia" w:ascii="黑体" w:hAnsi="黑体" w:eastAsia="黑体" w:cs="仿宋"/>
          <w:sz w:val="36"/>
          <w:szCs w:val="36"/>
          <w:lang w:val="en-US" w:eastAsia="zh-CN"/>
        </w:rPr>
        <w:t>卢仕通</w:t>
      </w:r>
    </w:p>
    <w:p>
      <w:pPr>
        <w:ind w:firstLine="3253" w:firstLineChars="900"/>
        <w:jc w:val="both"/>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环江毛南族自治县下南乡初级中学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环江毛南族自治县下南乡初级中学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环江毛南族自治县下南乡初级中学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环江毛南族自治县下南乡初级中学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（一）贯彻执行党和国家的教育方针、政策和法律法规；拟订全</w:t>
      </w:r>
      <w:r>
        <w:rPr>
          <w:rFonts w:hint="eastAsia" w:ascii="仿宋_GB2312" w:eastAsia="仿宋_GB2312" w:cs="仿宋_GB2312"/>
          <w:kern w:val="0"/>
          <w:sz w:val="32"/>
          <w:szCs w:val="32"/>
          <w:lang w:eastAsia="zh-CN"/>
        </w:rPr>
        <w:t>乡</w:t>
      </w:r>
      <w:r>
        <w:rPr>
          <w:rFonts w:hint="eastAsia" w:ascii="仿宋_GB2312" w:eastAsia="仿宋_GB2312" w:cs="仿宋_GB2312"/>
          <w:kern w:val="0"/>
          <w:sz w:val="32"/>
          <w:szCs w:val="32"/>
        </w:rPr>
        <w:t>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（二）编制</w:t>
      </w:r>
      <w:r>
        <w:rPr>
          <w:rFonts w:hint="eastAsia" w:ascii="仿宋_GB2312" w:eastAsia="仿宋_GB2312" w:cs="仿宋_GB2312"/>
          <w:kern w:val="0"/>
          <w:sz w:val="32"/>
          <w:szCs w:val="32"/>
          <w:lang w:val="en-US" w:eastAsia="zh-CN"/>
        </w:rPr>
        <w:t>学习</w:t>
      </w:r>
      <w:r>
        <w:rPr>
          <w:rFonts w:hint="eastAsia" w:ascii="仿宋_GB2312" w:eastAsia="仿宋_GB2312" w:cs="仿宋_GB2312"/>
          <w:kern w:val="0"/>
          <w:sz w:val="32"/>
          <w:szCs w:val="32"/>
        </w:rPr>
        <w:t>教育事业发展规划并检查实施情况，向自治县</w:t>
      </w:r>
      <w:r>
        <w:rPr>
          <w:rFonts w:hint="eastAsia" w:ascii="仿宋_GB2312" w:eastAsia="仿宋_GB2312" w:cs="仿宋_GB2312"/>
          <w:kern w:val="0"/>
          <w:sz w:val="32"/>
          <w:szCs w:val="32"/>
          <w:lang w:val="en-US" w:eastAsia="zh-CN"/>
        </w:rPr>
        <w:t>教育局</w:t>
      </w:r>
      <w:r>
        <w:rPr>
          <w:rFonts w:hint="eastAsia" w:ascii="仿宋_GB2312" w:eastAsia="仿宋_GB2312" w:cs="仿宋_GB2312"/>
          <w:kern w:val="0"/>
          <w:sz w:val="32"/>
          <w:szCs w:val="32"/>
        </w:rPr>
        <w:t>和上级教育部门作出报告。</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（三）督促检查</w:t>
      </w:r>
      <w:r>
        <w:rPr>
          <w:rFonts w:hint="eastAsia" w:ascii="仿宋_GB2312" w:eastAsia="仿宋_GB2312" w:cs="仿宋_GB2312"/>
          <w:kern w:val="0"/>
          <w:sz w:val="32"/>
          <w:szCs w:val="32"/>
          <w:lang w:val="en-US" w:eastAsia="zh-CN"/>
        </w:rPr>
        <w:t>学校</w:t>
      </w:r>
      <w:r>
        <w:rPr>
          <w:rFonts w:hint="eastAsia" w:ascii="仿宋_GB2312" w:eastAsia="仿宋_GB2312" w:cs="仿宋_GB2312"/>
          <w:kern w:val="0"/>
          <w:sz w:val="32"/>
          <w:szCs w:val="32"/>
        </w:rPr>
        <w:t>贯彻执行教育方针、政策、法令、法规和上级的各项规定；评估指导</w:t>
      </w:r>
      <w:r>
        <w:rPr>
          <w:rFonts w:hint="eastAsia" w:ascii="仿宋_GB2312" w:eastAsia="仿宋_GB2312" w:cs="仿宋_GB2312"/>
          <w:kern w:val="0"/>
          <w:sz w:val="32"/>
          <w:szCs w:val="32"/>
          <w:lang w:val="en-US" w:eastAsia="zh-CN"/>
        </w:rPr>
        <w:t>学校</w:t>
      </w:r>
      <w:r>
        <w:rPr>
          <w:rFonts w:hint="eastAsia" w:ascii="仿宋_GB2312" w:eastAsia="仿宋_GB2312" w:cs="仿宋_GB2312"/>
          <w:kern w:val="0"/>
          <w:sz w:val="32"/>
          <w:szCs w:val="32"/>
        </w:rPr>
        <w:t>教育教学工作。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（四）负责推进义务教育均衡发展和促进教育公平，负责义务教育的宏观指导与协调。</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hAnsi="宋体" w:eastAsia="仿宋_GB2312" w:cs="宋体"/>
          <w:sz w:val="32"/>
          <w:szCs w:val="32"/>
          <w:lang w:eastAsia="zh-CN"/>
        </w:rPr>
        <w:t>负责</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教师队伍建设，包括</w:t>
      </w:r>
      <w:r>
        <w:rPr>
          <w:rFonts w:hint="eastAsia" w:ascii="仿宋_GB2312" w:hAnsi="宋体" w:eastAsia="仿宋_GB2312" w:cs="宋体"/>
          <w:sz w:val="32"/>
          <w:szCs w:val="32"/>
          <w:lang w:val="en-US" w:eastAsia="zh-CN"/>
        </w:rPr>
        <w:t>班子成员</w:t>
      </w:r>
      <w:r>
        <w:rPr>
          <w:rFonts w:hint="eastAsia" w:ascii="仿宋_GB2312" w:hAnsi="宋体" w:eastAsia="仿宋_GB2312" w:cs="宋体"/>
          <w:sz w:val="32"/>
          <w:szCs w:val="32"/>
          <w:lang w:eastAsia="zh-CN"/>
        </w:rPr>
        <w:t>培训、后备干部队伍建设、教师学历教育、继续教育等。</w:t>
      </w:r>
      <w:r>
        <w:rPr>
          <w:rFonts w:hint="eastAsia" w:ascii="仿宋_GB2312" w:eastAsia="仿宋_GB2312" w:cs="仿宋_GB2312"/>
          <w:kern w:val="0"/>
          <w:sz w:val="32"/>
          <w:szCs w:val="32"/>
        </w:rPr>
        <w:t>    </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eastAsia="仿宋_GB2312" w:cs="仿宋_GB2312"/>
          <w:kern w:val="0"/>
          <w:sz w:val="32"/>
          <w:szCs w:val="32"/>
        </w:rPr>
        <w:t>（六）</w:t>
      </w:r>
      <w:r>
        <w:rPr>
          <w:rFonts w:hint="eastAsia" w:ascii="仿宋_GB2312" w:hAnsi="宋体" w:eastAsia="仿宋_GB2312" w:cs="宋体"/>
          <w:sz w:val="32"/>
          <w:szCs w:val="32"/>
          <w:lang w:eastAsia="zh-CN"/>
        </w:rPr>
        <w:t>负责组织</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做好中考、</w:t>
      </w:r>
      <w:r>
        <w:rPr>
          <w:rFonts w:hint="eastAsia" w:ascii="仿宋_GB2312" w:hAnsi="宋体" w:eastAsia="仿宋_GB2312" w:cs="宋体"/>
          <w:sz w:val="32"/>
          <w:szCs w:val="32"/>
          <w:lang w:val="en-US" w:eastAsia="zh-CN"/>
        </w:rPr>
        <w:t>填报志愿</w:t>
      </w:r>
      <w:r>
        <w:rPr>
          <w:rFonts w:hint="eastAsia" w:ascii="仿宋_GB2312" w:hAnsi="宋体" w:eastAsia="仿宋_GB2312" w:cs="宋体"/>
          <w:sz w:val="32"/>
          <w:szCs w:val="32"/>
          <w:lang w:eastAsia="zh-CN"/>
        </w:rPr>
        <w:t>工作和学籍管理工作。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（七）按照中央关于全面推进素质教育要求，负责教育教学管理、教育教学改革及教育教学科学研究工作，检查指导</w:t>
      </w:r>
      <w:r>
        <w:rPr>
          <w:rFonts w:hint="eastAsia" w:ascii="仿宋_GB2312" w:eastAsia="仿宋_GB2312" w:cs="仿宋_GB2312"/>
          <w:kern w:val="0"/>
          <w:sz w:val="32"/>
          <w:szCs w:val="32"/>
          <w:lang w:val="en-US" w:eastAsia="zh-CN"/>
        </w:rPr>
        <w:t>学校</w:t>
      </w:r>
      <w:r>
        <w:rPr>
          <w:rFonts w:hint="eastAsia" w:ascii="仿宋_GB2312" w:eastAsia="仿宋_GB2312" w:cs="仿宋_GB2312"/>
          <w:kern w:val="0"/>
          <w:sz w:val="32"/>
          <w:szCs w:val="32"/>
        </w:rPr>
        <w:t>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（八）检查指导学校教育教学设备的装备、管理和使用工作。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（九）检查指导</w:t>
      </w:r>
      <w:r>
        <w:rPr>
          <w:rFonts w:hint="eastAsia" w:ascii="仿宋_GB2312" w:eastAsia="仿宋_GB2312" w:cs="仿宋_GB2312"/>
          <w:kern w:val="0"/>
          <w:sz w:val="32"/>
          <w:szCs w:val="32"/>
          <w:lang w:val="en-US" w:eastAsia="zh-CN"/>
        </w:rPr>
        <w:t>学校</w:t>
      </w:r>
      <w:r>
        <w:rPr>
          <w:rFonts w:hint="eastAsia" w:ascii="仿宋_GB2312" w:eastAsia="仿宋_GB2312" w:cs="仿宋_GB2312"/>
          <w:kern w:val="0"/>
          <w:sz w:val="32"/>
          <w:szCs w:val="32"/>
        </w:rPr>
        <w:t>开展电化教育和信息化教学工作。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（十）</w:t>
      </w:r>
      <w:r>
        <w:rPr>
          <w:rFonts w:hint="eastAsia" w:ascii="仿宋_GB2312" w:hAnsi="宋体" w:eastAsia="仿宋_GB2312" w:cs="宋体"/>
          <w:sz w:val="32"/>
          <w:szCs w:val="32"/>
          <w:lang w:eastAsia="zh-CN"/>
        </w:rPr>
        <w:t>负责</w:t>
      </w:r>
      <w:r>
        <w:rPr>
          <w:rFonts w:hint="eastAsia" w:ascii="仿宋_GB2312" w:hAnsi="宋体" w:eastAsia="仿宋_GB2312" w:cs="宋体"/>
          <w:sz w:val="32"/>
          <w:szCs w:val="32"/>
          <w:lang w:val="en-US" w:eastAsia="zh-CN"/>
        </w:rPr>
        <w:t>组织</w:t>
      </w:r>
      <w:r>
        <w:rPr>
          <w:rFonts w:hint="eastAsia" w:ascii="仿宋_GB2312" w:hAnsi="宋体" w:eastAsia="仿宋_GB2312" w:cs="宋体"/>
          <w:sz w:val="32"/>
          <w:szCs w:val="32"/>
          <w:lang w:eastAsia="zh-CN"/>
        </w:rPr>
        <w:t>教师</w:t>
      </w:r>
      <w:r>
        <w:rPr>
          <w:rFonts w:hint="eastAsia" w:ascii="仿宋_GB2312" w:hAnsi="宋体" w:eastAsia="仿宋_GB2312" w:cs="宋体"/>
          <w:sz w:val="32"/>
          <w:szCs w:val="32"/>
          <w:lang w:val="en-US" w:eastAsia="zh-CN"/>
        </w:rPr>
        <w:t>进行</w:t>
      </w:r>
      <w:r>
        <w:rPr>
          <w:rFonts w:hint="eastAsia" w:ascii="仿宋_GB2312" w:hAnsi="宋体" w:eastAsia="仿宋_GB2312" w:cs="宋体"/>
          <w:sz w:val="32"/>
          <w:szCs w:val="32"/>
          <w:lang w:eastAsia="zh-CN"/>
        </w:rPr>
        <w:t>专业技术职务资格的申报工作。按照管理权限对教师进行考核、聘任、奖惩、晋升等工作。</w:t>
      </w: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（十一）负责监督</w:t>
      </w:r>
      <w:r>
        <w:rPr>
          <w:rFonts w:hint="eastAsia" w:ascii="仿宋_GB2312" w:eastAsia="仿宋_GB2312" w:cs="仿宋_GB2312"/>
          <w:kern w:val="0"/>
          <w:sz w:val="32"/>
          <w:szCs w:val="32"/>
          <w:lang w:val="en-US" w:eastAsia="zh-CN"/>
        </w:rPr>
        <w:t>学校</w:t>
      </w:r>
      <w:r>
        <w:rPr>
          <w:rFonts w:hint="eastAsia" w:ascii="仿宋_GB2312" w:eastAsia="仿宋_GB2312" w:cs="仿宋_GB2312"/>
          <w:kern w:val="0"/>
          <w:sz w:val="32"/>
          <w:szCs w:val="32"/>
        </w:rPr>
        <w:t>教育经费和教育基建经费拨付及教育附加费和教育费附加的征收、管理与使用工作。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eastAsia="仿宋_GB2312" w:cs="仿宋_GB2312"/>
          <w:kern w:val="0"/>
          <w:sz w:val="32"/>
          <w:szCs w:val="32"/>
        </w:rPr>
        <w:t>（十二）</w:t>
      </w:r>
      <w:r>
        <w:rPr>
          <w:rFonts w:hint="eastAsia" w:ascii="仿宋_GB2312" w:hAnsi="宋体" w:eastAsia="仿宋_GB2312" w:cs="宋体"/>
          <w:sz w:val="32"/>
          <w:szCs w:val="32"/>
          <w:lang w:eastAsia="zh-CN"/>
        </w:rPr>
        <w:t>负责</w:t>
      </w:r>
      <w:r>
        <w:rPr>
          <w:rFonts w:hint="eastAsia" w:ascii="仿宋_GB2312" w:hAnsi="宋体" w:eastAsia="仿宋_GB2312" w:cs="宋体"/>
          <w:sz w:val="32"/>
          <w:szCs w:val="32"/>
          <w:lang w:val="en-US" w:eastAsia="zh-CN"/>
        </w:rPr>
        <w:t>学</w:t>
      </w:r>
      <w:r>
        <w:rPr>
          <w:rFonts w:hint="eastAsia" w:ascii="仿宋_GB2312" w:hAnsi="宋体" w:eastAsia="仿宋_GB2312" w:cs="宋体"/>
          <w:sz w:val="32"/>
          <w:szCs w:val="32"/>
          <w:lang w:eastAsia="zh-CN"/>
        </w:rPr>
        <w:t>校教学教育常规管理评估工作，指导</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德育、体育、卫生、艺术、安全工作以及团组织工作。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（十三）指导</w:t>
      </w:r>
      <w:r>
        <w:rPr>
          <w:rFonts w:hint="eastAsia" w:ascii="仿宋_GB2312" w:eastAsia="仿宋_GB2312" w:cs="仿宋_GB2312"/>
          <w:kern w:val="0"/>
          <w:sz w:val="32"/>
          <w:szCs w:val="32"/>
          <w:lang w:val="en-US" w:eastAsia="zh-CN"/>
        </w:rPr>
        <w:t>学校</w:t>
      </w:r>
      <w:r>
        <w:rPr>
          <w:rFonts w:hint="eastAsia" w:ascii="仿宋_GB2312" w:eastAsia="仿宋_GB2312" w:cs="仿宋_GB2312"/>
          <w:kern w:val="0"/>
          <w:sz w:val="32"/>
          <w:szCs w:val="32"/>
        </w:rPr>
        <w:t>的教育督导工作，组织和指导对</w:t>
      </w:r>
      <w:r>
        <w:rPr>
          <w:rFonts w:hint="eastAsia" w:ascii="仿宋_GB2312" w:eastAsia="仿宋_GB2312" w:cs="仿宋_GB2312"/>
          <w:kern w:val="0"/>
          <w:sz w:val="32"/>
          <w:szCs w:val="32"/>
          <w:lang w:val="en-US" w:eastAsia="zh-CN"/>
        </w:rPr>
        <w:t>基础</w:t>
      </w:r>
      <w:r>
        <w:rPr>
          <w:rFonts w:hint="eastAsia" w:ascii="仿宋_GB2312" w:eastAsia="仿宋_GB2312" w:cs="仿宋_GB2312"/>
          <w:kern w:val="0"/>
          <w:sz w:val="32"/>
          <w:szCs w:val="32"/>
        </w:rPr>
        <w:t>教育，扫除青壮年文盲工作的督导检查和评估工作，指导基础教育发展水平、质量的监测工作。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）负责指导</w:t>
      </w:r>
      <w:r>
        <w:rPr>
          <w:rFonts w:hint="eastAsia" w:ascii="仿宋_GB2312" w:eastAsia="仿宋_GB2312" w:cs="仿宋_GB2312"/>
          <w:kern w:val="0"/>
          <w:sz w:val="32"/>
          <w:szCs w:val="32"/>
          <w:lang w:val="en-US" w:eastAsia="zh-CN"/>
        </w:rPr>
        <w:t>学校</w:t>
      </w:r>
      <w:r>
        <w:rPr>
          <w:rFonts w:hint="eastAsia" w:ascii="仿宋_GB2312" w:eastAsia="仿宋_GB2312" w:cs="仿宋_GB2312"/>
          <w:kern w:val="0"/>
          <w:sz w:val="32"/>
          <w:szCs w:val="32"/>
        </w:rPr>
        <w:t>学生资助管理工作。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五</w:t>
      </w:r>
      <w:r>
        <w:rPr>
          <w:rFonts w:hint="eastAsia" w:ascii="仿宋_GB2312" w:eastAsia="仿宋_GB2312" w:cs="仿宋_GB2312"/>
          <w:kern w:val="0"/>
          <w:sz w:val="32"/>
          <w:szCs w:val="32"/>
        </w:rPr>
        <w:t>）负责语言文字和指导推广普通话工作。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六</w:t>
      </w:r>
      <w:r>
        <w:rPr>
          <w:rFonts w:hint="eastAsia" w:ascii="仿宋_GB2312" w:eastAsia="仿宋_GB2312" w:cs="仿宋_GB2312"/>
          <w:kern w:val="0"/>
          <w:sz w:val="32"/>
          <w:szCs w:val="32"/>
        </w:rPr>
        <w:t>）完成自治县</w:t>
      </w:r>
      <w:r>
        <w:rPr>
          <w:rFonts w:hint="eastAsia" w:ascii="仿宋_GB2312" w:eastAsia="仿宋_GB2312" w:cs="仿宋_GB2312"/>
          <w:kern w:val="0"/>
          <w:sz w:val="32"/>
          <w:szCs w:val="32"/>
          <w:lang w:val="en-US" w:eastAsia="zh-CN"/>
        </w:rPr>
        <w:t>教育局</w:t>
      </w:r>
      <w:r>
        <w:rPr>
          <w:rFonts w:hint="eastAsia" w:ascii="仿宋_GB2312" w:eastAsia="仿宋_GB2312" w:cs="仿宋_GB2312"/>
          <w:kern w:val="0"/>
          <w:sz w:val="32"/>
          <w:szCs w:val="32"/>
        </w:rPr>
        <w:t>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460" w:lineRule="exact"/>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我部门没有下属单位，按照部门决算编报要求，单独编制本部门决算。</w:t>
      </w:r>
    </w:p>
    <w:p>
      <w:pPr>
        <w:spacing w:line="460" w:lineRule="exact"/>
        <w:ind w:firstLine="543" w:firstLineChars="193"/>
        <w:rPr>
          <w:rFonts w:hint="eastAsia" w:ascii="宋体" w:hAnsi="宋体" w:cs="宋体"/>
          <w:b/>
          <w:bCs/>
          <w:color w:val="333333"/>
          <w:sz w:val="28"/>
          <w:szCs w:val="28"/>
        </w:rPr>
      </w:pPr>
      <w:r>
        <w:rPr>
          <w:rFonts w:hint="eastAsia" w:ascii="宋体" w:hAnsi="宋体" w:cs="宋体"/>
          <w:b/>
          <w:bCs/>
          <w:color w:val="333333"/>
          <w:sz w:val="28"/>
          <w:szCs w:val="28"/>
        </w:rPr>
        <w:t>（一）内设机构情况</w:t>
      </w:r>
    </w:p>
    <w:p>
      <w:pPr>
        <w:spacing w:line="460" w:lineRule="exact"/>
        <w:ind w:firstLine="1600" w:firstLineChars="5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无</w:t>
      </w:r>
    </w:p>
    <w:p>
      <w:pPr>
        <w:spacing w:line="460" w:lineRule="exact"/>
        <w:ind w:firstLine="562" w:firstLineChars="200"/>
        <w:rPr>
          <w:rFonts w:hint="eastAsia" w:ascii="宋体" w:hAnsi="宋体" w:cs="宋体"/>
          <w:b/>
          <w:bCs/>
          <w:color w:val="333333"/>
          <w:sz w:val="28"/>
          <w:szCs w:val="28"/>
        </w:rPr>
      </w:pPr>
      <w:r>
        <w:rPr>
          <w:rFonts w:hint="eastAsia" w:ascii="宋体" w:hAnsi="宋体" w:cs="宋体"/>
          <w:b/>
          <w:bCs/>
          <w:color w:val="333333"/>
          <w:sz w:val="28"/>
          <w:szCs w:val="28"/>
        </w:rPr>
        <w:t>（二）二层机构情况</w:t>
      </w:r>
    </w:p>
    <w:p>
      <w:pPr>
        <w:spacing w:line="460" w:lineRule="exact"/>
        <w:rPr>
          <w:rFonts w:hint="default" w:ascii="仿宋_GB2312" w:eastAsia="仿宋_GB2312" w:cs="仿宋_GB2312"/>
          <w:kern w:val="0"/>
          <w:sz w:val="32"/>
          <w:szCs w:val="32"/>
          <w:lang w:val="en-US"/>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仿宋_GB2312" w:eastAsia="仿宋_GB2312" w:cs="仿宋_GB2312"/>
          <w:kern w:val="0"/>
          <w:sz w:val="32"/>
          <w:szCs w:val="32"/>
          <w:lang w:val="en-US" w:eastAsia="zh-CN"/>
        </w:rPr>
        <w:t>无</w:t>
      </w:r>
    </w:p>
    <w:p>
      <w:pPr>
        <w:ind w:firstLine="281" w:firstLineChars="100"/>
        <w:jc w:val="both"/>
        <w:rPr>
          <w:rFonts w:hint="eastAsia" w:ascii="仿宋" w:hAnsi="仿宋" w:eastAsia="仿宋" w:cs="仿宋"/>
          <w:sz w:val="32"/>
          <w:szCs w:val="32"/>
          <w:highlight w:val="none"/>
          <w:lang w:val="en-US" w:eastAsia="zh-CN"/>
        </w:rPr>
      </w:pPr>
      <w:r>
        <w:rPr>
          <w:rFonts w:hint="eastAsia" w:ascii="宋体" w:hAnsi="宋体" w:cs="宋体"/>
          <w:b/>
          <w:bCs/>
          <w:color w:val="333333"/>
          <w:sz w:val="28"/>
          <w:szCs w:val="28"/>
        </w:rPr>
        <w:t>（三）下属机构情况</w:t>
      </w:r>
    </w:p>
    <w:p>
      <w:pPr>
        <w:jc w:val="both"/>
        <w:rPr>
          <w:rFonts w:hint="default" w:ascii="宋体" w:hAnsi="宋体" w:cs="宋体"/>
          <w:sz w:val="28"/>
          <w:szCs w:val="28"/>
          <w:lang w:val="en-US" w:eastAsia="zh-CN"/>
        </w:rPr>
      </w:pPr>
      <w:r>
        <w:rPr>
          <w:rFonts w:hint="eastAsia" w:ascii="黑体" w:hAnsi="黑体" w:eastAsia="黑体" w:cs="黑体"/>
          <w:sz w:val="32"/>
          <w:szCs w:val="32"/>
          <w:highlight w:val="none"/>
          <w:lang w:val="en-US" w:eastAsia="zh-CN"/>
        </w:rPr>
        <w:t xml:space="preserve">      </w:t>
      </w:r>
      <w:r>
        <w:rPr>
          <w:rFonts w:hint="eastAsia" w:ascii="宋体" w:hAnsi="宋体" w:cs="宋体"/>
          <w:sz w:val="28"/>
          <w:szCs w:val="28"/>
          <w:lang w:val="en-US" w:eastAsia="zh-CN"/>
        </w:rPr>
        <w:t xml:space="preserve">    无</w:t>
      </w: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600" w:firstLineChars="5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环江毛南族自治县下南乡初级中学</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环江毛南族自治县下南乡初级中学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976.49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733.79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68.75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113.31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976.49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976.49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976.49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976.49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环江毛南族自治县下南乡初级中学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976.49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976.49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733.79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733.79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733.79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733.79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环江毛南族自治县下南乡初级中学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976.49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916.35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60.14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733.79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723.85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733.79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723.85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729.89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721.45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63.11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63.11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63.11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环江毛南族自治县下南乡初级中学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976.49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9.42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733.79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733.79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68.75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68.75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51.21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113.31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113.31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976.49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976.49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976.49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976.49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976.49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976.49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环江毛南族自治县下南乡初级中学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976.49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916.35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60.14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733.79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723.85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733.79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723.85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729.89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721.45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50.20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环江毛南族自治县下南乡初级中学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698.16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52.29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273.78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20.74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7.50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7.08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0.42</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115.57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856.56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59.79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环江毛南族自治县下南乡初级中学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环江毛南族自治县下南乡初级中学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环江毛南族自治县下南乡初级中学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 xml:space="preserve">年度没有财政拨款“三公”经费收入，也没有财政拨款“三公”经费安排的支出，故本表无数据”。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环江毛南族自治县下南乡初级中学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976.49</w:t>
      </w:r>
      <w:r>
        <w:rPr>
          <w:rFonts w:hint="eastAsia" w:ascii="仿宋" w:hAnsi="仿宋" w:eastAsia="仿宋" w:cs="仿宋"/>
          <w:sz w:val="32"/>
          <w:szCs w:val="32"/>
          <w:highlight w:val="none"/>
        </w:rPr>
        <w:t>万元，较2021年度决算数</w:t>
      </w:r>
      <w:r>
        <w:rPr>
          <w:rFonts w:ascii="仿宋" w:hAnsi="仿宋" w:eastAsia="仿宋" w:cs="仿宋"/>
          <w:sz w:val="32"/>
          <w:u w:color="auto"/>
        </w:rPr>
        <w:t>增加72.93</w:t>
      </w:r>
      <w:r>
        <w:rPr>
          <w:rFonts w:hint="eastAsia" w:ascii="仿宋" w:hAnsi="仿宋" w:eastAsia="仿宋" w:cs="仿宋"/>
          <w:sz w:val="32"/>
          <w:szCs w:val="32"/>
          <w:highlight w:val="none"/>
        </w:rPr>
        <w:t>万元，</w:t>
      </w:r>
      <w:r>
        <w:rPr>
          <w:rFonts w:ascii="仿宋" w:hAnsi="仿宋" w:eastAsia="仿宋" w:cs="仿宋"/>
          <w:sz w:val="32"/>
          <w:u w:color="auto"/>
        </w:rPr>
        <w:t>增长8.07%</w:t>
      </w:r>
      <w:r>
        <w:rPr>
          <w:rFonts w:hint="eastAsia" w:ascii="仿宋" w:hAnsi="仿宋" w:eastAsia="仿宋" w:cs="仿宋"/>
          <w:sz w:val="32"/>
          <w:szCs w:val="32"/>
          <w:highlight w:val="none"/>
        </w:rPr>
        <w:t>，其中本年收入</w:t>
      </w:r>
      <w:r>
        <w:rPr>
          <w:rFonts w:ascii="仿宋" w:hAnsi="仿宋" w:eastAsia="仿宋" w:cs="仿宋"/>
          <w:sz w:val="32"/>
          <w:u w:color="auto"/>
        </w:rPr>
        <w:t>976.49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976.49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增加132.74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增长15.73%</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人员经费增加</w:t>
      </w:r>
      <w:r>
        <w:rPr>
          <w:rFonts w:hint="eastAsia" w:ascii="仿宋" w:hAnsi="仿宋" w:eastAsia="仿宋" w:cs="仿宋"/>
          <w:color w:val="FF0000"/>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本单位无政府性基金预算财政拨款收入。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减少59.81</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2857500"/>
            <wp:effectExtent l="5080" t="4445" r="20320"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976.49</w:t>
      </w:r>
      <w:r>
        <w:rPr>
          <w:rFonts w:hint="eastAsia" w:ascii="仿宋" w:hAnsi="仿宋" w:eastAsia="仿宋" w:cs="仿宋"/>
          <w:sz w:val="32"/>
          <w:szCs w:val="32"/>
          <w:highlight w:val="none"/>
        </w:rPr>
        <w:t>万元，其中本年支出</w:t>
      </w:r>
      <w:r>
        <w:rPr>
          <w:rFonts w:ascii="仿宋" w:hAnsi="仿宋" w:eastAsia="仿宋" w:cs="仿宋"/>
          <w:sz w:val="32"/>
          <w:u w:color="auto"/>
        </w:rPr>
        <w:t>976.49</w:t>
      </w:r>
      <w:r>
        <w:rPr>
          <w:rFonts w:hint="eastAsia" w:ascii="仿宋" w:hAnsi="仿宋" w:eastAsia="仿宋" w:cs="仿宋"/>
          <w:sz w:val="32"/>
          <w:szCs w:val="32"/>
          <w:highlight w:val="none"/>
        </w:rPr>
        <w:t>万元，较2021年度决算数</w:t>
      </w:r>
      <w:r>
        <w:rPr>
          <w:rFonts w:ascii="仿宋" w:hAnsi="仿宋" w:eastAsia="仿宋" w:cs="仿宋"/>
          <w:sz w:val="32"/>
          <w:u w:color="auto"/>
        </w:rPr>
        <w:t>增加72.93</w:t>
      </w:r>
      <w:r>
        <w:rPr>
          <w:rFonts w:hint="eastAsia" w:ascii="仿宋" w:hAnsi="仿宋" w:eastAsia="仿宋" w:cs="仿宋"/>
          <w:sz w:val="32"/>
          <w:szCs w:val="32"/>
          <w:highlight w:val="none"/>
        </w:rPr>
        <w:t>万元，</w:t>
      </w:r>
      <w:r>
        <w:rPr>
          <w:rFonts w:ascii="仿宋" w:hAnsi="仿宋" w:eastAsia="仿宋" w:cs="仿宋"/>
          <w:sz w:val="32"/>
          <w:u w:color="auto"/>
        </w:rPr>
        <w:t>增长8.07%</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9.42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工会活动经费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增加9.42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主要原因是：主要用</w:t>
      </w:r>
      <w:r>
        <w:rPr>
          <w:rFonts w:hint="eastAsia" w:ascii="仿宋" w:hAnsi="仿宋" w:eastAsia="仿宋" w:cs="仿宋"/>
          <w:color w:val="auto"/>
          <w:kern w:val="2"/>
          <w:sz w:val="32"/>
          <w:szCs w:val="32"/>
          <w:highlight w:val="none"/>
          <w:lang w:val="en-US" w:eastAsia="zh-CN" w:bidi="ar"/>
        </w:rPr>
        <w:t>于修建工会之家，以及慰问教职工支出。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733.79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rPr>
        <w:t>主要用于</w:t>
      </w:r>
      <w:r>
        <w:rPr>
          <w:rFonts w:hint="eastAsia" w:ascii="华文仿宋" w:hAnsi="华文仿宋" w:eastAsia="华文仿宋" w:cs="华文仿宋"/>
          <w:kern w:val="0"/>
          <w:sz w:val="32"/>
          <w:szCs w:val="32"/>
          <w:lang w:val="en-US" w:eastAsia="zh-CN"/>
        </w:rPr>
        <w:t>下南乡初级中学教师员工</w:t>
      </w:r>
      <w:r>
        <w:rPr>
          <w:rFonts w:hint="eastAsia" w:ascii="华文仿宋" w:hAnsi="华文仿宋" w:eastAsia="华文仿宋" w:cs="华文仿宋"/>
          <w:kern w:val="0"/>
          <w:sz w:val="32"/>
          <w:szCs w:val="32"/>
        </w:rPr>
        <w:t>工资及为开展教育教学活动的支出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增加45.31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增长6.58%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华文仿宋" w:hAnsi="华文仿宋" w:eastAsia="华文仿宋" w:cs="华文仿宋"/>
          <w:color w:val="auto"/>
          <w:kern w:val="0"/>
          <w:sz w:val="32"/>
          <w:szCs w:val="32"/>
          <w:lang w:val="en-US" w:eastAsia="zh-CN"/>
        </w:rPr>
        <w:t>主要是教育各项收支比上年度均有所增加。</w:t>
      </w:r>
    </w:p>
    <w:p>
      <w:pPr>
        <w:autoSpaceDE w:val="0"/>
        <w:autoSpaceDN w:val="0"/>
        <w:adjustRightInd w:val="0"/>
        <w:spacing w:line="560" w:lineRule="exact"/>
        <w:ind w:firstLine="627" w:firstLineChars="196"/>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68.75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rPr>
        <w:t>主要用于缴纳教职工“五险”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减少17.16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下降19.97%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val="en-US" w:eastAsia="zh-CN"/>
        </w:rPr>
        <w:t>教师人数调动减少，经费使用减少。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51.21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用于支付教职工住房公积金</w:t>
      </w:r>
      <w:r>
        <w:rPr>
          <w:rFonts w:hint="eastAsia" w:ascii="仿宋" w:hAnsi="仿宋" w:eastAsia="仿宋" w:cs="仿宋"/>
          <w:color w:val="auto"/>
          <w:sz w:val="32"/>
          <w:szCs w:val="32"/>
          <w:highlight w:val="none"/>
        </w:rPr>
        <w:t>。较</w:t>
      </w:r>
      <w:r>
        <w:rPr>
          <w:rFonts w:hint="eastAsia" w:ascii="仿宋" w:hAnsi="仿宋" w:eastAsia="仿宋" w:cs="仿宋"/>
          <w:sz w:val="32"/>
          <w:szCs w:val="32"/>
          <w:highlight w:val="none"/>
        </w:rPr>
        <w:t>2021年度决算数</w:t>
      </w:r>
      <w:r>
        <w:rPr>
          <w:rFonts w:hint="eastAsia" w:ascii="仿宋" w:hAnsi="仿宋" w:eastAsia="仿宋" w:cs="仿宋"/>
          <w:sz w:val="32"/>
          <w:szCs w:val="32"/>
          <w:highlight w:val="none"/>
          <w:lang w:bidi="ar"/>
        </w:rPr>
        <w:t>增加11.31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增长28.35%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2023年年初住房公积金缴费基数有所提高，使用该项经费增多。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113.31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奖金和劳务费</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增加24.03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增长26.92%</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人员调动减少。</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color w:val="auto"/>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本年度无结余分配。</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本年度无年末结转和结余。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47260" cy="2698750"/>
            <wp:effectExtent l="4445" t="4445" r="1079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环江毛南族自治县下南乡初级中学2022年度一般公共预算财政拨款支出</w:t>
      </w:r>
      <w:r>
        <w:rPr>
          <w:rFonts w:ascii="仿宋" w:hAnsi="仿宋" w:eastAsia="仿宋" w:cs="仿宋"/>
          <w:sz w:val="32"/>
          <w:u w:color="auto"/>
        </w:rPr>
        <w:t>976.49</w:t>
      </w:r>
      <w:r>
        <w:rPr>
          <w:rFonts w:hint="eastAsia" w:ascii="仿宋" w:hAnsi="仿宋" w:eastAsia="仿宋" w:cs="仿宋"/>
          <w:sz w:val="32"/>
          <w:szCs w:val="32"/>
          <w:highlight w:val="none"/>
        </w:rPr>
        <w:t>万元，较2021年度决算数</w:t>
      </w:r>
      <w:r>
        <w:rPr>
          <w:rFonts w:ascii="仿宋" w:hAnsi="仿宋" w:eastAsia="仿宋" w:cs="仿宋"/>
          <w:sz w:val="32"/>
          <w:u w:color="auto"/>
        </w:rPr>
        <w:t>增加72.93</w:t>
      </w:r>
      <w:r>
        <w:rPr>
          <w:rFonts w:hint="eastAsia" w:ascii="仿宋" w:hAnsi="仿宋" w:eastAsia="仿宋" w:cs="仿宋"/>
          <w:sz w:val="32"/>
          <w:szCs w:val="32"/>
          <w:highlight w:val="none"/>
        </w:rPr>
        <w:t>万元，</w:t>
      </w:r>
      <w:r>
        <w:rPr>
          <w:rFonts w:ascii="仿宋" w:hAnsi="仿宋" w:eastAsia="仿宋" w:cs="仿宋"/>
          <w:sz w:val="32"/>
          <w:u w:color="auto"/>
        </w:rPr>
        <w:t>增长8.07%</w:t>
      </w:r>
      <w:r>
        <w:rPr>
          <w:rFonts w:hint="eastAsia" w:ascii="仿宋" w:hAnsi="仿宋" w:eastAsia="仿宋" w:cs="仿宋"/>
          <w:sz w:val="32"/>
          <w:szCs w:val="32"/>
          <w:highlight w:val="none"/>
        </w:rPr>
        <w:t>。其中：基本支出</w:t>
      </w:r>
      <w:r>
        <w:rPr>
          <w:rFonts w:ascii="仿宋" w:hAnsi="仿宋" w:eastAsia="仿宋" w:cs="仿宋"/>
          <w:sz w:val="32"/>
          <w:u w:color="auto"/>
        </w:rPr>
        <w:t>916.35</w:t>
      </w:r>
      <w:r>
        <w:rPr>
          <w:rFonts w:hint="eastAsia" w:ascii="仿宋" w:hAnsi="仿宋" w:eastAsia="仿宋" w:cs="仿宋"/>
          <w:sz w:val="32"/>
          <w:szCs w:val="32"/>
          <w:highlight w:val="none"/>
        </w:rPr>
        <w:t>万元，项目支出</w:t>
      </w:r>
      <w:r>
        <w:rPr>
          <w:rFonts w:ascii="仿宋" w:hAnsi="仿宋" w:eastAsia="仿宋" w:cs="仿宋"/>
          <w:sz w:val="32"/>
          <w:u w:color="auto"/>
        </w:rPr>
        <w:t>60.14</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环江毛南族自治县下南乡初级中学2022 年度一般公共预算财政拨款支出年初预算为</w:t>
      </w:r>
      <w:r>
        <w:rPr>
          <w:rFonts w:ascii="仿宋" w:hAnsi="仿宋" w:eastAsia="仿宋" w:cs="仿宋"/>
          <w:sz w:val="32"/>
          <w:u w:color="auto"/>
        </w:rPr>
        <w:t>517.79</w:t>
      </w:r>
      <w:r>
        <w:rPr>
          <w:rFonts w:hint="eastAsia" w:ascii="仿宋" w:hAnsi="仿宋" w:eastAsia="仿宋" w:cs="仿宋"/>
          <w:sz w:val="32"/>
          <w:szCs w:val="32"/>
          <w:highlight w:val="none"/>
        </w:rPr>
        <w:t>万元，支出决算为</w:t>
      </w:r>
      <w:r>
        <w:rPr>
          <w:rFonts w:ascii="仿宋" w:hAnsi="仿宋" w:eastAsia="仿宋" w:cs="仿宋"/>
          <w:sz w:val="32"/>
          <w:u w:color="auto"/>
        </w:rPr>
        <w:t>976.49</w:t>
      </w:r>
      <w:r>
        <w:rPr>
          <w:rFonts w:hint="eastAsia" w:ascii="仿宋" w:hAnsi="仿宋" w:eastAsia="仿宋" w:cs="仿宋"/>
          <w:sz w:val="32"/>
          <w:szCs w:val="32"/>
          <w:highlight w:val="none"/>
        </w:rPr>
        <w:t>万元，完成年初预算的</w:t>
      </w:r>
      <w:r>
        <w:rPr>
          <w:rFonts w:ascii="仿宋" w:hAnsi="仿宋" w:eastAsia="仿宋" w:cs="仿宋"/>
          <w:sz w:val="32"/>
          <w:u w:color="auto"/>
        </w:rPr>
        <w:t>188.59%</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9.42</w:t>
      </w:r>
      <w:r>
        <w:rPr>
          <w:rFonts w:hint="eastAsia" w:ascii="仿宋" w:hAnsi="仿宋" w:eastAsia="仿宋"/>
          <w:sz w:val="32"/>
          <w:szCs w:val="32"/>
          <w:highlight w:val="none"/>
        </w:rPr>
        <w:t>万元，支出决算为</w:t>
      </w:r>
      <w:r>
        <w:rPr>
          <w:rFonts w:ascii="仿宋" w:hAnsi="仿宋" w:eastAsia="仿宋"/>
          <w:sz w:val="32"/>
          <w:szCs w:val="32"/>
          <w:highlight w:val="none"/>
        </w:rPr>
        <w:t>9.42</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本年度工会经费使用较多。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386965"/>
            <wp:effectExtent l="4445" t="4445" r="16510" b="889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376.42</w:t>
      </w:r>
      <w:r>
        <w:rPr>
          <w:rFonts w:hint="eastAsia" w:ascii="仿宋" w:hAnsi="仿宋" w:eastAsia="仿宋"/>
          <w:sz w:val="32"/>
          <w:szCs w:val="32"/>
          <w:highlight w:val="none"/>
        </w:rPr>
        <w:t>万元，支出决算为</w:t>
      </w:r>
      <w:r>
        <w:rPr>
          <w:rFonts w:ascii="仿宋" w:hAnsi="仿宋" w:eastAsia="仿宋"/>
          <w:sz w:val="32"/>
          <w:szCs w:val="32"/>
          <w:highlight w:val="none"/>
        </w:rPr>
        <w:t>733.79</w:t>
      </w:r>
      <w:r>
        <w:rPr>
          <w:rFonts w:hint="eastAsia" w:ascii="仿宋" w:hAnsi="仿宋" w:eastAsia="仿宋"/>
          <w:sz w:val="32"/>
          <w:szCs w:val="32"/>
          <w:highlight w:val="none"/>
        </w:rPr>
        <w:t>万元，完成年初预算的</w:t>
      </w:r>
      <w:r>
        <w:rPr>
          <w:rFonts w:ascii="仿宋" w:hAnsi="仿宋" w:eastAsia="仿宋"/>
          <w:sz w:val="32"/>
          <w:szCs w:val="32"/>
          <w:highlight w:val="none"/>
        </w:rPr>
        <w:t>194.94%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教师待工资遇提高，支出相对增加。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376.42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729.89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193.90%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color w:val="000000" w:themeColor="text1"/>
                <w:kern w:val="0"/>
                <w:sz w:val="21"/>
                <w:szCs w:val="21"/>
                <w14:textFill>
                  <w14:solidFill>
                    <w14:schemeClr w14:val="tx1"/>
                  </w14:solidFill>
                </w14:textFill>
              </w:rPr>
              <w:t>主要用于全县教育系统人员工资及为开展教育教学活动的支出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年初没预计教师工资提高及各种支出增多。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各种支出增多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376.42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733.79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各种支出增多</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75.40</w:t>
      </w:r>
      <w:r>
        <w:rPr>
          <w:rFonts w:hint="eastAsia" w:ascii="仿宋" w:hAnsi="仿宋" w:eastAsia="仿宋"/>
          <w:sz w:val="32"/>
          <w:szCs w:val="32"/>
          <w:highlight w:val="none"/>
        </w:rPr>
        <w:t>万元，支出决算为</w:t>
      </w:r>
      <w:r>
        <w:rPr>
          <w:rFonts w:ascii="仿宋" w:hAnsi="仿宋" w:eastAsia="仿宋"/>
          <w:sz w:val="32"/>
          <w:szCs w:val="32"/>
          <w:highlight w:val="none"/>
        </w:rPr>
        <w:t>68.75</w:t>
      </w:r>
      <w:r>
        <w:rPr>
          <w:rFonts w:hint="eastAsia" w:ascii="仿宋" w:hAnsi="仿宋" w:eastAsia="仿宋"/>
          <w:sz w:val="32"/>
          <w:szCs w:val="32"/>
          <w:highlight w:val="none"/>
        </w:rPr>
        <w:t>万元，完成年初预算的</w:t>
      </w:r>
      <w:r>
        <w:rPr>
          <w:rFonts w:ascii="仿宋" w:hAnsi="仿宋" w:eastAsia="仿宋"/>
          <w:sz w:val="32"/>
          <w:szCs w:val="32"/>
          <w:highlight w:val="none"/>
        </w:rPr>
        <w:t>91.18%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原因是：人员调出减少，经费减少。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75.40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91.18%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用于教师</w:t>
            </w: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人为增加工资基数，年初预算数据偏大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75.40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56.55</w:t>
      </w:r>
      <w:r>
        <w:rPr>
          <w:rFonts w:hint="eastAsia" w:ascii="仿宋" w:hAnsi="仿宋" w:eastAsia="仿宋"/>
          <w:sz w:val="32"/>
          <w:szCs w:val="32"/>
          <w:highlight w:val="none"/>
        </w:rPr>
        <w:t>万元，支出决算为</w:t>
      </w:r>
      <w:r>
        <w:rPr>
          <w:rFonts w:ascii="仿宋" w:hAnsi="仿宋" w:eastAsia="仿宋"/>
          <w:sz w:val="32"/>
          <w:szCs w:val="32"/>
          <w:highlight w:val="none"/>
        </w:rPr>
        <w:t>51.21</w:t>
      </w:r>
      <w:r>
        <w:rPr>
          <w:rFonts w:hint="eastAsia" w:ascii="仿宋" w:hAnsi="仿宋" w:eastAsia="仿宋"/>
          <w:sz w:val="32"/>
          <w:szCs w:val="32"/>
          <w:highlight w:val="none"/>
        </w:rPr>
        <w:t>万元，完成年初预算的</w:t>
      </w:r>
      <w:r>
        <w:rPr>
          <w:rFonts w:ascii="仿宋" w:hAnsi="仿宋" w:eastAsia="仿宋"/>
          <w:sz w:val="32"/>
          <w:szCs w:val="32"/>
          <w:highlight w:val="none"/>
        </w:rPr>
        <w:t>90.56%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原因是：人员工资基数增加，年初预算数据偏大。</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90.56%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用于教师住房公积金经费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人为增加工资基数，年初预算数据偏大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463165"/>
            <wp:effectExtent l="4445" t="4445" r="16510" b="889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9.42</w:t>
      </w:r>
      <w:r>
        <w:rPr>
          <w:rFonts w:hint="eastAsia" w:ascii="仿宋" w:hAnsi="仿宋" w:eastAsia="仿宋"/>
          <w:sz w:val="32"/>
          <w:szCs w:val="32"/>
          <w:highlight w:val="none"/>
        </w:rPr>
        <w:t>万元，支出决算为</w:t>
      </w:r>
      <w:r>
        <w:rPr>
          <w:rFonts w:ascii="仿宋" w:hAnsi="仿宋" w:eastAsia="仿宋"/>
          <w:sz w:val="32"/>
          <w:szCs w:val="32"/>
          <w:highlight w:val="none"/>
        </w:rPr>
        <w:t>113.31</w:t>
      </w:r>
      <w:r>
        <w:rPr>
          <w:rFonts w:hint="eastAsia" w:ascii="仿宋" w:hAnsi="仿宋" w:eastAsia="仿宋"/>
          <w:sz w:val="32"/>
          <w:szCs w:val="32"/>
          <w:highlight w:val="none"/>
        </w:rPr>
        <w:t>万元，完成年初预算的</w:t>
      </w:r>
      <w:r>
        <w:rPr>
          <w:rFonts w:ascii="仿宋" w:hAnsi="仿宋" w:eastAsia="仿宋"/>
          <w:sz w:val="32"/>
          <w:szCs w:val="32"/>
          <w:highlight w:val="none"/>
        </w:rPr>
        <w:t>1202.87%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奖金和劳务费增加。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113.31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奖金、劳务费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按照实际使用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113.31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929890"/>
            <wp:effectExtent l="4445" t="4445" r="16510"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环江毛南族自治县下南乡初级中学2022年度一般公共预算财政拨款基本支出</w:t>
      </w:r>
      <w:r>
        <w:rPr>
          <w:rFonts w:ascii="仿宋" w:hAnsi="仿宋" w:eastAsia="仿宋" w:cs="仿宋"/>
          <w:sz w:val="32"/>
          <w:u w:color="auto"/>
        </w:rPr>
        <w:t>916.35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856.56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59.79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ascii="仿宋" w:hAnsi="仿宋" w:eastAsia="仿宋" w:cs="仿宋"/>
          <w:sz w:val="32"/>
          <w:u w:color="auto"/>
        </w:rPr>
        <w:t>698.16万元，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147.86%</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预</w:t>
      </w:r>
      <w:r>
        <w:rPr>
          <w:rFonts w:hint="eastAsia" w:ascii="仿宋" w:hAnsi="仿宋" w:eastAsia="仿宋" w:cs="仿宋"/>
          <w:sz w:val="32"/>
          <w:szCs w:val="32"/>
          <w:highlight w:val="none"/>
        </w:rPr>
        <w:t>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主要原因是：提高薪级工资。</w:t>
      </w:r>
    </w:p>
    <w:p>
      <w:pPr>
        <w:keepNext w:val="0"/>
        <w:keepLines w:val="0"/>
        <w:widowControl w:val="0"/>
        <w:numPr>
          <w:ilvl w:val="0"/>
          <w:numId w:val="0"/>
        </w:numPr>
        <w:suppressLineNumbers w:val="0"/>
        <w:spacing w:before="0" w:beforeAutospacing="0" w:after="0" w:afterAutospacing="0"/>
        <w:ind w:right="0" w:rightChars="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273.78万元，30102津贴补贴47.21万元，30103奖金111.28万元，30107绩效工资108.46万元，30108机关事业单位基本养老保险缴费68.75万元，30110职工基本医疗保险缴费33.60万元，30112其他社会保障缴费3.86万元，30113住房公积金51.21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52.29万元，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555.1%</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本年度各项开支增加。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30201办公费20.74万元，30205水费3.94万元，30206电费3.08万元，30207邮电费0.65万元，30211差旅费2.75万元，30213维修（护）费0.18万元，30228工会经费9.42万元，30299其他商品和服务支出11.52万元。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对个人和家庭的补助</w:t>
      </w:r>
      <w:r>
        <w:rPr>
          <w:rFonts w:ascii="仿宋" w:hAnsi="仿宋" w:eastAsia="仿宋" w:cs="仿宋"/>
          <w:sz w:val="32"/>
          <w:u w:color="auto"/>
        </w:rPr>
        <w:t>158.40万元，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811.06%</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主要原因是：抚恤金、生活补助、家庭补助费提高标准。</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30304抚恤金8.30万元，30305生活补助25.77万元，30308助学金115.57万元，30399其他对个人和家庭的补助8.76万元。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7.50万元，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31002办公设备购置7.5万元。</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31002办公设备购置7.08万元，31099其他资本性支出0.42万元。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环江毛南族自治县下南乡初级中学2022年度政府性基金支出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环江毛南族自治县下南乡初级中学2022年度政府性基金支出年初预算为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环江毛南族自治县下南乡初级中学没有政府性基金收入，也没有政府性基金收入安排的支出</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环江毛南族自治县下南乡初级中学2022年度国有资本经营预算支出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环江毛南族自治县下南乡初级中学2022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 w:hAnsi="仿宋" w:eastAsia="仿宋" w:cs="仿宋"/>
          <w:sz w:val="32"/>
          <w:szCs w:val="32"/>
          <w:highlight w:val="none"/>
        </w:rPr>
        <w:t>环江毛南族自治县下南乡初级中学没有国有资本经营预算收入，也没有国有资本经营预算收入安排的支出。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其中：因公出国（境）费支出决算</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w:t>
      </w:r>
      <w:r>
        <w:rPr>
          <w:rFonts w:hint="eastAsia" w:ascii="仿宋" w:hAnsi="仿宋" w:eastAsia="仿宋" w:cs="仿宋"/>
          <w:color w:val="auto"/>
          <w:sz w:val="32"/>
          <w:szCs w:val="32"/>
          <w:highlight w:val="none"/>
        </w:rPr>
        <w:t>元。</w:t>
      </w:r>
      <w:bookmarkStart w:id="5" w:name="PO_part3A6B2IncReason1"/>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numPr>
          <w:ilvl w:val="0"/>
          <w:numId w:val="3"/>
        </w:num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numPr>
          <w:numId w:val="0"/>
        </w:num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本校为财政全额拨款失业单位，无</w:t>
      </w:r>
      <w:r>
        <w:rPr>
          <w:rFonts w:hint="eastAsia" w:ascii="仿宋" w:hAnsi="仿宋" w:eastAsia="仿宋" w:cs="仿宋"/>
          <w:sz w:val="32"/>
          <w:szCs w:val="32"/>
          <w:highlight w:val="none"/>
        </w:rPr>
        <w:t>机关运行经费</w:t>
      </w:r>
      <w:r>
        <w:rPr>
          <w:rFonts w:hint="eastAsia" w:ascii="仿宋" w:hAnsi="仿宋" w:eastAsia="仿宋" w:cs="仿宋"/>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三等项目2个，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791.28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81.03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组织对2022年度等0个政府性基金预算项目支出开展绩效自评，共涉及资金0万元，占政府性基金预算项目支出总额的0%。组织对2022年度等0个国有资本经营预算项目支出开展绩效自评，共涉及资金0万元，占国有资本经营预算项目支出总额的0%。</w:t>
      </w:r>
    </w:p>
    <w:p>
      <w:pPr>
        <w:jc w:val="left"/>
        <w:rPr>
          <w:rFonts w:ascii="仿宋" w:hAnsi="仿宋" w:eastAsia="仿宋" w:cs="仿宋"/>
          <w:sz w:val="32"/>
          <w:szCs w:val="32"/>
        </w:rPr>
      </w:pPr>
      <w:r>
        <w:rPr>
          <w:rFonts w:hint="eastAsia" w:ascii="仿宋" w:hAnsi="仿宋" w:eastAsia="仿宋" w:cs="仿宋"/>
          <w:sz w:val="32"/>
          <w:szCs w:val="32"/>
        </w:rPr>
        <w:t>组织对“</w:t>
      </w:r>
      <w:r>
        <w:rPr>
          <w:rFonts w:hint="eastAsia" w:ascii="仿宋" w:hAnsi="仿宋" w:eastAsia="仿宋" w:cs="仿宋"/>
          <w:sz w:val="32"/>
          <w:szCs w:val="32"/>
          <w:lang w:val="en-US" w:eastAsia="zh-CN"/>
        </w:rPr>
        <w:t>义务教育阶段家庭经济困难学生生活自治区补助资金</w:t>
      </w:r>
      <w:r>
        <w:rPr>
          <w:rFonts w:hint="eastAsia" w:ascii="仿宋" w:hAnsi="仿宋" w:eastAsia="仿宋" w:cs="仿宋"/>
          <w:sz w:val="32"/>
          <w:szCs w:val="32"/>
        </w:rPr>
        <w:t>”等</w:t>
      </w:r>
      <w:r>
        <w:rPr>
          <w:rFonts w:hint="eastAsia" w:ascii="仿宋" w:hAnsi="仿宋" w:eastAsia="仿宋" w:cs="仿宋"/>
          <w:sz w:val="32"/>
          <w:szCs w:val="32"/>
          <w:lang w:val="en-US" w:eastAsia="zh-CN"/>
        </w:rPr>
        <w:t>16</w:t>
      </w:r>
      <w:r>
        <w:rPr>
          <w:rFonts w:hint="eastAsia" w:ascii="仿宋" w:hAnsi="仿宋" w:eastAsia="仿宋" w:cs="仿宋"/>
          <w:sz w:val="32"/>
          <w:szCs w:val="32"/>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791.28</w:t>
      </w:r>
      <w:r>
        <w:rPr>
          <w:rFonts w:hint="eastAsia" w:ascii="仿宋" w:hAnsi="仿宋" w:eastAsia="仿宋" w:cs="仿宋"/>
          <w:sz w:val="32"/>
          <w:szCs w:val="32"/>
        </w:rPr>
        <w:t>万元，政府性基金预算支出</w:t>
      </w:r>
      <w:r>
        <w:rPr>
          <w:rFonts w:ascii="仿宋" w:hAnsi="仿宋" w:eastAsia="仿宋" w:cs="仿宋"/>
          <w:sz w:val="32"/>
          <w:szCs w:val="32"/>
        </w:rPr>
        <w:t>0</w:t>
      </w:r>
      <w:r>
        <w:rPr>
          <w:rFonts w:hint="eastAsia" w:ascii="仿宋" w:hAnsi="仿宋" w:eastAsia="仿宋" w:cs="仿宋"/>
          <w:sz w:val="32"/>
          <w:szCs w:val="32"/>
        </w:rPr>
        <w:t>万元，国有资本经营预算支出</w:t>
      </w:r>
      <w:r>
        <w:rPr>
          <w:rFonts w:ascii="仿宋" w:hAnsi="仿宋" w:eastAsia="仿宋" w:cs="仿宋"/>
          <w:sz w:val="32"/>
          <w:szCs w:val="32"/>
        </w:rPr>
        <w:t>0</w:t>
      </w:r>
      <w:r>
        <w:rPr>
          <w:rFonts w:hint="eastAsia" w:ascii="仿宋" w:hAnsi="仿宋" w:eastAsia="仿宋" w:cs="仿宋"/>
          <w:sz w:val="32"/>
          <w:szCs w:val="32"/>
        </w:rPr>
        <w:t>万元。从评价情况来看，本部门推进预算支出绩效评价管理,提高资金使用效率。按时完成各个项目年度绩效目标，提高服务对象的满意度。从评价情况来看，我单位绩效管理情况较为理想，达到了年初设定的各项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组织对本单位开展整体支出绩效评价试点，涉及一般公共预算支出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791.28</w:t>
      </w:r>
      <w:r>
        <w:rPr>
          <w:rFonts w:hint="eastAsia" w:ascii="仿宋" w:hAnsi="仿宋" w:eastAsia="仿宋" w:cs="仿宋"/>
          <w:sz w:val="32"/>
          <w:szCs w:val="32"/>
        </w:rPr>
        <w:t>万元，政府性基金预算支出0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1513.04</w:t>
      </w:r>
      <w:r>
        <w:rPr>
          <w:rFonts w:hint="eastAsia" w:ascii="仿宋" w:hAnsi="仿宋" w:eastAsia="仿宋" w:cs="仿宋"/>
          <w:color w:val="000000" w:themeColor="text1"/>
          <w:sz w:val="32"/>
          <w:szCs w:val="32"/>
          <w14:textFill>
            <w14:solidFill>
              <w14:schemeClr w14:val="tx1"/>
            </w14:solidFill>
          </w14:textFill>
        </w:rPr>
        <w:t>分。</w:t>
      </w:r>
    </w:p>
    <w:p>
      <w:pPr>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z w:val="32"/>
          <w:szCs w:val="32"/>
        </w:rPr>
        <w:t>我部门根据年初设定的绩效目标</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14:textFill>
            <w14:solidFill>
              <w14:schemeClr w14:val="tx1"/>
            </w14:solidFill>
          </w14:textFill>
        </w:rPr>
        <w:t>义务教育阶段家庭经济困难学生生活自治区补助资金</w:t>
      </w:r>
      <w:r>
        <w:rPr>
          <w:rFonts w:hint="eastAsia" w:ascii="仿宋" w:hAnsi="仿宋" w:eastAsia="仿宋" w:cs="仿宋"/>
          <w:color w:val="000000" w:themeColor="text1"/>
          <w:sz w:val="32"/>
          <w:szCs w:val="32"/>
          <w:lang w:eastAsia="zh-CN"/>
          <w14:textFill>
            <w14:solidFill>
              <w14:schemeClr w14:val="tx1"/>
            </w14:solidFill>
          </w14:textFill>
        </w:rPr>
        <w:t>、奖励性补贴、下南乡初级中学2021年年初预算经费(追加门面租金)(2021年底收回指标)、特岗教师工资、一次性死亡抚恤金、下南中学2021年预算经费(2021年底收回指标)、教师节经费</w:t>
      </w:r>
      <w:r>
        <w:rPr>
          <w:rFonts w:hint="eastAsia" w:ascii="仿宋" w:hAnsi="仿宋" w:eastAsia="仿宋" w:cs="仿宋"/>
          <w:sz w:val="32"/>
          <w:szCs w:val="32"/>
        </w:rPr>
        <w:t>项目都能按时完成支付，自评得分均为100分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）义务教育中央级公用经费</w:t>
      </w:r>
      <w:r>
        <w:rPr>
          <w:rFonts w:hint="eastAsia" w:ascii="仿宋" w:hAnsi="仿宋" w:eastAsia="仿宋" w:cs="仿宋"/>
          <w:sz w:val="32"/>
          <w:szCs w:val="32"/>
          <w:lang w:val="en-US" w:eastAsia="zh-CN"/>
        </w:rPr>
        <w:t>项目自评得分94.14分，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sz w:val="32"/>
          <w:szCs w:val="32"/>
        </w:rPr>
        <w:t>部分报账材料未能及时整理。下一步改进措施：及时整理报账材料，完成年度资金进度安排</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）全县校长绩效工资</w:t>
      </w:r>
      <w:r>
        <w:rPr>
          <w:rFonts w:hint="eastAsia" w:ascii="仿宋" w:hAnsi="仿宋" w:eastAsia="仿宋" w:cs="仿宋"/>
          <w:sz w:val="32"/>
          <w:szCs w:val="32"/>
          <w:lang w:val="en-US" w:eastAsia="zh-CN"/>
        </w:rPr>
        <w:t>项目自评得分99.90，</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是</w:t>
      </w:r>
      <w:r>
        <w:rPr>
          <w:rFonts w:hint="eastAsia" w:ascii="仿宋" w:hAnsi="仿宋" w:eastAsia="仿宋" w:cs="仿宋"/>
          <w:color w:val="000000" w:themeColor="text1"/>
          <w:sz w:val="32"/>
          <w:szCs w:val="32"/>
          <w:lang w:val="en-US" w:eastAsia="zh-CN"/>
          <w14:textFill>
            <w14:solidFill>
              <w14:schemeClr w14:val="tx1"/>
            </w14:solidFill>
          </w14:textFill>
        </w:rPr>
        <w:t>年初预算沿用上年标准，今年改变补贴执行标准。</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提前咨询相关部门获取正确的执行标准。（4）自治区公用经费项目自评得分71.30分，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sz w:val="32"/>
          <w:szCs w:val="32"/>
        </w:rPr>
        <w:t>部分报账材料未能及时整理。下一步改进措施：及时整理报账材料，完成年度资金进度安排</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）自治区级乡村教师生活补助</w:t>
      </w:r>
      <w:r>
        <w:rPr>
          <w:rFonts w:hint="eastAsia" w:ascii="仿宋" w:hAnsi="仿宋" w:eastAsia="仿宋" w:cs="仿宋"/>
          <w:color w:val="000000" w:themeColor="text1"/>
          <w:sz w:val="32"/>
          <w:szCs w:val="32"/>
          <w:lang w:val="en-US" w:eastAsia="zh-CN"/>
          <w14:textFill>
            <w14:solidFill>
              <w14:schemeClr w14:val="tx1"/>
            </w14:solidFill>
          </w14:textFill>
        </w:rPr>
        <w:t>项目自评得分95分，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暂未发现问题。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按时按规定支付该项目资金</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）伙食补助</w:t>
      </w:r>
      <w:r>
        <w:rPr>
          <w:rFonts w:hint="eastAsia" w:ascii="仿宋" w:hAnsi="仿宋" w:eastAsia="仿宋" w:cs="仿宋"/>
          <w:color w:val="000000" w:themeColor="text1"/>
          <w:sz w:val="32"/>
          <w:szCs w:val="32"/>
          <w:lang w:val="en-US" w:eastAsia="zh-CN"/>
          <w14:textFill>
            <w14:solidFill>
              <w14:schemeClr w14:val="tx1"/>
            </w14:solidFill>
          </w14:textFill>
        </w:rPr>
        <w:t>项目自评得分98.33分，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暂未发现问题。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按时按规定正常发放该项目资金。（7）营养改善计划膳食补助资金项目自评得分99.55分，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暂未发现问题。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及时整理材料，按时报账。（8）中央级乡村教师生活补助自评得分94.12分，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暂未发现问题。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及时整理材料，按时按规定发放该项目资金。（9）班主任津贴自评得分88分，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rPr>
        <w:t>下半年的班主任津贴未能及时支付</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rPr>
        <w:t>及时整理材料，按时完成全年进度。</w:t>
      </w:r>
      <w:r>
        <w:rPr>
          <w:rFonts w:hint="eastAsia" w:ascii="仿宋" w:hAnsi="仿宋" w:eastAsia="仿宋" w:cs="仿宋"/>
          <w:color w:val="000000" w:themeColor="text1"/>
          <w:sz w:val="32"/>
          <w:szCs w:val="32"/>
          <w:lang w:val="en-US" w:eastAsia="zh-CN"/>
          <w14:textFill>
            <w14:solidFill>
              <w14:schemeClr w14:val="tx1"/>
            </w14:solidFill>
          </w14:textFill>
        </w:rPr>
        <w:t>（10）下南乡初级中学2022年年初预算经费(门面租金)项目得分72.7，</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rPr>
        <w:t>未能及时整理报账材料</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rPr>
        <w:t>及时整理报账材料，完成年度资金进度安排。</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6" w:name="_GoBack"/>
      <w:bookmarkEnd w:id="6"/>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9DFEF34"/>
    <w:multiLevelType w:val="singleLevel"/>
    <w:tmpl w:val="C9DFEF34"/>
    <w:lvl w:ilvl="0" w:tentative="0">
      <w:start w:val="3"/>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4Yjc5NGI4MGJkYTdmNDlhNzE0Nzc2MjNjMjcxYWI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56C55BC"/>
    <w:rsid w:val="17E92249"/>
    <w:rsid w:val="18D304F1"/>
    <w:rsid w:val="19F32577"/>
    <w:rsid w:val="19F45B80"/>
    <w:rsid w:val="1B0C078D"/>
    <w:rsid w:val="1B2B31E2"/>
    <w:rsid w:val="1B4C295A"/>
    <w:rsid w:val="1B973C63"/>
    <w:rsid w:val="1BA1001E"/>
    <w:rsid w:val="1D317259"/>
    <w:rsid w:val="1E664F5B"/>
    <w:rsid w:val="1EB34BE1"/>
    <w:rsid w:val="215E639F"/>
    <w:rsid w:val="219457F4"/>
    <w:rsid w:val="21EC3183"/>
    <w:rsid w:val="225E72CD"/>
    <w:rsid w:val="246E2F77"/>
    <w:rsid w:val="254B4E2B"/>
    <w:rsid w:val="25A2360F"/>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262FCD"/>
    <w:rsid w:val="3D86631D"/>
    <w:rsid w:val="3DF62756"/>
    <w:rsid w:val="3F1B7587"/>
    <w:rsid w:val="41E57B4F"/>
    <w:rsid w:val="432F26F6"/>
    <w:rsid w:val="43880F63"/>
    <w:rsid w:val="441C5A6F"/>
    <w:rsid w:val="44C44FCC"/>
    <w:rsid w:val="44CC7369"/>
    <w:rsid w:val="457F5108"/>
    <w:rsid w:val="46951B6B"/>
    <w:rsid w:val="48EB29A4"/>
    <w:rsid w:val="49396860"/>
    <w:rsid w:val="49A34401"/>
    <w:rsid w:val="4A2F456A"/>
    <w:rsid w:val="4A3E30AB"/>
    <w:rsid w:val="4AC14DAC"/>
    <w:rsid w:val="4D154C85"/>
    <w:rsid w:val="4E1E04FA"/>
    <w:rsid w:val="4EB35ECE"/>
    <w:rsid w:val="508F4E24"/>
    <w:rsid w:val="51461E90"/>
    <w:rsid w:val="51463753"/>
    <w:rsid w:val="52553A93"/>
    <w:rsid w:val="53521F8B"/>
    <w:rsid w:val="53E22F47"/>
    <w:rsid w:val="54522FF8"/>
    <w:rsid w:val="55450629"/>
    <w:rsid w:val="56692963"/>
    <w:rsid w:val="568B0F48"/>
    <w:rsid w:val="570044C2"/>
    <w:rsid w:val="575C17E8"/>
    <w:rsid w:val="5786217B"/>
    <w:rsid w:val="57E752C7"/>
    <w:rsid w:val="59337A15"/>
    <w:rsid w:val="59810274"/>
    <w:rsid w:val="59E24AD2"/>
    <w:rsid w:val="5CA96A00"/>
    <w:rsid w:val="5CF730BC"/>
    <w:rsid w:val="5E5F0DCE"/>
    <w:rsid w:val="5F2E2567"/>
    <w:rsid w:val="5FA40A7B"/>
    <w:rsid w:val="5FD56D29"/>
    <w:rsid w:val="5FEC7F3F"/>
    <w:rsid w:val="60F74BC3"/>
    <w:rsid w:val="617D3BF8"/>
    <w:rsid w:val="61841F6A"/>
    <w:rsid w:val="623007A9"/>
    <w:rsid w:val="637D7558"/>
    <w:rsid w:val="644F19AC"/>
    <w:rsid w:val="654350B3"/>
    <w:rsid w:val="65AA4920"/>
    <w:rsid w:val="65E31D0B"/>
    <w:rsid w:val="65F70901"/>
    <w:rsid w:val="67694F1E"/>
    <w:rsid w:val="68BA06F8"/>
    <w:rsid w:val="68CA3049"/>
    <w:rsid w:val="69597934"/>
    <w:rsid w:val="6A7A0676"/>
    <w:rsid w:val="6B964DDC"/>
    <w:rsid w:val="6C783074"/>
    <w:rsid w:val="6D9E65C6"/>
    <w:rsid w:val="6DA81947"/>
    <w:rsid w:val="6EB66DE2"/>
    <w:rsid w:val="6ED3075F"/>
    <w:rsid w:val="6F2A2D4B"/>
    <w:rsid w:val="6F8A0C1E"/>
    <w:rsid w:val="703F45D4"/>
    <w:rsid w:val="715D6546"/>
    <w:rsid w:val="71BE069E"/>
    <w:rsid w:val="72377F2E"/>
    <w:rsid w:val="733E6518"/>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976.49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8.3</c:v>
                </c:pt>
                <c:pt idx="4">
                  <c:v>25.77</c:v>
                </c:pt>
                <c:pt idx="5">
                  <c:v>0</c:v>
                </c:pt>
                <c:pt idx="6">
                  <c:v>0</c:v>
                </c:pt>
                <c:pt idx="7">
                  <c:v>115.57</c:v>
                </c:pt>
                <c:pt idx="8">
                  <c:v>0</c:v>
                </c:pt>
                <c:pt idx="9">
                  <c:v>0</c:v>
                </c:pt>
                <c:pt idx="10">
                  <c:v>0</c:v>
                </c:pt>
                <c:pt idx="11">
                  <c:v>8.76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7.08</c:v>
                </c:pt>
                <c:pt idx="2">
                  <c:v>0</c:v>
                </c:pt>
                <c:pt idx="3">
                  <c:v>0</c:v>
                </c:pt>
                <c:pt idx="4">
                  <c:v>0</c:v>
                </c:pt>
                <c:pt idx="5">
                  <c:v>0</c:v>
                </c:pt>
                <c:pt idx="6">
                  <c:v>0</c:v>
                </c:pt>
                <c:pt idx="7">
                  <c:v>0</c:v>
                </c:pt>
                <c:pt idx="8">
                  <c:v>0</c:v>
                </c:pt>
                <c:pt idx="9">
                  <c:v>0</c:v>
                </c:pt>
                <c:pt idx="10">
                  <c:v>0</c:v>
                </c:pt>
                <c:pt idx="11">
                  <c:v>0</c:v>
                </c:pt>
                <c:pt idx="12">
                  <c:v>0</c:v>
                </c:pt>
                <c:pt idx="13">
                  <c:v>0</c:v>
                </c:pt>
                <c:pt idx="14">
                  <c:v>0</c:v>
                </c:pt>
                <c:pt idx="15">
                  <c:v>0.42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688.48</c:v>
                </c:pt>
                <c:pt idx="2">
                  <c:v>85.91</c:v>
                </c:pt>
                <c:pt idx="3">
                  <c:v>39.9</c:v>
                </c:pt>
                <c:pt idx="4">
                  <c:v>89.28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9.42</c:v>
                </c:pt>
                <c:pt idx="1">
                  <c:v>733.79</c:v>
                </c:pt>
                <c:pt idx="2">
                  <c:v>68.75</c:v>
                </c:pt>
                <c:pt idx="3">
                  <c:v>51.21</c:v>
                </c:pt>
                <c:pt idx="4">
                  <c:v>113.31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9.42</c:v>
                </c:pt>
                <c:pt idx="1">
                  <c:v>9.42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2050203</c:v>
                </c:pt>
                <c:pt idx="1">
                  <c:v>2050299</c:v>
                </c:pt>
                <c:pt idx="2">
                  <c:v>205x</c:v>
                </c:pt>
              </c:strCache>
            </c:strRef>
          </c:cat>
          <c:val>
            <c:numRef>
              <c:f>Sheet1!$B$2:$B$4</c:f>
              <c:numCache>
                <c:formatCode>General</c:formatCode>
                <c:ptCount val="3"/>
                <c:pt idx="0">
                  <c:v>729.89</c:v>
                </c:pt>
                <c:pt idx="1">
                  <c:v>3.91</c:v>
                </c:pt>
                <c:pt idx="2">
                  <c:v>733.79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68.75</c:v>
                </c:pt>
                <c:pt idx="1">
                  <c:v>68.75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51.21</c:v>
                </c:pt>
                <c:pt idx="1">
                  <c:v>51.21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113.31</c:v>
                </c:pt>
                <c:pt idx="1">
                  <c:v>113.31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273.78</c:v>
                </c:pt>
                <c:pt idx="1">
                  <c:v>47.21</c:v>
                </c:pt>
                <c:pt idx="2">
                  <c:v>111.28</c:v>
                </c:pt>
                <c:pt idx="3">
                  <c:v>0</c:v>
                </c:pt>
                <c:pt idx="4">
                  <c:v>108.46</c:v>
                </c:pt>
                <c:pt idx="5">
                  <c:v>68.75</c:v>
                </c:pt>
                <c:pt idx="6">
                  <c:v>0</c:v>
                </c:pt>
                <c:pt idx="7">
                  <c:v>33.6</c:v>
                </c:pt>
                <c:pt idx="8">
                  <c:v>0</c:v>
                </c:pt>
                <c:pt idx="9">
                  <c:v>3.86</c:v>
                </c:pt>
                <c:pt idx="10">
                  <c:v>51.21</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20.74</c:v>
                </c:pt>
                <c:pt idx="1">
                  <c:v>0</c:v>
                </c:pt>
                <c:pt idx="2">
                  <c:v>0</c:v>
                </c:pt>
                <c:pt idx="3">
                  <c:v>0</c:v>
                </c:pt>
                <c:pt idx="4">
                  <c:v>3.94</c:v>
                </c:pt>
                <c:pt idx="5">
                  <c:v>3.08</c:v>
                </c:pt>
                <c:pt idx="6">
                  <c:v>0.65</c:v>
                </c:pt>
                <c:pt idx="7">
                  <c:v>0</c:v>
                </c:pt>
                <c:pt idx="8">
                  <c:v>0</c:v>
                </c:pt>
                <c:pt idx="9">
                  <c:v>2.75</c:v>
                </c:pt>
                <c:pt idx="10">
                  <c:v>0</c:v>
                </c:pt>
                <c:pt idx="11">
                  <c:v>0.18</c:v>
                </c:pt>
                <c:pt idx="12">
                  <c:v>0</c:v>
                </c:pt>
                <c:pt idx="13">
                  <c:v>0</c:v>
                </c:pt>
                <c:pt idx="14">
                  <c:v>0</c:v>
                </c:pt>
                <c:pt idx="15">
                  <c:v>0</c:v>
                </c:pt>
                <c:pt idx="16">
                  <c:v>0</c:v>
                </c:pt>
                <c:pt idx="17">
                  <c:v>0</c:v>
                </c:pt>
                <c:pt idx="18">
                  <c:v>0</c:v>
                </c:pt>
                <c:pt idx="19">
                  <c:v>0</c:v>
                </c:pt>
                <c:pt idx="20">
                  <c:v>0</c:v>
                </c:pt>
                <c:pt idx="21">
                  <c:v>9.42</c:v>
                </c:pt>
                <c:pt idx="22">
                  <c:v>0</c:v>
                </c:pt>
                <c:pt idx="23">
                  <c:v>0</c:v>
                </c:pt>
                <c:pt idx="24">
                  <c:v>0</c:v>
                </c:pt>
                <c:pt idx="25">
                  <c:v>0</c:v>
                </c:pt>
                <c:pt idx="26">
                  <c:v>11.52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2023-11-29T01:07:16Z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