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center"/>
        <w:rPr>
          <w:rFonts w:ascii="黑体" w:hAnsi="黑体" w:eastAsia="黑体" w:cs="黑体"/>
          <w:b/>
          <w:bCs/>
          <w:color w:val="000000" w:themeColor="text1"/>
          <w:sz w:val="52"/>
          <w:szCs w:val="52"/>
          <w:highlight w:val="none"/>
          <w14:textFill>
            <w14:solidFill>
              <w14:schemeClr w14:val="tx1"/>
            </w14:solidFill>
          </w14:textFill>
        </w:rPr>
      </w:pPr>
      <w:r>
        <w:rPr>
          <w:rFonts w:hint="eastAsia" w:ascii="黑体" w:hAnsi="黑体" w:eastAsia="黑体" w:cs="黑体"/>
          <w:b/>
          <w:bCs/>
          <w:color w:val="000000" w:themeColor="text1"/>
          <w:sz w:val="52"/>
          <w:szCs w:val="52"/>
          <w:highlight w:val="none"/>
          <w:lang w:eastAsia="zh-CN"/>
          <w14:textFill>
            <w14:solidFill>
              <w14:schemeClr w14:val="tx1"/>
            </w14:solidFill>
          </w14:textFill>
        </w:rPr>
        <w:t>环江毛南族自治县</w:t>
      </w:r>
      <w:r>
        <w:rPr>
          <w:rFonts w:hint="eastAsia" w:ascii="黑体" w:hAnsi="黑体" w:eastAsia="黑体" w:cs="黑体"/>
          <w:b/>
          <w:bCs/>
          <w:color w:val="000000" w:themeColor="text1"/>
          <w:sz w:val="52"/>
          <w:szCs w:val="52"/>
          <w:highlight w:val="none"/>
          <w:lang w:val="en-US" w:eastAsia="zh-CN"/>
          <w14:textFill>
            <w14:solidFill>
              <w14:schemeClr w14:val="tx1"/>
            </w14:solidFill>
          </w14:textFill>
        </w:rPr>
        <w:t>下南</w:t>
      </w:r>
      <w:r>
        <w:rPr>
          <w:rFonts w:hint="eastAsia" w:ascii="黑体" w:hAnsi="黑体" w:eastAsia="黑体" w:cs="黑体"/>
          <w:b/>
          <w:bCs/>
          <w:color w:val="000000" w:themeColor="text1"/>
          <w:sz w:val="52"/>
          <w:szCs w:val="52"/>
          <w:highlight w:val="none"/>
          <w:lang w:eastAsia="zh-CN"/>
          <w14:textFill>
            <w14:solidFill>
              <w14:schemeClr w14:val="tx1"/>
            </w14:solidFill>
          </w14:textFill>
        </w:rPr>
        <w:t>乡中心小学</w:t>
      </w:r>
      <w:r>
        <w:rPr>
          <w:rFonts w:hint="eastAsia" w:ascii="黑体" w:hAnsi="黑体" w:eastAsia="黑体" w:cs="黑体"/>
          <w:b/>
          <w:bCs/>
          <w:color w:val="000000" w:themeColor="text1"/>
          <w:sz w:val="52"/>
          <w:szCs w:val="52"/>
          <w:highlight w:val="none"/>
          <w14:textFill>
            <w14:solidFill>
              <w14:schemeClr w14:val="tx1"/>
            </w14:solidFill>
          </w14:textFill>
        </w:rPr>
        <w:t>2022年度部门决算</w:t>
      </w:r>
    </w:p>
    <w:p>
      <w:pPr>
        <w:jc w:val="center"/>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p>
    <w:p>
      <w:pPr>
        <w:ind w:firstLine="2640" w:firstLineChars="600"/>
        <w:jc w:val="both"/>
        <w:rPr>
          <w:rFonts w:hint="eastAsia" w:ascii="黑体" w:eastAsia="黑体" w:cs="黑体"/>
          <w:color w:val="000000" w:themeColor="text1"/>
          <w:kern w:val="0"/>
          <w:sz w:val="44"/>
          <w:szCs w:val="44"/>
          <w:lang w:val="en-US" w:eastAsia="zh-CN"/>
          <w14:textFill>
            <w14:solidFill>
              <w14:schemeClr w14:val="tx1"/>
            </w14:solidFill>
          </w14:textFill>
        </w:rPr>
      </w:pPr>
      <w:r>
        <w:rPr>
          <w:rFonts w:hint="eastAsia" w:ascii="黑体" w:eastAsia="黑体" w:cs="黑体"/>
          <w:color w:val="000000" w:themeColor="text1"/>
          <w:kern w:val="0"/>
          <w:sz w:val="44"/>
          <w:szCs w:val="44"/>
          <w14:textFill>
            <w14:solidFill>
              <w14:schemeClr w14:val="tx1"/>
            </w14:solidFill>
          </w14:textFill>
        </w:rPr>
        <w:t>单位负责人：</w:t>
      </w:r>
      <w:r>
        <w:rPr>
          <w:rFonts w:hint="eastAsia" w:ascii="黑体" w:eastAsia="黑体" w:cs="黑体"/>
          <w:color w:val="000000" w:themeColor="text1"/>
          <w:kern w:val="0"/>
          <w:sz w:val="44"/>
          <w:szCs w:val="44"/>
          <w:lang w:val="en-US" w:eastAsia="zh-CN"/>
          <w14:textFill>
            <w14:solidFill>
              <w14:schemeClr w14:val="tx1"/>
            </w14:solidFill>
          </w14:textFill>
        </w:rPr>
        <w:t>蒙宜超</w:t>
      </w:r>
    </w:p>
    <w:p>
      <w:pPr>
        <w:ind w:firstLine="3253" w:firstLineChars="900"/>
        <w:jc w:val="both"/>
        <w:rPr>
          <w:rFonts w:hint="eastAsia" w:ascii="黑体" w:hAnsi="黑体" w:eastAsia="黑体" w:cs="黑体"/>
          <w:b/>
          <w:bCs/>
          <w:color w:val="000000" w:themeColor="text1"/>
          <w:sz w:val="36"/>
          <w:szCs w:val="36"/>
          <w:highlight w:val="none"/>
          <w14:textFill>
            <w14:solidFill>
              <w14:schemeClr w14:val="tx1"/>
            </w14:solidFill>
          </w14:textFill>
        </w:rPr>
      </w:pPr>
    </w:p>
    <w:p>
      <w:pPr>
        <w:ind w:firstLine="3614" w:firstLineChars="1000"/>
        <w:jc w:val="both"/>
        <w:rPr>
          <w:rFonts w:hint="default" w:ascii="黑体" w:hAnsi="黑体" w:eastAsia="黑体" w:cs="黑体"/>
          <w:b/>
          <w:bCs/>
          <w:color w:val="000000" w:themeColor="text1"/>
          <w:sz w:val="36"/>
          <w:szCs w:val="36"/>
          <w:highlight w:val="none"/>
          <w:lang w:val="en-US" w:eastAsia="zh-CN"/>
          <w14:textFill>
            <w14:solidFill>
              <w14:schemeClr w14:val="tx1"/>
            </w14:solidFill>
          </w14:textFill>
        </w:rPr>
      </w:pPr>
      <w:r>
        <w:rPr>
          <w:rFonts w:hint="eastAsia" w:ascii="黑体" w:hAnsi="黑体" w:eastAsia="黑体" w:cs="黑体"/>
          <w:b/>
          <w:bCs/>
          <w:color w:val="000000" w:themeColor="text1"/>
          <w:sz w:val="36"/>
          <w:szCs w:val="36"/>
          <w:highlight w:val="none"/>
          <w14:textFill>
            <w14:solidFill>
              <w14:schemeClr w14:val="tx1"/>
            </w14:solidFill>
          </w14:textFill>
        </w:rPr>
        <w:t>2023年</w:t>
      </w:r>
      <w:r>
        <w:rPr>
          <w:rFonts w:hint="eastAsia" w:ascii="黑体" w:hAnsi="黑体" w:eastAsia="黑体" w:cs="黑体"/>
          <w:b/>
          <w:bCs/>
          <w:color w:val="000000" w:themeColor="text1"/>
          <w:sz w:val="36"/>
          <w:szCs w:val="36"/>
          <w:highlight w:val="none"/>
          <w:lang w:val="en-US" w:eastAsia="zh-CN"/>
          <w14:textFill>
            <w14:solidFill>
              <w14:schemeClr w14:val="tx1"/>
            </w14:solidFill>
          </w14:textFill>
        </w:rPr>
        <w:t>10</w:t>
      </w:r>
      <w:r>
        <w:rPr>
          <w:rFonts w:hint="eastAsia" w:ascii="黑体" w:hAnsi="黑体" w:eastAsia="黑体" w:cs="黑体"/>
          <w:b/>
          <w:bCs/>
          <w:color w:val="000000" w:themeColor="text1"/>
          <w:sz w:val="36"/>
          <w:szCs w:val="36"/>
          <w:highlight w:val="none"/>
          <w14:textFill>
            <w14:solidFill>
              <w14:schemeClr w14:val="tx1"/>
            </w14:solidFill>
          </w14:textFill>
        </w:rPr>
        <w:t>月</w:t>
      </w:r>
    </w:p>
    <w:p>
      <w:pPr>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br w:type="page"/>
      </w:r>
    </w:p>
    <w:p>
      <w:pPr>
        <w:jc w:val="center"/>
        <w:rPr>
          <w:rFonts w:ascii="黑体" w:hAnsi="黑体" w:eastAsia="黑体" w:cs="黑体"/>
          <w:b/>
          <w:bCs/>
          <w:color w:val="000000" w:themeColor="text1"/>
          <w:sz w:val="36"/>
          <w:szCs w:val="36"/>
          <w:highlight w:val="none"/>
          <w14:textFill>
            <w14:solidFill>
              <w14:schemeClr w14:val="tx1"/>
            </w14:solidFill>
          </w14:textFill>
        </w:rPr>
      </w:pPr>
      <w:r>
        <w:rPr>
          <w:rFonts w:hint="eastAsia" w:ascii="黑体" w:hAnsi="黑体" w:eastAsia="黑体" w:cs="黑体"/>
          <w:b/>
          <w:bCs/>
          <w:color w:val="000000" w:themeColor="text1"/>
          <w:sz w:val="36"/>
          <w:szCs w:val="36"/>
          <w:highlight w:val="none"/>
          <w14:textFill>
            <w14:solidFill>
              <w14:schemeClr w14:val="tx1"/>
            </w14:solidFill>
          </w14:textFill>
        </w:rPr>
        <w:t>目</w:t>
      </w:r>
      <w:r>
        <w:rPr>
          <w:rFonts w:hint="eastAsia" w:ascii="黑体" w:hAnsi="黑体" w:eastAsia="黑体" w:cs="黑体"/>
          <w:b/>
          <w:bCs/>
          <w:color w:val="000000" w:themeColor="text1"/>
          <w:sz w:val="36"/>
          <w:szCs w:val="36"/>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 xml:space="preserve"> 录</w:t>
      </w:r>
    </w:p>
    <w:p>
      <w:pPr>
        <w:jc w:val="left"/>
        <w:rPr>
          <w:rFonts w:ascii="黑体" w:hAnsi="黑体" w:eastAsia="黑体" w:cs="黑体"/>
          <w:b/>
          <w:bCs/>
          <w:color w:val="000000" w:themeColor="text1"/>
          <w:sz w:val="36"/>
          <w:szCs w:val="36"/>
          <w:highlight w:val="none"/>
          <w14:textFill>
            <w14:solidFill>
              <w14:schemeClr w14:val="tx1"/>
            </w14:solidFill>
          </w14:textFill>
        </w:rPr>
      </w:pP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第一部分：</w:t>
      </w:r>
      <w:r>
        <w:rPr>
          <w:rFonts w:ascii="黑体" w:hAnsi="黑体" w:eastAsia="黑体" w:cs="黑体"/>
          <w:color w:val="000000" w:themeColor="text1"/>
          <w:sz w:val="32"/>
          <w:u w:color="auto"/>
          <w14:textFill>
            <w14:solidFill>
              <w14:schemeClr w14:val="tx1"/>
            </w14:solidFill>
          </w14:textFill>
        </w:rPr>
        <w:t>环江毛南族自治县下南乡中心小学</w:t>
      </w:r>
      <w:r>
        <w:rPr>
          <w:rFonts w:hint="eastAsia" w:ascii="黑体" w:hAnsi="黑体" w:eastAsia="黑体" w:cs="黑体"/>
          <w:color w:val="000000" w:themeColor="text1"/>
          <w:sz w:val="32"/>
          <w:szCs w:val="32"/>
          <w:highlight w:val="none"/>
          <w14:textFill>
            <w14:solidFill>
              <w14:schemeClr w14:val="tx1"/>
            </w14:solidFill>
          </w14:textFill>
        </w:rPr>
        <w:t>概况</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一、主要职能</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二、部门决算单位构成</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第二部分：</w:t>
      </w:r>
      <w:r>
        <w:rPr>
          <w:rFonts w:ascii="黑体" w:hAnsi="黑体" w:eastAsia="黑体" w:cs="黑体"/>
          <w:color w:val="000000" w:themeColor="text1"/>
          <w:sz w:val="32"/>
          <w:u w:color="auto"/>
          <w14:textFill>
            <w14:solidFill>
              <w14:schemeClr w14:val="tx1"/>
            </w14:solidFill>
          </w14:textFill>
        </w:rPr>
        <w:t>环江毛南族自治县下南乡中心小学</w:t>
      </w:r>
      <w:r>
        <w:rPr>
          <w:rFonts w:hint="eastAsia" w:ascii="黑体" w:hAnsi="黑体" w:eastAsia="黑体" w:cs="黑体"/>
          <w:color w:val="000000" w:themeColor="text1"/>
          <w:sz w:val="32"/>
          <w:szCs w:val="32"/>
          <w:highlight w:val="none"/>
          <w14:textFill>
            <w14:solidFill>
              <w14:schemeClr w14:val="tx1"/>
            </w14:solidFill>
          </w14:textFill>
        </w:rPr>
        <w:t>2022年度部门决算报表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表一：收入支出决算总表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表二：收入决算表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表三：支出决算表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表四：财政拨款收入支出决算总表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表五：一般公共预算财政拨款支出决算表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表六：一般公共预算财政拨款基本支出决算明细表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表七：政府性基金</w:t>
      </w:r>
      <w:r>
        <w:rPr>
          <w:rFonts w:hint="eastAsia" w:ascii="仿宋_GB2312" w:hAnsi="黑体" w:eastAsia="仿宋_GB2312"/>
          <w:color w:val="000000" w:themeColor="text1"/>
          <w:sz w:val="32"/>
          <w:szCs w:val="32"/>
          <w:highlight w:val="none"/>
          <w14:textFill>
            <w14:solidFill>
              <w14:schemeClr w14:val="tx1"/>
            </w14:solidFill>
          </w14:textFill>
        </w:rPr>
        <w:t>预算财政拨款</w:t>
      </w:r>
      <w:r>
        <w:rPr>
          <w:rFonts w:hint="eastAsia" w:ascii="仿宋_GB2312" w:eastAsia="仿宋_GB2312"/>
          <w:color w:val="000000" w:themeColor="text1"/>
          <w:sz w:val="32"/>
          <w:szCs w:val="32"/>
          <w:highlight w:val="none"/>
          <w14:textFill>
            <w14:solidFill>
              <w14:schemeClr w14:val="tx1"/>
            </w14:solidFill>
          </w14:textFill>
        </w:rPr>
        <w:t>收入支出决算表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表八：国有资本经营预算</w:t>
      </w:r>
      <w:r>
        <w:rPr>
          <w:rFonts w:hint="eastAsia" w:ascii="仿宋_GB2312" w:hAnsi="黑体" w:eastAsia="仿宋_GB2312"/>
          <w:color w:val="000000" w:themeColor="text1"/>
          <w:sz w:val="32"/>
          <w:szCs w:val="32"/>
          <w:highlight w:val="none"/>
          <w14:textFill>
            <w14:solidFill>
              <w14:schemeClr w14:val="tx1"/>
            </w14:solidFill>
          </w14:textFill>
        </w:rPr>
        <w:t>财政拨款</w:t>
      </w:r>
      <w:r>
        <w:rPr>
          <w:rFonts w:hint="eastAsia" w:ascii="仿宋_GB2312" w:eastAsia="仿宋_GB2312"/>
          <w:color w:val="000000" w:themeColor="text1"/>
          <w:sz w:val="32"/>
          <w:szCs w:val="32"/>
          <w:highlight w:val="none"/>
          <w14:textFill>
            <w14:solidFill>
              <w14:schemeClr w14:val="tx1"/>
            </w14:solidFill>
          </w14:textFill>
        </w:rPr>
        <w:t>支出决算表</w:t>
      </w:r>
    </w:p>
    <w:p>
      <w:pP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表九：财政拨款“三公”经费支出决算表</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第三部分：</w:t>
      </w:r>
      <w:r>
        <w:rPr>
          <w:rFonts w:ascii="黑体" w:hAnsi="黑体" w:eastAsia="黑体" w:cs="黑体"/>
          <w:color w:val="000000" w:themeColor="text1"/>
          <w:sz w:val="32"/>
          <w:u w:color="auto"/>
          <w14:textFill>
            <w14:solidFill>
              <w14:schemeClr w14:val="tx1"/>
            </w14:solidFill>
          </w14:textFill>
        </w:rPr>
        <w:t>环江毛南族自治县下南乡中心小学</w:t>
      </w:r>
      <w:r>
        <w:rPr>
          <w:rFonts w:hint="eastAsia" w:ascii="黑体" w:hAnsi="黑体" w:eastAsia="黑体" w:cs="黑体"/>
          <w:color w:val="000000" w:themeColor="text1"/>
          <w:sz w:val="32"/>
          <w:szCs w:val="32"/>
          <w:highlight w:val="none"/>
          <w14:textFill>
            <w14:solidFill>
              <w14:schemeClr w14:val="tx1"/>
            </w14:solidFill>
          </w14:textFill>
        </w:rPr>
        <w:t>2022年度部门决算情况说明</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eastAsia="仿宋_GB2312"/>
          <w:color w:val="000000" w:themeColor="text1"/>
          <w:kern w:val="0"/>
          <w:sz w:val="32"/>
          <w:szCs w:val="32"/>
          <w:highlight w:val="none"/>
          <w14:textFill>
            <w14:solidFill>
              <w14:schemeClr w14:val="tx1"/>
            </w14:solidFill>
          </w14:textFill>
        </w:rPr>
        <w:t>202</w:t>
      </w:r>
      <w:r>
        <w:rPr>
          <w:rFonts w:hint="eastAsia" w:ascii="仿宋_GB2312" w:eastAsia="仿宋_GB2312"/>
          <w:color w:val="000000" w:themeColor="text1"/>
          <w:kern w:val="0"/>
          <w:sz w:val="32"/>
          <w:szCs w:val="32"/>
          <w:highlight w:val="none"/>
          <w:lang w:val="en-US" w:eastAsia="zh-CN"/>
          <w14:textFill>
            <w14:solidFill>
              <w14:schemeClr w14:val="tx1"/>
            </w14:solidFill>
          </w14:textFill>
        </w:rPr>
        <w:t>2</w:t>
      </w:r>
      <w:r>
        <w:rPr>
          <w:rFonts w:hint="eastAsia" w:ascii="仿宋_GB2312" w:eastAsia="仿宋_GB2312" w:cs="仿宋_GB2312"/>
          <w:color w:val="000000" w:themeColor="text1"/>
          <w:kern w:val="0"/>
          <w:sz w:val="32"/>
          <w:szCs w:val="32"/>
          <w:highlight w:val="none"/>
          <w14:textFill>
            <w14:solidFill>
              <w14:schemeClr w14:val="tx1"/>
            </w14:solidFill>
          </w14:textFill>
        </w:rPr>
        <w:t>年度收入支出决算总体情况。</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二、</w:t>
      </w:r>
      <w:r>
        <w:rPr>
          <w:rFonts w:hint="eastAsia" w:ascii="仿宋_GB2312" w:eastAsia="仿宋_GB2312"/>
          <w:color w:val="000000" w:themeColor="text1"/>
          <w:kern w:val="0"/>
          <w:sz w:val="32"/>
          <w:szCs w:val="32"/>
          <w:highlight w:val="none"/>
          <w14:textFill>
            <w14:solidFill>
              <w14:schemeClr w14:val="tx1"/>
            </w14:solidFill>
          </w14:textFill>
        </w:rPr>
        <w:t>20</w:t>
      </w:r>
      <w:r>
        <w:rPr>
          <w:rFonts w:hint="eastAsia" w:ascii="仿宋_GB2312" w:eastAsia="仿宋_GB2312"/>
          <w:color w:val="000000" w:themeColor="text1"/>
          <w:kern w:val="0"/>
          <w:sz w:val="32"/>
          <w:szCs w:val="32"/>
          <w:highlight w:val="none"/>
          <w:lang w:val="en-US" w:eastAsia="zh-CN"/>
          <w14:textFill>
            <w14:solidFill>
              <w14:schemeClr w14:val="tx1"/>
            </w14:solidFill>
          </w14:textFill>
        </w:rPr>
        <w:t>22</w:t>
      </w:r>
      <w:r>
        <w:rPr>
          <w:rFonts w:hint="eastAsia" w:ascii="仿宋_GB2312" w:eastAsia="仿宋_GB2312" w:cs="仿宋_GB2312"/>
          <w:color w:val="000000" w:themeColor="text1"/>
          <w:kern w:val="0"/>
          <w:sz w:val="32"/>
          <w:szCs w:val="32"/>
          <w:highlight w:val="none"/>
          <w14:textFill>
            <w14:solidFill>
              <w14:schemeClr w14:val="tx1"/>
            </w14:solidFill>
          </w14:textFill>
        </w:rPr>
        <w:t>年度</w:t>
      </w:r>
      <w:r>
        <w:rPr>
          <w:rFonts w:hint="eastAsia" w:ascii="仿宋_GB2312" w:eastAsia="仿宋_GB2312"/>
          <w:color w:val="000000" w:themeColor="text1"/>
          <w:sz w:val="32"/>
          <w:szCs w:val="32"/>
          <w:highlight w:val="none"/>
          <w14:textFill>
            <w14:solidFill>
              <w14:schemeClr w14:val="tx1"/>
            </w14:solidFill>
          </w14:textFill>
        </w:rPr>
        <w:t>一般</w:t>
      </w:r>
      <w:r>
        <w:rPr>
          <w:rFonts w:hint="eastAsia" w:ascii="仿宋_GB2312" w:eastAsia="仿宋_GB2312" w:cs="仿宋_GB2312"/>
          <w:color w:val="000000" w:themeColor="text1"/>
          <w:kern w:val="0"/>
          <w:sz w:val="32"/>
          <w:szCs w:val="32"/>
          <w:highlight w:val="none"/>
          <w14:textFill>
            <w14:solidFill>
              <w14:schemeClr w14:val="tx1"/>
            </w14:solidFill>
          </w14:textFill>
        </w:rPr>
        <w:t>公共预算财政拨款支出决算情况。</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三、20</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22</w:t>
      </w:r>
      <w:r>
        <w:rPr>
          <w:rFonts w:hint="eastAsia" w:ascii="仿宋_GB2312" w:eastAsia="仿宋_GB2312" w:cs="仿宋_GB2312"/>
          <w:color w:val="000000" w:themeColor="text1"/>
          <w:kern w:val="0"/>
          <w:sz w:val="32"/>
          <w:szCs w:val="32"/>
          <w:highlight w:val="none"/>
          <w14:textFill>
            <w14:solidFill>
              <w14:schemeClr w14:val="tx1"/>
            </w14:solidFill>
          </w14:textFill>
        </w:rPr>
        <w:t>年度一般公共预算财政拨款基本支出决算情况说明。</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四、</w:t>
      </w:r>
      <w:r>
        <w:rPr>
          <w:rFonts w:hint="eastAsia" w:ascii="仿宋_GB2312" w:eastAsia="仿宋_GB2312"/>
          <w:color w:val="000000" w:themeColor="text1"/>
          <w:kern w:val="0"/>
          <w:sz w:val="32"/>
          <w:szCs w:val="32"/>
          <w:highlight w:val="none"/>
          <w14:textFill>
            <w14:solidFill>
              <w14:schemeClr w14:val="tx1"/>
            </w14:solidFill>
          </w14:textFill>
        </w:rPr>
        <w:t>20</w:t>
      </w:r>
      <w:r>
        <w:rPr>
          <w:rFonts w:hint="eastAsia" w:ascii="仿宋_GB2312" w:eastAsia="仿宋_GB2312"/>
          <w:color w:val="000000" w:themeColor="text1"/>
          <w:kern w:val="0"/>
          <w:sz w:val="32"/>
          <w:szCs w:val="32"/>
          <w:highlight w:val="none"/>
          <w:lang w:val="en-US" w:eastAsia="zh-CN"/>
          <w14:textFill>
            <w14:solidFill>
              <w14:schemeClr w14:val="tx1"/>
            </w14:solidFill>
          </w14:textFill>
        </w:rPr>
        <w:t>22</w:t>
      </w:r>
      <w:r>
        <w:rPr>
          <w:rFonts w:hint="eastAsia" w:ascii="仿宋_GB2312" w:eastAsia="仿宋_GB2312" w:cs="仿宋_GB2312"/>
          <w:color w:val="000000" w:themeColor="text1"/>
          <w:kern w:val="0"/>
          <w:sz w:val="32"/>
          <w:szCs w:val="32"/>
          <w:highlight w:val="none"/>
          <w14:textFill>
            <w14:solidFill>
              <w14:schemeClr w14:val="tx1"/>
            </w14:solidFill>
          </w14:textFill>
        </w:rPr>
        <w:t>年度政府性基金支出决算情况。</w:t>
      </w:r>
    </w:p>
    <w:p>
      <w:pPr>
        <w:autoSpaceDE w:val="0"/>
        <w:autoSpaceDN w:val="0"/>
        <w:adjustRightInd w:val="0"/>
        <w:jc w:val="left"/>
        <w:rPr>
          <w:rFonts w:hint="eastAsia" w:asci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五、20</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22</w:t>
      </w:r>
      <w:r>
        <w:rPr>
          <w:rFonts w:hint="eastAsia" w:ascii="仿宋_GB2312" w:eastAsia="仿宋_GB2312" w:cs="仿宋_GB2312"/>
          <w:color w:val="000000" w:themeColor="text1"/>
          <w:kern w:val="0"/>
          <w:sz w:val="32"/>
          <w:szCs w:val="32"/>
          <w:highlight w:val="none"/>
          <w14:textFill>
            <w14:solidFill>
              <w14:schemeClr w14:val="tx1"/>
            </w14:solidFill>
          </w14:textFill>
        </w:rPr>
        <w:t>年度国有资本经营预算支出决算情况</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六、财政拨款“三公”经费支出决算情况说明。</w:t>
      </w:r>
    </w:p>
    <w:p>
      <w:pPr>
        <w:autoSpaceDE w:val="0"/>
        <w:autoSpaceDN w:val="0"/>
        <w:adjustRightInd w:val="0"/>
        <w:jc w:val="left"/>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七、其他重要事项情况说明。</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第四部分：名词解释</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第一部分：</w:t>
      </w:r>
      <w:r>
        <w:rPr>
          <w:rFonts w:ascii="黑体" w:hAnsi="黑体" w:eastAsia="黑体" w:cs="黑体"/>
          <w:b/>
          <w:color w:val="000000" w:themeColor="text1"/>
          <w:sz w:val="32"/>
          <w:u w:color="auto"/>
          <w14:textFill>
            <w14:solidFill>
              <w14:schemeClr w14:val="tx1"/>
            </w14:solidFill>
          </w14:textFill>
        </w:rPr>
        <w:t>环江毛南族自治县下南乡中心小学</w:t>
      </w:r>
      <w:r>
        <w:rPr>
          <w:rFonts w:hint="eastAsia" w:ascii="黑体" w:hAnsi="黑体" w:eastAsia="黑体" w:cs="黑体"/>
          <w:b/>
          <w:bCs/>
          <w:color w:val="000000" w:themeColor="text1"/>
          <w:sz w:val="32"/>
          <w:szCs w:val="32"/>
          <w:highlight w:val="none"/>
          <w14:textFill>
            <w14:solidFill>
              <w14:schemeClr w14:val="tx1"/>
            </w14:solidFill>
          </w14:textFill>
        </w:rPr>
        <w:t>概况</w:t>
      </w:r>
    </w:p>
    <w:p>
      <w:pPr>
        <w:ind w:firstLine="646"/>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一、主要职能</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（一）贯彻执行党和国家的教育方针、政策和法律法规；拟订全乡教育改革与发展规划并组织实施。</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（二）编制本乡教育事业发展规划并检查实施情况，向上级教育部门作出报告。</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（三）督促检查全乡贯彻执行教育方针、政策、法令、法规和上级的各项规定；评估指导全乡教育教学工作。</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（四）负责推进义务教育均衡发展和促进教育公平，负责义务教育宏观指导与协调。</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（五）负责全乡教育系统校长队伍、人才队伍和教师队伍建设，包括校长岗位培训、后备干部队伍建设、教师学历教育、继续教育等。</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（六）负责组织全乡做好期末测试、小学毕业会考工作、招生录取工作和义教学生学籍管理工作。</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（七）按照中央关于全面推进素质教育要求，负责教育教学管理、教育教学改革及教育教学科学研究工作，检查指导全镇实施素质教育工作，并组织推广先进的教育教学经验。</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（八）检查指导学校教育教学设备的装备、管理和使用工作。</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（九）检查指导全乡开展电化教育和信息化教学工作。</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（十）负责全乡教师初级专业技术职务资格的评审，中、高级专业技术职务资格的申报工作。按照管理权限对教师进行考核、聘任、奖惩、晋升等工作。</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（十一）负责监督审计全乡教育经费和教育基建经费拨付及教育附加费和教育费附加的征收、管理与使用工作。</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（十二）负责全乡中小学校教学教育常规管理评估工作，指导全乡各校德育、体育、卫生、艺术、安全工作以及团组织和少先队工作。</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（十三）指导全乡的教育督导工作，组织和指导对中等及中等以下教育，扫除青壮年文盲工作的督导检查和评估工作，指导基础教育发展水平、质量的监测工作。</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（十四）负责指导全乡学生资助管理工作。</w:t>
      </w:r>
    </w:p>
    <w:p>
      <w:pPr>
        <w:autoSpaceDE w:val="0"/>
        <w:autoSpaceDN w:val="0"/>
        <w:adjustRightInd w:val="0"/>
        <w:spacing w:line="520" w:lineRule="exact"/>
        <w:ind w:firstLine="640" w:firstLineChars="2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（十五）负责语言文字和指导推广普通话工作。</w:t>
      </w:r>
    </w:p>
    <w:p>
      <w:pPr>
        <w:spacing w:line="560" w:lineRule="exact"/>
        <w:ind w:firstLine="646"/>
        <w:rPr>
          <w:rFonts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二、部门决算单位构成</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center"/>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环江毛南族自治县</w:t>
            </w:r>
            <w:r>
              <w:rPr>
                <w:rFonts w:hint="eastAsia" w:ascii="仿宋" w:hAnsi="仿宋" w:eastAsia="仿宋" w:cs="仿宋"/>
                <w:color w:val="000000" w:themeColor="text1"/>
                <w:sz w:val="32"/>
                <w:szCs w:val="32"/>
                <w:lang w:val="en-US" w:eastAsia="zh-CN"/>
                <w14:textFill>
                  <w14:solidFill>
                    <w14:schemeClr w14:val="tx1"/>
                  </w14:solidFill>
                </w14:textFill>
              </w:rPr>
              <w:t>下南</w:t>
            </w:r>
            <w:r>
              <w:rPr>
                <w:rFonts w:hint="eastAsia" w:ascii="仿宋" w:hAnsi="仿宋" w:eastAsia="仿宋" w:cs="仿宋"/>
                <w:color w:val="000000" w:themeColor="text1"/>
                <w:sz w:val="32"/>
                <w:szCs w:val="32"/>
                <w:lang w:eastAsia="zh-CN"/>
                <w14:textFill>
                  <w14:solidFill>
                    <w14:schemeClr w14:val="tx1"/>
                  </w14:solidFill>
                </w14:textFill>
              </w:rPr>
              <w:t>乡中心小学</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环江毛南族自治县</w:t>
            </w:r>
            <w:r>
              <w:rPr>
                <w:rFonts w:hint="eastAsia" w:ascii="仿宋" w:hAnsi="仿宋" w:eastAsia="仿宋" w:cs="仿宋"/>
                <w:color w:val="000000" w:themeColor="text1"/>
                <w:sz w:val="32"/>
                <w:szCs w:val="32"/>
                <w:lang w:val="en-US" w:eastAsia="zh-CN"/>
                <w14:textFill>
                  <w14:solidFill>
                    <w14:schemeClr w14:val="tx1"/>
                  </w14:solidFill>
                </w14:textFill>
              </w:rPr>
              <w:t>下南仪凤</w:t>
            </w:r>
            <w:r>
              <w:rPr>
                <w:rFonts w:hint="eastAsia" w:ascii="仿宋" w:hAnsi="仿宋" w:eastAsia="仿宋" w:cs="仿宋"/>
                <w:color w:val="000000" w:themeColor="text1"/>
                <w:sz w:val="32"/>
                <w:szCs w:val="32"/>
                <w:lang w:eastAsia="zh-CN"/>
                <w14:textFill>
                  <w14:solidFill>
                    <w14:schemeClr w14:val="tx1"/>
                  </w14:solidFill>
                </w14:textFill>
              </w:rPr>
              <w:t>教学点</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32"/>
                <w:szCs w:val="32"/>
                <w14:textFill>
                  <w14:solidFill>
                    <w14:schemeClr w14:val="tx1"/>
                  </w14:solidFill>
                </w14:textFill>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 w:val="32"/>
                <w:szCs w:val="32"/>
                <w14:textFill>
                  <w14:solidFill>
                    <w14:schemeClr w14:val="tx1"/>
                  </w14:solidFill>
                </w14:textFill>
              </w:rPr>
            </w:pPr>
          </w:p>
        </w:tc>
      </w:tr>
    </w:tbl>
    <w:p>
      <w:pPr>
        <w:jc w:val="both"/>
        <w:rPr>
          <w:rFonts w:hint="eastAsia" w:ascii="黑体" w:hAnsi="黑体" w:eastAsia="黑体" w:cs="黑体"/>
          <w:color w:val="000000" w:themeColor="text1"/>
          <w:sz w:val="32"/>
          <w:szCs w:val="32"/>
          <w:highlight w:val="none"/>
          <w:lang w:val="en-US" w:eastAsia="zh-CN"/>
          <w14:textFill>
            <w14:solidFill>
              <w14:schemeClr w14:val="tx1"/>
            </w14:solidFill>
          </w14:textFill>
        </w:rPr>
        <w:sectPr>
          <w:pgSz w:w="11906" w:h="16838"/>
          <w:pgMar w:top="1440" w:right="1417" w:bottom="1440" w:left="1417" w:header="851" w:footer="992" w:gutter="0"/>
          <w:cols w:space="0" w:num="1"/>
          <w:rtlGutter w:val="0"/>
          <w:docGrid w:type="lines" w:linePitch="312" w:charSpace="0"/>
        </w:sectPr>
      </w:pPr>
    </w:p>
    <w:p>
      <w:pPr>
        <w:ind w:firstLine="2240" w:firstLineChars="700"/>
        <w:jc w:val="both"/>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第二部分：</w:t>
      </w:r>
      <w:r>
        <w:rPr>
          <w:rFonts w:ascii="黑体" w:hAnsi="黑体" w:eastAsia="黑体" w:cs="黑体"/>
          <w:color w:val="000000" w:themeColor="text1"/>
          <w:sz w:val="32"/>
          <w:u w:color="auto"/>
          <w14:textFill>
            <w14:solidFill>
              <w14:schemeClr w14:val="tx1"/>
            </w14:solidFill>
          </w14:textFill>
        </w:rPr>
        <w:t>环江毛南族自治县下南乡中心小学</w:t>
      </w:r>
      <w:r>
        <w:rPr>
          <w:rFonts w:hint="eastAsia" w:ascii="黑体" w:hAnsi="黑体" w:eastAsia="黑体" w:cs="黑体"/>
          <w:color w:val="000000" w:themeColor="text1"/>
          <w:sz w:val="32"/>
          <w:szCs w:val="32"/>
          <w:highlight w:val="none"/>
          <w14:textFill>
            <w14:solidFill>
              <w14:schemeClr w14:val="tx1"/>
            </w14:solidFill>
          </w14:textFill>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sz w:val="24"/>
                <w:highlight w:val="none"/>
                <w14:textFill>
                  <w14:solidFill>
                    <w14:schemeClr w14:val="tx1"/>
                  </w14:solidFill>
                </w14:textFill>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u w:color="auto"/>
                <w14:textFill>
                  <w14:solidFill>
                    <w14:schemeClr w14:val="tx1"/>
                  </w14:solidFill>
                </w14:textFill>
              </w:rPr>
              <w:t>环江毛南族自治县下南乡中心小学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1495.66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1112.40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185.34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1497.18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1497.18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1497.18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1497.18</w:t>
            </w:r>
          </w:p>
        </w:tc>
      </w:tr>
    </w:tbl>
    <w:p>
      <w:pPr>
        <w:rPr>
          <w:rFonts w:ascii="宋体" w:hAnsi="宋体" w:eastAsia="宋体" w:cs="宋体"/>
          <w:color w:val="000000" w:themeColor="text1"/>
          <w:kern w:val="0"/>
          <w:sz w:val="30"/>
          <w:szCs w:val="30"/>
          <w:highlight w:val="none"/>
          <w:lang w:bidi="ar"/>
          <w14:textFill>
            <w14:solidFill>
              <w14:schemeClr w14:val="tx1"/>
            </w14:solidFill>
          </w14:textFill>
        </w:rPr>
      </w:pPr>
      <w:r>
        <w:rPr>
          <w:rFonts w:hint="eastAsia" w:ascii="宋体" w:hAnsi="宋体" w:eastAsia="宋体" w:cs="宋体"/>
          <w:color w:val="000000" w:themeColor="text1"/>
          <w:kern w:val="0"/>
          <w:sz w:val="30"/>
          <w:szCs w:val="30"/>
          <w:highlight w:val="none"/>
          <w:lang w:bidi="ar"/>
          <w14:textFill>
            <w14:solidFill>
              <w14:schemeClr w14:val="tx1"/>
            </w14:solidFill>
          </w14:textFill>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sz w:val="24"/>
                <w:highlight w:val="none"/>
                <w14:textFill>
                  <w14:solidFill>
                    <w14:schemeClr w14:val="tx1"/>
                  </w14:solidFill>
                </w14:textFill>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u w:color="auto"/>
                <w14:textFill>
                  <w14:solidFill>
                    <w14:schemeClr w14:val="tx1"/>
                  </w14:solidFill>
                </w14:textFill>
              </w:rPr>
              <w:t>环江毛南族自治县下南乡中心小学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1497.18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1497.18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1112.40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1112.40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1110.19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1110.19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1098.35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1098.35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185.34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185.34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22960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彩票公益金安排的支出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2296004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用于教育事业的彩票公益金支出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183.82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183.82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183.82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183.82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注：本表反映部门本年度取得的各项收入情况。</w:t>
            </w:r>
          </w:p>
        </w:tc>
      </w:tr>
    </w:tbl>
    <w:p>
      <w:pPr>
        <w:jc w:val="center"/>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center"/>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表三：支出决算表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u w:color="auto"/>
                <w14:textFill>
                  <w14:solidFill>
                    <w14:schemeClr w14:val="tx1"/>
                  </w14:solidFill>
                </w14:textFill>
              </w:rPr>
              <w:t>环江毛南族自治县下南乡中心小学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default" w:ascii="宋体" w:hAnsi="宋体" w:eastAsia="宋体" w:cs="宋体"/>
                <w:b/>
                <w:bCs/>
                <w:color w:val="000000" w:themeColor="text1"/>
                <w:sz w:val="22"/>
                <w:szCs w:val="22"/>
                <w:highlight w:val="none"/>
                <w14:textFill>
                  <w14:solidFill>
                    <w14:schemeClr w14:val="tx1"/>
                  </w14:solidFill>
                </w14:textFill>
              </w:rPr>
              <w:t>1497.18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default" w:ascii="宋体" w:hAnsi="宋体" w:eastAsia="宋体" w:cs="宋体"/>
                <w:b/>
                <w:bCs/>
                <w:color w:val="000000" w:themeColor="text1"/>
                <w:sz w:val="22"/>
                <w:szCs w:val="22"/>
                <w:highlight w:val="none"/>
                <w14:textFill>
                  <w14:solidFill>
                    <w14:schemeClr w14:val="tx1"/>
                  </w14:solidFill>
                </w14:textFill>
              </w:rPr>
              <w:t>1351.43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145.75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default"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14.76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14.76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14.76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1112.40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1082.28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1110.19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1082.28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27.91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1098.35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1077.52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7.08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108.68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108.68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108.68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76.01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76.01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76.01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185.34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69.70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115.63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22960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彩票公益金安排的支出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2296004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用于教育事业的彩票公益金支出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183.82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69.70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114.11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183.82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69.70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114.11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注：本表反映部门本年度各项支出情况。</w:t>
            </w:r>
          </w:p>
        </w:tc>
      </w:tr>
    </w:tbl>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center"/>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表四：财政拨款收入支出决算总表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u w:color="auto"/>
                <w14:textFill>
                  <w14:solidFill>
                    <w14:schemeClr w14:val="tx1"/>
                  </w14:solidFill>
                </w14:textFill>
              </w:rPr>
              <w:t>环江毛南族自治县下南乡中心小学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1495.66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14.76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1112.40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1112.40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108.68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76.01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185.34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183.82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1497.18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1497.18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1495.66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1497.18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1497.18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1495.66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1.52</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0"/>
                <w:szCs w:val="20"/>
                <w:highlight w:val="none"/>
                <w14:textFill>
                  <w14:solidFill>
                    <w14:schemeClr w14:val="tx1"/>
                  </w14:solidFill>
                </w14:textFill>
              </w:rPr>
            </w:pPr>
          </w:p>
        </w:tc>
      </w:tr>
    </w:tbl>
    <w:p>
      <w:pPr>
        <w:jc w:val="left"/>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表五：一般公共预算财政拨款支出决算表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u w:color="auto"/>
                <w14:textFill>
                  <w14:solidFill>
                    <w14:schemeClr w14:val="tx1"/>
                  </w14:solidFill>
                </w14:textFill>
              </w:rPr>
              <w:t>环江毛南族自治县下南乡中心小学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default" w:ascii="宋体" w:hAnsi="宋体" w:eastAsia="宋体" w:cs="宋体"/>
                <w:b/>
                <w:bCs/>
                <w:color w:val="000000" w:themeColor="text1"/>
                <w:sz w:val="22"/>
                <w:szCs w:val="22"/>
                <w:highlight w:val="none"/>
                <w14:textFill>
                  <w14:solidFill>
                    <w14:schemeClr w14:val="tx1"/>
                  </w14:solidFill>
                </w14:textFill>
              </w:rPr>
              <w:t>1495.66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1351.43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144.23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1112.40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1082.28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1110.19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1082.28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27.91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1098.35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1077.52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20.84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7.08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2.21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183.82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69.70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114.11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183.82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69.70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114.11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183.82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69.70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114.11</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注：本表反映部门本年度一般公共预算财政拨款支出情况。</w:t>
            </w:r>
          </w:p>
        </w:tc>
      </w:tr>
    </w:tbl>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表六：一般公共预算财政拨款基本支出决算表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u w:color="auto"/>
                <w14:textFill>
                  <w14:solidFill>
                    <w14:schemeClr w14:val="tx1"/>
                  </w14:solidFill>
                </w14:textFill>
              </w:rPr>
              <w:t>环江毛南族自治县下南乡中心小学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1032.78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67.06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384.76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13.73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88.55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122.10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1.36</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186.86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1.36</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108.68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3.81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1.78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49.94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5.59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76.01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27.01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10.18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250.23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0.38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38.41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60.78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125.59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14.76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25.44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1283.01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bidi="ar"/>
                <w14:textFill>
                  <w14:solidFill>
                    <w14:schemeClr w14:val="tx1"/>
                  </w14:solidFill>
                </w14:textFill>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68.42</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注：本表反映部门本年度一般公共预算财政拨款基本支出明细情况。</w:t>
            </w:r>
          </w:p>
        </w:tc>
      </w:tr>
    </w:tbl>
    <w:p>
      <w:pPr>
        <w:jc w:val="left"/>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w:t>
      </w:r>
      <w:r>
        <w:rPr>
          <w:rFonts w:hint="eastAsia" w:ascii="仿宋" w:hAnsi="仿宋" w:eastAsia="仿宋" w:cs="仿宋"/>
          <w:color w:val="000000" w:themeColor="text1"/>
          <w:sz w:val="24"/>
          <w:highlight w:val="none"/>
          <w:lang w:val="en-US" w:eastAsia="zh-CN"/>
          <w14:textFill>
            <w14:solidFill>
              <w14:schemeClr w14:val="tx1"/>
            </w14:solidFill>
          </w14:textFill>
        </w:rPr>
        <w:t>七</w:t>
      </w:r>
      <w:r>
        <w:rPr>
          <w:rFonts w:hint="eastAsia" w:ascii="仿宋" w:hAnsi="仿宋" w:eastAsia="仿宋" w:cs="仿宋"/>
          <w:color w:val="000000" w:themeColor="text1"/>
          <w:sz w:val="24"/>
          <w:highlight w:val="none"/>
          <w14:textFill>
            <w14:solidFill>
              <w14:schemeClr w14:val="tx1"/>
            </w14:solidFill>
          </w14:textFill>
        </w:rPr>
        <w:t>：政府性基金预算财政拨款收入支出决算表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0"/>
                <w:szCs w:val="20"/>
                <w:highlight w:val="none"/>
                <w:lang w:bidi="ar"/>
                <w14:textFill>
                  <w14:solidFill>
                    <w14:schemeClr w14:val="tx1"/>
                  </w14:solidFill>
                </w14:textFill>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u w:color="auto"/>
                <w14:textFill>
                  <w14:solidFill>
                    <w14:schemeClr w14:val="tx1"/>
                  </w14:solidFill>
                </w14:textFill>
              </w:rPr>
              <w:t>环江毛南族自治县下南乡中心小学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1.52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1.52</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1.52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1.52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1.52</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彩票公益金安排的支出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1.52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1.52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1.52</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2296004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用于教育事业的彩票公益金支出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1.52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1.52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1.52</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没有数据的表格要零报告，列出空表并在表格下方说明“本部门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年度没有政府性基金预算财政拨款收入，也没有政府性基金预算财政拨款安排的支出，故本表无数据”。有数据可删除本段</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r>
    </w:tbl>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br w:type="page"/>
      </w:r>
    </w:p>
    <w:p>
      <w:pPr>
        <w:jc w:val="left"/>
        <w:rPr>
          <w:rFonts w:ascii="仿宋" w:hAnsi="仿宋" w:eastAsia="仿宋" w:cs="仿宋"/>
          <w:color w:val="000000" w:themeColor="text1"/>
          <w:sz w:val="24"/>
          <w:highlight w:val="none"/>
          <w14:textFill>
            <w14:solidFill>
              <w14:schemeClr w14:val="tx1"/>
            </w14:solidFill>
          </w14:textFill>
        </w:rPr>
      </w:pPr>
    </w:p>
    <w:p>
      <w:pPr>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表</w:t>
      </w:r>
      <w:r>
        <w:rPr>
          <w:rFonts w:hint="eastAsia" w:ascii="仿宋" w:hAnsi="仿宋" w:eastAsia="仿宋" w:cs="仿宋"/>
          <w:color w:val="000000" w:themeColor="text1"/>
          <w:sz w:val="24"/>
          <w:highlight w:val="none"/>
          <w:lang w:val="en-US" w:eastAsia="zh-CN"/>
          <w14:textFill>
            <w14:solidFill>
              <w14:schemeClr w14:val="tx1"/>
            </w14:solidFill>
          </w14:textFill>
        </w:rPr>
        <w:t>八</w:t>
      </w:r>
      <w:r>
        <w:rPr>
          <w:rFonts w:hint="eastAsia" w:ascii="仿宋" w:hAnsi="仿宋" w:eastAsia="仿宋" w:cs="仿宋"/>
          <w:color w:val="000000" w:themeColor="text1"/>
          <w:sz w:val="24"/>
          <w:highlight w:val="none"/>
          <w14:textFill>
            <w14:solidFill>
              <w14:schemeClr w14:val="tx1"/>
            </w14:solidFill>
          </w14:textFill>
        </w:rPr>
        <w:t>：国有资本经营预算财政拨款支出决算表</w:t>
      </w:r>
    </w:p>
    <w:p>
      <w:pPr>
        <w:jc w:val="left"/>
        <w:rPr>
          <w:rFonts w:hint="eastAsia" w:ascii="仿宋" w:hAnsi="仿宋" w:eastAsia="仿宋" w:cs="仿宋"/>
          <w:color w:val="000000" w:themeColor="text1"/>
          <w:sz w:val="24"/>
          <w:highlight w:val="none"/>
          <w14:textFill>
            <w14:solidFill>
              <w14:schemeClr w14:val="tx1"/>
            </w14:solidFill>
          </w14:textFill>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0"/>
                <w:szCs w:val="20"/>
                <w:highlight w:val="none"/>
                <w:lang w:bidi="ar"/>
                <w14:textFill>
                  <w14:solidFill>
                    <w14:schemeClr w14:val="tx1"/>
                  </w14:solidFill>
                </w14:textFill>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u w:color="auto"/>
                <w14:textFill>
                  <w14:solidFill>
                    <w14:schemeClr w14:val="tx1"/>
                  </w14:solidFill>
                </w14:textFill>
              </w:rPr>
              <w:t>环江毛南族自治县下南乡中心小学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themeColor="text1"/>
                <w:sz w:val="22"/>
                <w:szCs w:val="22"/>
                <w:highlight w:val="none"/>
                <w14:textFill>
                  <w14:solidFill>
                    <w14:schemeClr w14:val="tx1"/>
                  </w14:solidFill>
                </w14:textFill>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说明“本部门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表九：</w:t>
            </w:r>
            <w:r>
              <w:rPr>
                <w:rFonts w:hint="eastAsia" w:ascii="仿宋" w:hAnsi="仿宋" w:eastAsia="仿宋" w:cs="仿宋"/>
                <w:color w:val="000000" w:themeColor="text1"/>
                <w:sz w:val="24"/>
                <w:highlight w:val="none"/>
                <w14:textFill>
                  <w14:solidFill>
                    <w14:schemeClr w14:val="tx1"/>
                  </w14:solidFill>
                </w14:textFill>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30"/>
                <w:szCs w:val="30"/>
                <w:highlight w:val="none"/>
                <w:lang w:bidi="ar"/>
                <w14:textFill>
                  <w14:solidFill>
                    <w14:schemeClr w14:val="tx1"/>
                  </w14:solidFill>
                </w14:textFill>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bidi="ar"/>
                <w14:textFill>
                  <w14:solidFill>
                    <w14:schemeClr w14:val="tx1"/>
                  </w14:solidFill>
                </w14:textFill>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公开0</w:t>
            </w:r>
            <w: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0"/>
                <w:szCs w:val="20"/>
                <w:highlight w:val="none"/>
                <w:lang w:bidi="ar"/>
                <w14:textFill>
                  <w14:solidFill>
                    <w14:schemeClr w14:val="tx1"/>
                  </w14:solidFill>
                </w14:textFill>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部门：</w:t>
            </w:r>
            <w:r>
              <w:rPr>
                <w:rFonts w:hint="default" w:ascii="宋体" w:hAnsi="宋体" w:eastAsia="宋体" w:cs="宋体"/>
                <w:color w:val="000000" w:themeColor="text1"/>
                <w:sz w:val="20"/>
                <w:u w:color="auto"/>
                <w14:textFill>
                  <w14:solidFill>
                    <w14:schemeClr w14:val="tx1"/>
                  </w14:solidFill>
                </w14:textFill>
              </w:rPr>
              <w:t>环江毛南族自治县下南乡中心小学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themeColor="text1"/>
                <w:sz w:val="20"/>
                <w:szCs w:val="20"/>
                <w:highlight w:val="none"/>
                <w14:textFill>
                  <w14:solidFill>
                    <w14:schemeClr w14:val="tx1"/>
                  </w14:solidFill>
                </w14:textFill>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eastAsia="宋体" w:cs="宋体"/>
                <w:color w:val="000000" w:themeColor="text1"/>
                <w:sz w:val="22"/>
                <w:szCs w:val="22"/>
                <w:highlight w:val="none"/>
                <w14:textFill>
                  <w14:solidFill>
                    <w14:schemeClr w14:val="tx1"/>
                  </w14:solidFill>
                </w14:textFill>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说明“本部门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年度没有财政拨款“三公”经费收入，也没有财政拨款“三公”经费安排的支出，故本表无数据”。</w:t>
            </w:r>
          </w:p>
        </w:tc>
      </w:tr>
    </w:tbl>
    <w:p>
      <w:pPr>
        <w:ind w:firstLine="420" w:firstLineChars="0"/>
        <w:jc w:val="left"/>
        <w:rPr>
          <w:rFonts w:ascii="仿宋" w:hAnsi="仿宋" w:eastAsia="仿宋" w:cs="仿宋"/>
          <w:color w:val="000000" w:themeColor="text1"/>
          <w:sz w:val="24"/>
          <w:highlight w:val="none"/>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000000" w:themeColor="text1"/>
          <w:sz w:val="24"/>
          <w:highlight w:val="none"/>
          <w14:textFill>
            <w14:solidFill>
              <w14:schemeClr w14:val="tx1"/>
            </w14:solidFill>
          </w14:textFill>
        </w:rPr>
      </w:pPr>
    </w:p>
    <w:p>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第三部分：</w:t>
      </w:r>
      <w:r>
        <w:rPr>
          <w:rFonts w:ascii="黑体" w:hAnsi="黑体" w:eastAsia="黑体" w:cs="黑体"/>
          <w:color w:val="000000" w:themeColor="text1"/>
          <w:sz w:val="32"/>
          <w:u w:color="auto"/>
          <w14:textFill>
            <w14:solidFill>
              <w14:schemeClr w14:val="tx1"/>
            </w14:solidFill>
          </w14:textFill>
        </w:rPr>
        <w:t>环江毛南族自治县下南乡中心小学</w:t>
      </w:r>
      <w:r>
        <w:rPr>
          <w:rFonts w:hint="eastAsia" w:ascii="黑体" w:hAnsi="黑体" w:eastAsia="黑体" w:cs="黑体"/>
          <w:color w:val="000000" w:themeColor="text1"/>
          <w:sz w:val="32"/>
          <w:szCs w:val="32"/>
          <w:highlight w:val="none"/>
          <w14:textFill>
            <w14:solidFill>
              <w14:schemeClr w14:val="tx1"/>
            </w14:solidFill>
          </w14:textFill>
        </w:rPr>
        <w:t>2022年度部门决算情况说明</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一、2022年度收入支出决算总体情况</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（一）本部门2022年度总收入</w:t>
      </w:r>
      <w:r>
        <w:rPr>
          <w:rFonts w:ascii="仿宋" w:hAnsi="仿宋" w:eastAsia="仿宋" w:cs="仿宋"/>
          <w:color w:val="000000" w:themeColor="text1"/>
          <w:sz w:val="32"/>
          <w:u w:color="auto"/>
          <w14:textFill>
            <w14:solidFill>
              <w14:schemeClr w14:val="tx1"/>
            </w14:solidFill>
          </w14:textFill>
        </w:rPr>
        <w:t>1497.18</w:t>
      </w:r>
      <w:r>
        <w:rPr>
          <w:rFonts w:hint="eastAsia" w:ascii="仿宋" w:hAnsi="仿宋" w:eastAsia="仿宋" w:cs="仿宋"/>
          <w:color w:val="000000" w:themeColor="text1"/>
          <w:sz w:val="32"/>
          <w:szCs w:val="32"/>
          <w:highlight w:val="none"/>
          <w14:textFill>
            <w14:solidFill>
              <w14:schemeClr w14:val="tx1"/>
            </w14:solidFill>
          </w14:textFill>
        </w:rPr>
        <w:t>万元，较2021年度决算数</w:t>
      </w:r>
      <w:r>
        <w:rPr>
          <w:rFonts w:ascii="仿宋" w:hAnsi="仿宋" w:eastAsia="仿宋" w:cs="仿宋"/>
          <w:color w:val="000000" w:themeColor="text1"/>
          <w:sz w:val="32"/>
          <w:u w:color="auto"/>
          <w14:textFill>
            <w14:solidFill>
              <w14:schemeClr w14:val="tx1"/>
            </w14:solidFill>
          </w14:textFill>
        </w:rPr>
        <w:t>减少145.05</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下降8.83%</w:t>
      </w:r>
      <w:r>
        <w:rPr>
          <w:rFonts w:hint="eastAsia" w:ascii="仿宋" w:hAnsi="仿宋" w:eastAsia="仿宋" w:cs="仿宋"/>
          <w:color w:val="000000" w:themeColor="text1"/>
          <w:sz w:val="32"/>
          <w:szCs w:val="32"/>
          <w:highlight w:val="none"/>
          <w14:textFill>
            <w14:solidFill>
              <w14:schemeClr w14:val="tx1"/>
            </w14:solidFill>
          </w14:textFill>
        </w:rPr>
        <w:t>，其中本年收入</w:t>
      </w:r>
      <w:r>
        <w:rPr>
          <w:rFonts w:ascii="仿宋" w:hAnsi="仿宋" w:eastAsia="仿宋" w:cs="仿宋"/>
          <w:color w:val="000000" w:themeColor="text1"/>
          <w:sz w:val="32"/>
          <w:u w:color="auto"/>
          <w14:textFill>
            <w14:solidFill>
              <w14:schemeClr w14:val="tx1"/>
            </w14:solidFill>
          </w14:textFill>
        </w:rPr>
        <w:t>1497.18</w:t>
      </w:r>
      <w:r>
        <w:rPr>
          <w:rFonts w:hint="eastAsia" w:ascii="仿宋" w:hAnsi="仿宋" w:eastAsia="仿宋" w:cs="仿宋"/>
          <w:color w:val="000000" w:themeColor="text1"/>
          <w:sz w:val="32"/>
          <w:szCs w:val="32"/>
          <w:highlight w:val="none"/>
          <w14:textFill>
            <w14:solidFill>
              <w14:schemeClr w14:val="tx1"/>
            </w14:solidFill>
          </w14:textFill>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1.一般公共预算财政拨款收入</w:t>
      </w:r>
      <w:r>
        <w:rPr>
          <w:rFonts w:ascii="仿宋" w:hAnsi="仿宋" w:eastAsia="仿宋" w:cs="仿宋"/>
          <w:color w:val="000000" w:themeColor="text1"/>
          <w:sz w:val="32"/>
          <w:u w:color="auto"/>
          <w14:textFill>
            <w14:solidFill>
              <w14:schemeClr w14:val="tx1"/>
            </w14:solidFill>
          </w14:textFill>
        </w:rPr>
        <w:t>1495.66</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w:t>
      </w:r>
      <w:r>
        <w:rPr>
          <w:rFonts w:hint="eastAsia" w:ascii="仿宋" w:hAnsi="仿宋" w:eastAsia="仿宋" w:cs="仿宋"/>
          <w:color w:val="000000" w:themeColor="text1"/>
          <w:sz w:val="32"/>
          <w:szCs w:val="32"/>
          <w:highlight w:val="none"/>
          <w14:textFill>
            <w14:solidFill>
              <w14:schemeClr w14:val="tx1"/>
            </w14:solidFill>
          </w14:textFill>
        </w:rPr>
        <w:t>环江毛南族自治县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本级财政当年拨付的资金。较2021年度决算数</w:t>
      </w:r>
      <w:r>
        <w:rPr>
          <w:rFonts w:ascii="仿宋" w:hAnsi="仿宋" w:eastAsia="仿宋" w:cs="仿宋"/>
          <w:color w:val="000000" w:themeColor="text1"/>
          <w:sz w:val="32"/>
          <w:u w:color="auto"/>
          <w14:textFill>
            <w14:solidFill>
              <w14:schemeClr w14:val="tx1"/>
            </w14:solidFill>
          </w14:textFill>
        </w:rPr>
        <w:t>减少47.72</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下降3.09%</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，主要原因：学生人数减少；教职工有人员调动等，拨款资金相对减少。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2.政府性基金预算财政拨款收入</w:t>
      </w:r>
      <w:r>
        <w:rPr>
          <w:rFonts w:ascii="仿宋" w:hAnsi="仿宋" w:eastAsia="仿宋" w:cs="仿宋"/>
          <w:color w:val="000000" w:themeColor="text1"/>
          <w:sz w:val="32"/>
          <w:u w:color="auto"/>
          <w14:textFill>
            <w14:solidFill>
              <w14:schemeClr w14:val="tx1"/>
            </w14:solidFill>
          </w14:textFill>
        </w:rPr>
        <w:t>1.52</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w:t>
      </w:r>
      <w:r>
        <w:rPr>
          <w:rFonts w:hint="eastAsia" w:ascii="仿宋" w:hAnsi="仿宋" w:eastAsia="仿宋" w:cs="仿宋"/>
          <w:color w:val="000000" w:themeColor="text1"/>
          <w:sz w:val="32"/>
          <w:szCs w:val="32"/>
          <w:highlight w:val="none"/>
          <w14:textFill>
            <w14:solidFill>
              <w14:schemeClr w14:val="tx1"/>
            </w14:solidFill>
          </w14:textFill>
        </w:rPr>
        <w:t>环江毛南族自治县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本级财政当年拨付的资金。较2021年度决算数</w:t>
      </w:r>
      <w:r>
        <w:rPr>
          <w:rFonts w:ascii="仿宋" w:hAnsi="仿宋" w:eastAsia="仿宋" w:cs="仿宋"/>
          <w:color w:val="000000" w:themeColor="text1"/>
          <w:sz w:val="32"/>
          <w:u w:color="auto"/>
          <w14:textFill>
            <w14:solidFill>
              <w14:schemeClr w14:val="tx1"/>
            </w14:solidFill>
          </w14:textFill>
        </w:rPr>
        <w:t>增加1.52</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增长100%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，主要原因：政府投资拨款，促进乡村少年宫发展。</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3.国有资本经营预算财政拨款收入</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万元。本部门无此项收入。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4.上级补助收入</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本部门无此项收入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5.事业收入</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本部门无此项收入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经营收入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0.00万元,</w:t>
      </w:r>
      <w:r>
        <w:rPr>
          <w:rFonts w:hint="eastAsia" w:ascii="仿宋_GB2312" w:hAnsi="仿宋_GB2312" w:eastAsia="仿宋_GB2312" w:cs="仿宋_GB2312"/>
          <w:color w:val="000000" w:themeColor="text1"/>
          <w:kern w:val="0"/>
          <w:sz w:val="32"/>
          <w:szCs w:val="32"/>
          <w14:textFill>
            <w14:solidFill>
              <w14:schemeClr w14:val="tx1"/>
            </w14:solidFill>
          </w14:textFill>
        </w:rPr>
        <w:t>本部门无此项收入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7.附属单位上缴收入</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8.其他收入</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9.使用非财政拨款结余</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10.上年结转和结余</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万元，为以前年度支出预算因客观条件变化未执行完毕、结转到本年度按有关规定继续使用的资金。较2021年度决算数</w:t>
      </w:r>
      <w:r>
        <w:rPr>
          <w:rFonts w:ascii="仿宋" w:hAnsi="仿宋" w:eastAsia="仿宋" w:cs="仿宋"/>
          <w:color w:val="000000" w:themeColor="text1"/>
          <w:sz w:val="32"/>
          <w:u w:color="auto"/>
          <w14:textFill>
            <w14:solidFill>
              <w14:schemeClr w14:val="tx1"/>
            </w14:solidFill>
          </w14:textFill>
        </w:rPr>
        <w:t>减少98.86</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下降100.00%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5080000" cy="3038475"/>
            <wp:effectExtent l="4445" t="4445" r="2095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（二）本部门2022年度总支出</w:t>
      </w:r>
      <w:r>
        <w:rPr>
          <w:rFonts w:ascii="仿宋" w:hAnsi="仿宋" w:eastAsia="仿宋" w:cs="仿宋"/>
          <w:color w:val="000000" w:themeColor="text1"/>
          <w:sz w:val="32"/>
          <w:u w:color="auto"/>
          <w14:textFill>
            <w14:solidFill>
              <w14:schemeClr w14:val="tx1"/>
            </w14:solidFill>
          </w14:textFill>
        </w:rPr>
        <w:t>1497.18</w:t>
      </w:r>
      <w:r>
        <w:rPr>
          <w:rFonts w:hint="eastAsia" w:ascii="仿宋" w:hAnsi="仿宋" w:eastAsia="仿宋" w:cs="仿宋"/>
          <w:color w:val="000000" w:themeColor="text1"/>
          <w:sz w:val="32"/>
          <w:szCs w:val="32"/>
          <w:highlight w:val="none"/>
          <w14:textFill>
            <w14:solidFill>
              <w14:schemeClr w14:val="tx1"/>
            </w14:solidFill>
          </w14:textFill>
        </w:rPr>
        <w:t>万元，其中本年支出</w:t>
      </w:r>
      <w:r>
        <w:rPr>
          <w:rFonts w:ascii="仿宋" w:hAnsi="仿宋" w:eastAsia="仿宋" w:cs="仿宋"/>
          <w:color w:val="000000" w:themeColor="text1"/>
          <w:sz w:val="32"/>
          <w:u w:color="auto"/>
          <w14:textFill>
            <w14:solidFill>
              <w14:schemeClr w14:val="tx1"/>
            </w14:solidFill>
          </w14:textFill>
        </w:rPr>
        <w:t>1497.18</w:t>
      </w:r>
      <w:r>
        <w:rPr>
          <w:rFonts w:hint="eastAsia" w:ascii="仿宋" w:hAnsi="仿宋" w:eastAsia="仿宋" w:cs="仿宋"/>
          <w:color w:val="000000" w:themeColor="text1"/>
          <w:sz w:val="32"/>
          <w:szCs w:val="32"/>
          <w:highlight w:val="none"/>
          <w14:textFill>
            <w14:solidFill>
              <w14:schemeClr w14:val="tx1"/>
            </w14:solidFill>
          </w14:textFill>
        </w:rPr>
        <w:t>万元，较2021年度决算数</w:t>
      </w:r>
      <w:r>
        <w:rPr>
          <w:rFonts w:ascii="仿宋" w:hAnsi="仿宋" w:eastAsia="仿宋" w:cs="仿宋"/>
          <w:color w:val="000000" w:themeColor="text1"/>
          <w:sz w:val="32"/>
          <w:u w:color="auto"/>
          <w14:textFill>
            <w14:solidFill>
              <w14:schemeClr w14:val="tx1"/>
            </w14:solidFill>
          </w14:textFill>
        </w:rPr>
        <w:t>减少145.05</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下降8.83%</w:t>
      </w:r>
      <w:r>
        <w:rPr>
          <w:rFonts w:hint="eastAsia" w:ascii="仿宋" w:hAnsi="仿宋" w:eastAsia="仿宋" w:cs="仿宋"/>
          <w:color w:val="000000" w:themeColor="text1"/>
          <w:sz w:val="32"/>
          <w:szCs w:val="32"/>
          <w:highlight w:val="none"/>
          <w14:textFill>
            <w14:solidFill>
              <w14:schemeClr w14:val="tx1"/>
            </w14:solidFill>
          </w14:textFill>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一般公共服务支出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14.76</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教职工工会费</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增加14.76</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增长100%</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主要用于教职工工会活动。</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教育支出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205</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1112.40</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color w:val="000000" w:themeColor="text1"/>
          <w:kern w:val="0"/>
          <w:sz w:val="32"/>
          <w:szCs w:val="32"/>
          <w14:textFill>
            <w14:solidFill>
              <w14:schemeClr w14:val="tx1"/>
            </w14:solidFill>
          </w14:textFill>
        </w:rPr>
        <w:t>主要用于全县教育系统人员工资及为开展教育教学活动的支出</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减少50.43</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下降4.34%</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华文仿宋" w:hAnsi="华文仿宋" w:eastAsia="华文仿宋" w:cs="华文仿宋"/>
          <w:color w:val="000000" w:themeColor="text1"/>
          <w:kern w:val="0"/>
          <w:sz w:val="32"/>
          <w:szCs w:val="32"/>
          <w14:textFill>
            <w14:solidFill>
              <w14:schemeClr w14:val="tx1"/>
            </w14:solidFill>
          </w14:textFill>
        </w:rPr>
        <w:t>主要是</w:t>
      </w:r>
      <w:r>
        <w:rPr>
          <w:rFonts w:hint="eastAsia" w:ascii="华文仿宋" w:hAnsi="华文仿宋" w:eastAsia="华文仿宋" w:cs="华文仿宋"/>
          <w:color w:val="000000" w:themeColor="text1"/>
          <w:kern w:val="0"/>
          <w:sz w:val="32"/>
          <w:szCs w:val="32"/>
          <w:lang w:eastAsia="zh-CN"/>
          <w14:textFill>
            <w14:solidFill>
              <w14:schemeClr w14:val="tx1"/>
            </w14:solidFill>
          </w14:textFill>
        </w:rPr>
        <w:t>学生数减少，拨款经费减少</w:t>
      </w:r>
      <w:r>
        <w:rPr>
          <w:rFonts w:hint="eastAsia" w:ascii="华文仿宋" w:hAnsi="华文仿宋" w:eastAsia="华文仿宋" w:cs="华文仿宋"/>
          <w:color w:val="000000" w:themeColor="text1"/>
          <w:kern w:val="0"/>
          <w:sz w:val="32"/>
          <w:szCs w:val="32"/>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社会保障和就业支出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208</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108.68</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华文仿宋" w:hAnsi="华文仿宋" w:eastAsia="华文仿宋" w:cs="华文仿宋"/>
          <w:color w:val="000000" w:themeColor="text1"/>
          <w:kern w:val="0"/>
          <w:sz w:val="32"/>
          <w:szCs w:val="32"/>
          <w14:textFill>
            <w14:solidFill>
              <w14:schemeClr w14:val="tx1"/>
            </w14:solidFill>
          </w14:textFill>
        </w:rPr>
        <w:t>缴纳教职工“五险”</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减少12.39</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下降10.23%</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教师调出和教师退休，人员减少，</w:t>
      </w:r>
      <w:r>
        <w:rPr>
          <w:rFonts w:hint="eastAsia" w:ascii="仿宋" w:hAnsi="仿宋" w:eastAsia="仿宋" w:cs="仿宋"/>
          <w:color w:val="000000" w:themeColor="text1"/>
          <w:sz w:val="32"/>
          <w:szCs w:val="32"/>
          <w:highlight w:val="none"/>
          <w:lang w:bidi="ar"/>
          <w14:textFill>
            <w14:solidFill>
              <w14:schemeClr w14:val="tx1"/>
            </w14:solidFill>
          </w14:textFill>
        </w:rPr>
        <w:t>社会保障和就业支出</w:t>
      </w:r>
      <w:r>
        <w:rPr>
          <w:rFonts w:hint="eastAsia" w:ascii="仿宋" w:hAnsi="仿宋" w:eastAsia="仿宋" w:cs="仿宋"/>
          <w:color w:val="000000" w:themeColor="text1"/>
          <w:sz w:val="32"/>
          <w:szCs w:val="32"/>
          <w:highlight w:val="none"/>
          <w:lang w:eastAsia="zh-CN" w:bidi="ar"/>
          <w14:textFill>
            <w14:solidFill>
              <w14:schemeClr w14:val="tx1"/>
            </w14:solidFill>
          </w14:textFill>
        </w:rPr>
        <w:t>就减少。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4</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住房保障支出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76.01</w:t>
      </w:r>
      <w:r>
        <w:rPr>
          <w:rFonts w:hint="eastAsia" w:ascii="仿宋" w:hAnsi="仿宋" w:eastAsia="仿宋" w:cs="仿宋"/>
          <w:color w:val="000000" w:themeColor="text1"/>
          <w:sz w:val="32"/>
          <w:szCs w:val="32"/>
          <w:highlight w:val="none"/>
          <w14:textFill>
            <w14:solidFill>
              <w14:schemeClr w14:val="tx1"/>
            </w14:solidFill>
          </w14:textFill>
        </w:rPr>
        <w:t>万元：主</w:t>
      </w:r>
      <w:r>
        <w:rPr>
          <w:rFonts w:hint="eastAsia" w:ascii="仿宋" w:hAnsi="仿宋" w:eastAsia="仿宋" w:cs="仿宋"/>
          <w:color w:val="000000" w:themeColor="text1"/>
          <w:sz w:val="32"/>
          <w:szCs w:val="32"/>
          <w:highlight w:val="none"/>
          <w:lang w:val="en-US" w:eastAsia="zh-CN"/>
          <w14:textFill>
            <w14:solidFill>
              <w14:schemeClr w14:val="tx1"/>
            </w14:solidFill>
          </w14:textFill>
        </w:rPr>
        <w:t>要用于教师的住房公积金</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增加18.14</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增长31.35%</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主要原因是：教师工资提高，汇缴基数增加，政府增加投资。</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其他支出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229</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bidi="ar"/>
          <w14:textFill>
            <w14:solidFill>
              <w14:schemeClr w14:val="tx1"/>
            </w14:solidFill>
          </w14:textFill>
        </w:rPr>
        <w:t>185.34</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奖金和劳务费</w:t>
      </w:r>
      <w:r>
        <w:rPr>
          <w:rFonts w:hint="eastAsia" w:ascii="仿宋" w:hAnsi="仿宋" w:eastAsia="仿宋" w:cs="仿宋"/>
          <w:color w:val="000000" w:themeColor="text1"/>
          <w:sz w:val="32"/>
          <w:szCs w:val="32"/>
          <w:highlight w:val="none"/>
          <w14:textFill>
            <w14:solidFill>
              <w14:schemeClr w14:val="tx1"/>
            </w14:solidFill>
          </w14:textFill>
        </w:rPr>
        <w:t>。较2021年度决算数</w:t>
      </w:r>
      <w:r>
        <w:rPr>
          <w:rFonts w:hint="eastAsia" w:ascii="仿宋" w:hAnsi="仿宋" w:eastAsia="仿宋" w:cs="仿宋"/>
          <w:color w:val="000000" w:themeColor="text1"/>
          <w:sz w:val="32"/>
          <w:szCs w:val="32"/>
          <w:highlight w:val="none"/>
          <w:lang w:bidi="ar"/>
          <w14:textFill>
            <w14:solidFill>
              <w14:schemeClr w14:val="tx1"/>
            </w14:solidFill>
          </w14:textFill>
        </w:rPr>
        <w:t>减少115.13</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下降38.32%</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主要原因是：教师调出和教师退休，人员减少。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000000" w:themeColor="text1"/>
          <w:sz w:val="32"/>
          <w:szCs w:val="32"/>
          <w:highlight w:val="none"/>
          <w:lang w:eastAsia="zh-CN" w:bidi="ar"/>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结余分配</w:t>
      </w:r>
      <w:r>
        <w:rPr>
          <w:rFonts w:hint="eastAsia" w:ascii="仿宋_GB2312" w:hAnsi="微软雅黑" w:eastAsia="仿宋_GB2312" w:cs="仿宋_GB2312"/>
          <w:color w:val="000000" w:themeColor="text1"/>
          <w:sz w:val="31"/>
          <w:szCs w:val="31"/>
          <w:highlight w:val="none"/>
          <w:shd w:val="clear" w:color="auto" w:fill="FFFFFF"/>
          <w14:textFill>
            <w14:solidFill>
              <w14:schemeClr w14:val="tx1"/>
            </w14:solidFill>
          </w14:textFill>
        </w:rPr>
        <w:t>0.00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年末结转和结余</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ind w:firstLine="640" w:firstLineChars="200"/>
        <w:jc w:val="center"/>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384675" cy="2974975"/>
            <wp:effectExtent l="4445" t="4445" r="1143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二、2022 年度</w:t>
      </w:r>
      <w:bookmarkStart w:id="2" w:name="OLE_LINK1"/>
      <w:r>
        <w:rPr>
          <w:rFonts w:hint="eastAsia" w:ascii="黑体" w:hAnsi="黑体" w:eastAsia="黑体" w:cs="黑体"/>
          <w:color w:val="000000" w:themeColor="text1"/>
          <w:sz w:val="32"/>
          <w:szCs w:val="32"/>
          <w:highlight w:val="none"/>
          <w14:textFill>
            <w14:solidFill>
              <w14:schemeClr w14:val="tx1"/>
            </w14:solidFill>
          </w14:textFill>
        </w:rPr>
        <w:t>一般公共预算财政拨款支出决算情况</w:t>
      </w:r>
      <w:bookmarkEnd w:id="2"/>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环江毛南族自治县下南乡中心小学2022年度一般公共预算财政拨款支出</w:t>
      </w:r>
      <w:r>
        <w:rPr>
          <w:rFonts w:ascii="仿宋" w:hAnsi="仿宋" w:eastAsia="仿宋" w:cs="仿宋"/>
          <w:color w:val="000000" w:themeColor="text1"/>
          <w:sz w:val="32"/>
          <w:u w:color="auto"/>
          <w14:textFill>
            <w14:solidFill>
              <w14:schemeClr w14:val="tx1"/>
            </w14:solidFill>
          </w14:textFill>
        </w:rPr>
        <w:t>1495.66</w:t>
      </w:r>
      <w:r>
        <w:rPr>
          <w:rFonts w:hint="eastAsia" w:ascii="仿宋" w:hAnsi="仿宋" w:eastAsia="仿宋" w:cs="仿宋"/>
          <w:color w:val="000000" w:themeColor="text1"/>
          <w:sz w:val="32"/>
          <w:szCs w:val="32"/>
          <w:highlight w:val="none"/>
          <w14:textFill>
            <w14:solidFill>
              <w14:schemeClr w14:val="tx1"/>
            </w14:solidFill>
          </w14:textFill>
        </w:rPr>
        <w:t>万元，较2021年度决算数</w:t>
      </w:r>
      <w:r>
        <w:rPr>
          <w:rFonts w:ascii="仿宋" w:hAnsi="仿宋" w:eastAsia="仿宋" w:cs="仿宋"/>
          <w:color w:val="000000" w:themeColor="text1"/>
          <w:sz w:val="32"/>
          <w:u w:color="auto"/>
          <w14:textFill>
            <w14:solidFill>
              <w14:schemeClr w14:val="tx1"/>
            </w14:solidFill>
          </w14:textFill>
        </w:rPr>
        <w:t>减少139.92</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下降8.55%</w:t>
      </w:r>
      <w:r>
        <w:rPr>
          <w:rFonts w:hint="eastAsia" w:ascii="仿宋" w:hAnsi="仿宋" w:eastAsia="仿宋" w:cs="仿宋"/>
          <w:color w:val="000000" w:themeColor="text1"/>
          <w:sz w:val="32"/>
          <w:szCs w:val="32"/>
          <w:highlight w:val="none"/>
          <w14:textFill>
            <w14:solidFill>
              <w14:schemeClr w14:val="tx1"/>
            </w14:solidFill>
          </w14:textFill>
        </w:rPr>
        <w:t>。其中：基本支出</w:t>
      </w:r>
      <w:r>
        <w:rPr>
          <w:rFonts w:ascii="仿宋" w:hAnsi="仿宋" w:eastAsia="仿宋" w:cs="仿宋"/>
          <w:color w:val="000000" w:themeColor="text1"/>
          <w:sz w:val="32"/>
          <w:u w:color="auto"/>
          <w14:textFill>
            <w14:solidFill>
              <w14:schemeClr w14:val="tx1"/>
            </w14:solidFill>
          </w14:textFill>
        </w:rPr>
        <w:t>1351.43</w:t>
      </w:r>
      <w:r>
        <w:rPr>
          <w:rFonts w:hint="eastAsia" w:ascii="仿宋" w:hAnsi="仿宋" w:eastAsia="仿宋" w:cs="仿宋"/>
          <w:color w:val="000000" w:themeColor="text1"/>
          <w:sz w:val="32"/>
          <w:szCs w:val="32"/>
          <w:highlight w:val="none"/>
          <w14:textFill>
            <w14:solidFill>
              <w14:schemeClr w14:val="tx1"/>
            </w14:solidFill>
          </w14:textFill>
        </w:rPr>
        <w:t>万元，项目支出</w:t>
      </w:r>
      <w:r>
        <w:rPr>
          <w:rFonts w:ascii="仿宋" w:hAnsi="仿宋" w:eastAsia="仿宋" w:cs="仿宋"/>
          <w:color w:val="000000" w:themeColor="text1"/>
          <w:sz w:val="32"/>
          <w:u w:color="auto"/>
          <w14:textFill>
            <w14:solidFill>
              <w14:schemeClr w14:val="tx1"/>
            </w14:solidFill>
          </w14:textFill>
        </w:rPr>
        <w:t>144.23</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环江毛南族自治县下南乡中心小学2022 年度一般公共预算财政拨款支出年初预算为</w:t>
      </w:r>
      <w:r>
        <w:rPr>
          <w:rFonts w:ascii="仿宋" w:hAnsi="仿宋" w:eastAsia="仿宋" w:cs="仿宋"/>
          <w:color w:val="000000" w:themeColor="text1"/>
          <w:sz w:val="32"/>
          <w:u w:color="auto"/>
          <w14:textFill>
            <w14:solidFill>
              <w14:schemeClr w14:val="tx1"/>
            </w14:solidFill>
          </w14:textFill>
        </w:rPr>
        <w:t>1033.96</w:t>
      </w:r>
      <w:r>
        <w:rPr>
          <w:rFonts w:hint="eastAsia" w:ascii="仿宋" w:hAnsi="仿宋" w:eastAsia="仿宋" w:cs="仿宋"/>
          <w:color w:val="000000" w:themeColor="text1"/>
          <w:sz w:val="32"/>
          <w:szCs w:val="32"/>
          <w:highlight w:val="none"/>
          <w14:textFill>
            <w14:solidFill>
              <w14:schemeClr w14:val="tx1"/>
            </w14:solidFill>
          </w14:textFill>
        </w:rPr>
        <w:t>万元，支出决算为</w:t>
      </w:r>
      <w:r>
        <w:rPr>
          <w:rFonts w:ascii="仿宋" w:hAnsi="仿宋" w:eastAsia="仿宋" w:cs="仿宋"/>
          <w:color w:val="000000" w:themeColor="text1"/>
          <w:sz w:val="32"/>
          <w:u w:color="auto"/>
          <w14:textFill>
            <w14:solidFill>
              <w14:schemeClr w14:val="tx1"/>
            </w14:solidFill>
          </w14:textFill>
        </w:rPr>
        <w:t>1495.66</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u w:color="auto"/>
          <w14:textFill>
            <w14:solidFill>
              <w14:schemeClr w14:val="tx1"/>
            </w14:solidFill>
          </w14:textFill>
        </w:rPr>
        <w:t>144.65%</w:t>
      </w:r>
      <w:r>
        <w:rPr>
          <w:rFonts w:hint="eastAsia" w:ascii="仿宋" w:hAnsi="仿宋" w:eastAsia="仿宋" w:cs="仿宋"/>
          <w:color w:val="000000" w:themeColor="text1"/>
          <w:sz w:val="32"/>
          <w:szCs w:val="32"/>
          <w:highlight w:val="none"/>
          <w14:textFill>
            <w14:solidFill>
              <w14:schemeClr w14:val="tx1"/>
            </w14:solidFill>
          </w14:textFill>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一般公共服务支出</w:t>
      </w:r>
      <w:r>
        <w:rPr>
          <w:rFonts w:ascii="仿宋" w:hAnsi="仿宋" w:eastAsia="仿宋"/>
          <w:color w:val="000000" w:themeColor="text1"/>
          <w:sz w:val="32"/>
          <w:u w:color="auto"/>
          <w14:textFill>
            <w14:solidFill>
              <w14:schemeClr w14:val="tx1"/>
            </w14:solidFill>
          </w14:textFill>
        </w:rPr>
        <w:t>（201</w:t>
      </w:r>
      <w:r>
        <w:rPr>
          <w:rFonts w:hint="eastAsia" w:ascii="仿宋" w:hAnsi="仿宋" w:eastAsia="仿宋"/>
          <w:color w:val="000000" w:themeColor="text1"/>
          <w:sz w:val="32"/>
          <w:szCs w:val="32"/>
          <w:highlight w:val="none"/>
          <w14:textFill>
            <w14:solidFill>
              <w14:schemeClr w14:val="tx1"/>
            </w14:solidFill>
          </w14:textFill>
        </w:rPr>
        <w:t>类）年初预算为</w:t>
      </w:r>
      <w:r>
        <w:rPr>
          <w:rFonts w:ascii="仿宋" w:hAnsi="仿宋" w:eastAsia="仿宋"/>
          <w:color w:val="000000" w:themeColor="text1"/>
          <w:sz w:val="32"/>
          <w:szCs w:val="32"/>
          <w:highlight w:val="none"/>
          <w14:textFill>
            <w14:solidFill>
              <w14:schemeClr w14:val="tx1"/>
            </w14:solidFill>
          </w14:textFill>
        </w:rPr>
        <w:t>14.76</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ascii="仿宋" w:hAnsi="仿宋" w:eastAsia="仿宋"/>
          <w:color w:val="000000" w:themeColor="text1"/>
          <w:sz w:val="32"/>
          <w:szCs w:val="32"/>
          <w:highlight w:val="none"/>
          <w14:textFill>
            <w14:solidFill>
              <w14:schemeClr w14:val="tx1"/>
            </w14:solidFill>
          </w14:textFill>
        </w:rPr>
        <w:t>14.76</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ascii="仿宋" w:hAnsi="仿宋" w:eastAsia="仿宋"/>
          <w:color w:val="000000" w:themeColor="text1"/>
          <w:sz w:val="32"/>
          <w:szCs w:val="32"/>
          <w:highlight w:val="none"/>
          <w14:textFill>
            <w14:solidFill>
              <w14:schemeClr w14:val="tx1"/>
            </w14:solidFill>
          </w14:textFill>
        </w:rPr>
        <w:t>100.00%</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工会费按实际使用，开展教职工活动。</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14.76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14.76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工会费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按照实际分配使用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14.76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14.76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教育支出</w:t>
      </w:r>
      <w:r>
        <w:rPr>
          <w:rFonts w:ascii="仿宋" w:hAnsi="仿宋" w:eastAsia="仿宋"/>
          <w:color w:val="000000" w:themeColor="text1"/>
          <w:sz w:val="32"/>
          <w:u w:color="auto"/>
          <w14:textFill>
            <w14:solidFill>
              <w14:schemeClr w14:val="tx1"/>
            </w14:solidFill>
          </w14:textFill>
        </w:rPr>
        <w:t>（205</w:t>
      </w:r>
      <w:r>
        <w:rPr>
          <w:rFonts w:hint="eastAsia" w:ascii="仿宋" w:hAnsi="仿宋" w:eastAsia="仿宋"/>
          <w:color w:val="000000" w:themeColor="text1"/>
          <w:sz w:val="32"/>
          <w:szCs w:val="32"/>
          <w:highlight w:val="none"/>
          <w14:textFill>
            <w14:solidFill>
              <w14:schemeClr w14:val="tx1"/>
            </w14:solidFill>
          </w14:textFill>
        </w:rPr>
        <w:t>类）年初预算为</w:t>
      </w:r>
      <w:r>
        <w:rPr>
          <w:rFonts w:ascii="仿宋" w:hAnsi="仿宋" w:eastAsia="仿宋"/>
          <w:color w:val="000000" w:themeColor="text1"/>
          <w:sz w:val="32"/>
          <w:szCs w:val="32"/>
          <w:highlight w:val="none"/>
          <w14:textFill>
            <w14:solidFill>
              <w14:schemeClr w14:val="tx1"/>
            </w14:solidFill>
          </w14:textFill>
        </w:rPr>
        <w:t>812.61</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ascii="仿宋" w:hAnsi="仿宋" w:eastAsia="仿宋"/>
          <w:color w:val="000000" w:themeColor="text1"/>
          <w:sz w:val="32"/>
          <w:szCs w:val="32"/>
          <w:highlight w:val="none"/>
          <w14:textFill>
            <w14:solidFill>
              <w14:schemeClr w14:val="tx1"/>
            </w14:solidFill>
          </w14:textFill>
        </w:rPr>
        <w:t>1112.40</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ascii="仿宋" w:hAnsi="仿宋" w:eastAsia="仿宋"/>
          <w:color w:val="000000" w:themeColor="text1"/>
          <w:sz w:val="32"/>
          <w:szCs w:val="32"/>
          <w:highlight w:val="none"/>
          <w14:textFill>
            <w14:solidFill>
              <w14:schemeClr w14:val="tx1"/>
            </w14:solidFill>
          </w14:textFill>
        </w:rPr>
        <w:t>136.89%</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教师待工资遇提高，支出相对增加。</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812.61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1098.35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135.16%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14:textFill>
                  <w14:solidFill>
                    <w14:schemeClr w14:val="tx1"/>
                  </w14:solidFill>
                </w14:textFill>
              </w:rPr>
              <w:t>主要用于全县教育系统人员工资及为开展教育教学活动的支出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年初没预计教师工资提高及各种支出增多。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11.84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各种支出增多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2.21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各种支出增多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812.61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1112.40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各种支出增多</w:t>
            </w:r>
          </w:p>
        </w:tc>
      </w:tr>
    </w:tbl>
    <w:p>
      <w:pPr>
        <w:jc w:val="both"/>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2778125"/>
            <wp:effectExtent l="4445" t="4445" r="16510" b="1778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社会保障和就业支出</w:t>
      </w:r>
      <w:r>
        <w:rPr>
          <w:rFonts w:ascii="仿宋" w:hAnsi="仿宋" w:eastAsia="仿宋"/>
          <w:color w:val="000000" w:themeColor="text1"/>
          <w:sz w:val="32"/>
          <w:u w:color="auto"/>
          <w14:textFill>
            <w14:solidFill>
              <w14:schemeClr w14:val="tx1"/>
            </w14:solidFill>
          </w14:textFill>
        </w:rPr>
        <w:t>（208</w:t>
      </w:r>
      <w:r>
        <w:rPr>
          <w:rFonts w:hint="eastAsia" w:ascii="仿宋" w:hAnsi="仿宋" w:eastAsia="仿宋"/>
          <w:color w:val="000000" w:themeColor="text1"/>
          <w:sz w:val="32"/>
          <w:szCs w:val="32"/>
          <w:highlight w:val="none"/>
          <w14:textFill>
            <w14:solidFill>
              <w14:schemeClr w14:val="tx1"/>
            </w14:solidFill>
          </w14:textFill>
        </w:rPr>
        <w:t>类）年初预算为</w:t>
      </w:r>
      <w:r>
        <w:rPr>
          <w:rFonts w:ascii="仿宋" w:hAnsi="仿宋" w:eastAsia="仿宋"/>
          <w:color w:val="000000" w:themeColor="text1"/>
          <w:sz w:val="32"/>
          <w:szCs w:val="32"/>
          <w:highlight w:val="none"/>
          <w14:textFill>
            <w14:solidFill>
              <w14:schemeClr w14:val="tx1"/>
            </w14:solidFill>
          </w14:textFill>
        </w:rPr>
        <w:t>118.05</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ascii="仿宋" w:hAnsi="仿宋" w:eastAsia="仿宋"/>
          <w:color w:val="000000" w:themeColor="text1"/>
          <w:sz w:val="32"/>
          <w:szCs w:val="32"/>
          <w:highlight w:val="none"/>
          <w14:textFill>
            <w14:solidFill>
              <w14:schemeClr w14:val="tx1"/>
            </w14:solidFill>
          </w14:textFill>
        </w:rPr>
        <w:t>108.68</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ascii="仿宋" w:hAnsi="仿宋" w:eastAsia="仿宋"/>
          <w:color w:val="000000" w:themeColor="text1"/>
          <w:sz w:val="32"/>
          <w:szCs w:val="32"/>
          <w:highlight w:val="none"/>
          <w14:textFill>
            <w14:solidFill>
              <w14:schemeClr w14:val="tx1"/>
            </w14:solidFill>
          </w14:textFill>
        </w:rPr>
        <w:t>92.06%</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原因是：人员工资基数增加，年初预算数据偏大。</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118.05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108.68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92.06%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用于教师</w:t>
            </w: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olor w:val="000000" w:themeColor="text1"/>
                <w:sz w:val="21"/>
                <w:szCs w:val="21"/>
                <w:highlight w:val="none"/>
                <w:lang w:val="en-US" w:eastAsia="zh-CN"/>
                <w14:textFill>
                  <w14:solidFill>
                    <w14:schemeClr w14:val="tx1"/>
                  </w14:solidFill>
                </w14:textFill>
              </w:rPr>
              <w:t>人为增加工资基数，年初预算数据偏大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118.05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108.68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按实际用途填写</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按照实际原因填写</w:t>
            </w: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住房保障支出</w:t>
      </w:r>
      <w:r>
        <w:rPr>
          <w:rFonts w:ascii="仿宋" w:hAnsi="仿宋" w:eastAsia="仿宋"/>
          <w:color w:val="000000" w:themeColor="text1"/>
          <w:sz w:val="32"/>
          <w:u w:color="auto"/>
          <w14:textFill>
            <w14:solidFill>
              <w14:schemeClr w14:val="tx1"/>
            </w14:solidFill>
          </w14:textFill>
        </w:rPr>
        <w:t>（221</w:t>
      </w:r>
      <w:r>
        <w:rPr>
          <w:rFonts w:hint="eastAsia" w:ascii="仿宋" w:hAnsi="仿宋" w:eastAsia="仿宋"/>
          <w:color w:val="000000" w:themeColor="text1"/>
          <w:sz w:val="32"/>
          <w:szCs w:val="32"/>
          <w:highlight w:val="none"/>
          <w14:textFill>
            <w14:solidFill>
              <w14:schemeClr w14:val="tx1"/>
            </w14:solidFill>
          </w14:textFill>
        </w:rPr>
        <w:t>类）年初预算为</w:t>
      </w:r>
      <w:r>
        <w:rPr>
          <w:rFonts w:ascii="仿宋" w:hAnsi="仿宋" w:eastAsia="仿宋"/>
          <w:color w:val="000000" w:themeColor="text1"/>
          <w:sz w:val="32"/>
          <w:szCs w:val="32"/>
          <w:highlight w:val="none"/>
          <w14:textFill>
            <w14:solidFill>
              <w14:schemeClr w14:val="tx1"/>
            </w14:solidFill>
          </w14:textFill>
        </w:rPr>
        <w:t>88.54</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ascii="仿宋" w:hAnsi="仿宋" w:eastAsia="仿宋"/>
          <w:color w:val="000000" w:themeColor="text1"/>
          <w:sz w:val="32"/>
          <w:szCs w:val="32"/>
          <w:highlight w:val="none"/>
          <w14:textFill>
            <w14:solidFill>
              <w14:schemeClr w14:val="tx1"/>
            </w14:solidFill>
          </w14:textFill>
        </w:rPr>
        <w:t>76.01</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ascii="仿宋" w:hAnsi="仿宋" w:eastAsia="仿宋"/>
          <w:color w:val="000000" w:themeColor="text1"/>
          <w:sz w:val="32"/>
          <w:szCs w:val="32"/>
          <w:highlight w:val="none"/>
          <w14:textFill>
            <w14:solidFill>
              <w14:schemeClr w14:val="tx1"/>
            </w14:solidFill>
          </w14:textFill>
        </w:rPr>
        <w:t>85.85%</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原因是：人员工资基数增加，年初预算数据偏大。</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88.54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76.01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85.85%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用于教师生活用房</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olor w:val="000000" w:themeColor="text1"/>
                <w:sz w:val="21"/>
                <w:szCs w:val="21"/>
                <w:highlight w:val="none"/>
                <w:lang w:val="en-US" w:eastAsia="zh-CN"/>
                <w14:textFill>
                  <w14:solidFill>
                    <w14:schemeClr w14:val="tx1"/>
                  </w14:solidFill>
                </w14:textFill>
              </w:rPr>
              <w:t>人为增加工资基数，年初预算数据偏大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88.54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76.01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2720975"/>
            <wp:effectExtent l="4445" t="4445" r="16510" b="1778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其他支出</w:t>
      </w:r>
      <w:r>
        <w:rPr>
          <w:rFonts w:ascii="仿宋" w:hAnsi="仿宋" w:eastAsia="仿宋"/>
          <w:color w:val="000000" w:themeColor="text1"/>
          <w:sz w:val="32"/>
          <w:u w:color="auto"/>
          <w14:textFill>
            <w14:solidFill>
              <w14:schemeClr w14:val="tx1"/>
            </w14:solidFill>
          </w14:textFill>
        </w:rPr>
        <w:t>（229</w:t>
      </w:r>
      <w:r>
        <w:rPr>
          <w:rFonts w:hint="eastAsia" w:ascii="仿宋" w:hAnsi="仿宋" w:eastAsia="仿宋"/>
          <w:color w:val="000000" w:themeColor="text1"/>
          <w:sz w:val="32"/>
          <w:szCs w:val="32"/>
          <w:highlight w:val="none"/>
          <w14:textFill>
            <w14:solidFill>
              <w14:schemeClr w14:val="tx1"/>
            </w14:solidFill>
          </w14:textFill>
        </w:rPr>
        <w:t>类）年初预算为</w:t>
      </w:r>
      <w:r>
        <w:rPr>
          <w:rFonts w:ascii="仿宋" w:hAnsi="仿宋" w:eastAsia="仿宋"/>
          <w:color w:val="000000" w:themeColor="text1"/>
          <w:sz w:val="32"/>
          <w:szCs w:val="32"/>
          <w:highlight w:val="none"/>
          <w14:textFill>
            <w14:solidFill>
              <w14:schemeClr w14:val="tx1"/>
            </w14:solidFill>
          </w14:textFill>
        </w:rPr>
        <w:t>183.82</w:t>
      </w:r>
      <w:r>
        <w:rPr>
          <w:rFonts w:hint="eastAsia" w:ascii="仿宋" w:hAnsi="仿宋" w:eastAsia="仿宋"/>
          <w:color w:val="000000" w:themeColor="text1"/>
          <w:sz w:val="32"/>
          <w:szCs w:val="32"/>
          <w:highlight w:val="none"/>
          <w14:textFill>
            <w14:solidFill>
              <w14:schemeClr w14:val="tx1"/>
            </w14:solidFill>
          </w14:textFill>
        </w:rPr>
        <w:t>万元，支出决算为</w:t>
      </w:r>
      <w:r>
        <w:rPr>
          <w:rFonts w:ascii="仿宋" w:hAnsi="仿宋" w:eastAsia="仿宋"/>
          <w:color w:val="000000" w:themeColor="text1"/>
          <w:sz w:val="32"/>
          <w:szCs w:val="32"/>
          <w:highlight w:val="none"/>
          <w14:textFill>
            <w14:solidFill>
              <w14:schemeClr w14:val="tx1"/>
            </w14:solidFill>
          </w14:textFill>
        </w:rPr>
        <w:t>183.82</w:t>
      </w:r>
      <w:r>
        <w:rPr>
          <w:rFonts w:hint="eastAsia" w:ascii="仿宋" w:hAnsi="仿宋" w:eastAsia="仿宋"/>
          <w:color w:val="000000" w:themeColor="text1"/>
          <w:sz w:val="32"/>
          <w:szCs w:val="32"/>
          <w:highlight w:val="none"/>
          <w14:textFill>
            <w14:solidFill>
              <w14:schemeClr w14:val="tx1"/>
            </w14:solidFill>
          </w14:textFill>
        </w:rPr>
        <w:t>万元，完成年初预算的</w:t>
      </w:r>
      <w:r>
        <w:rPr>
          <w:rFonts w:ascii="仿宋" w:hAnsi="仿宋" w:eastAsia="仿宋"/>
          <w:color w:val="000000" w:themeColor="text1"/>
          <w:sz w:val="32"/>
          <w:szCs w:val="32"/>
          <w:highlight w:val="none"/>
          <w14:textFill>
            <w14:solidFill>
              <w14:schemeClr w14:val="tx1"/>
            </w14:solidFill>
          </w14:textFill>
        </w:rPr>
        <w:t>100.00%</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奖金和劳务费增加。</w:t>
      </w:r>
    </w:p>
    <w:p>
      <w:pPr>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olor w:val="000000" w:themeColor="text1"/>
          <w:sz w:val="32"/>
          <w:szCs w:val="32"/>
          <w:highlight w:val="none"/>
          <w14:textFill>
            <w14:solidFill>
              <w14:schemeClr w14:val="tx1"/>
            </w14:solidFill>
          </w14:textFill>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0"/>
                <w:szCs w:val="20"/>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183.82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奖金、劳务费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按照实际使用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18"/>
                <w:szCs w:val="18"/>
                <w:highlight w:val="none"/>
                <w:u w:val="none"/>
                <w:lang w:val="en-US" w:eastAsia="zh-CN" w:bidi="ar-SA"/>
                <w14:textFill>
                  <w14:solidFill>
                    <w14:schemeClr w14:val="tx1"/>
                  </w14:solidFill>
                </w14:textFill>
              </w:rPr>
              <w:t>183.82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bl>
    <w:p>
      <w:pPr>
        <w:jc w:val="left"/>
        <w:rPr>
          <w:rFonts w:hint="eastAsia" w:ascii="仿宋" w:hAnsi="仿宋" w:eastAsia="仿宋"/>
          <w:color w:val="000000" w:themeColor="text1"/>
          <w:sz w:val="32"/>
          <w:szCs w:val="32"/>
          <w:highlight w:val="none"/>
          <w14:textFill>
            <w14:solidFill>
              <w14:schemeClr w14:val="tx1"/>
            </w14:solidFill>
          </w14:textFill>
        </w:rPr>
      </w:pPr>
    </w:p>
    <w:p>
      <w:pPr>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2625725"/>
            <wp:effectExtent l="4445" t="4445" r="16510" b="17780"/>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三、2022年度一般公共预算财政拨款基本支出决算情况说明</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环江毛南族自治县下南乡中心小学2022年度一般公共预算财政拨款基本支出</w:t>
      </w:r>
      <w:r>
        <w:rPr>
          <w:rFonts w:ascii="仿宋" w:hAnsi="仿宋" w:eastAsia="仿宋" w:cs="仿宋"/>
          <w:color w:val="000000" w:themeColor="text1"/>
          <w:sz w:val="32"/>
          <w:u w:color="auto"/>
          <w14:textFill>
            <w14:solidFill>
              <w14:schemeClr w14:val="tx1"/>
            </w14:solidFill>
          </w14:textFill>
        </w:rPr>
        <w:t>1351.43</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其中：人员经费支出</w:t>
      </w:r>
      <w:r>
        <w:rPr>
          <w:rFonts w:hint="eastAsia" w:ascii="仿宋" w:hAnsi="仿宋" w:eastAsia="仿宋" w:cs="仿宋"/>
          <w:color w:val="000000" w:themeColor="text1"/>
          <w:sz w:val="32"/>
          <w:szCs w:val="32"/>
          <w:highlight w:val="none"/>
          <w14:textFill>
            <w14:solidFill>
              <w14:schemeClr w14:val="tx1"/>
            </w14:solidFill>
          </w14:textFill>
        </w:rPr>
        <w:t>1283.01</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万元，公用经费支出</w:t>
      </w:r>
      <w:r>
        <w:rPr>
          <w:rFonts w:hint="eastAsia" w:ascii="仿宋" w:hAnsi="仿宋" w:eastAsia="仿宋" w:cs="仿宋"/>
          <w:color w:val="000000" w:themeColor="text1"/>
          <w:sz w:val="32"/>
          <w:szCs w:val="32"/>
          <w:highlight w:val="none"/>
          <w14:textFill>
            <w14:solidFill>
              <w14:schemeClr w14:val="tx1"/>
            </w14:solidFill>
          </w14:textFill>
        </w:rPr>
        <w:t>68.42</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万元，</w:t>
      </w:r>
      <w:r>
        <w:rPr>
          <w:rFonts w:hint="eastAsia" w:ascii="仿宋" w:hAnsi="仿宋" w:eastAsia="仿宋" w:cs="仿宋"/>
          <w:color w:val="000000" w:themeColor="text1"/>
          <w:sz w:val="32"/>
          <w:szCs w:val="32"/>
          <w:highlight w:val="none"/>
          <w14:textFill>
            <w14:solidFill>
              <w14:schemeClr w14:val="tx1"/>
            </w14:solidFill>
          </w14:textFill>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工资福利支出</w:t>
      </w:r>
      <w:r>
        <w:rPr>
          <w:rFonts w:ascii="仿宋" w:hAnsi="仿宋" w:eastAsia="仿宋" w:cs="仿宋"/>
          <w:color w:val="000000" w:themeColor="text1"/>
          <w:sz w:val="32"/>
          <w:u w:color="auto"/>
          <w14:textFill>
            <w14:solidFill>
              <w14:schemeClr w14:val="tx1"/>
            </w14:solidFill>
          </w14:textFill>
        </w:rPr>
        <w:t>1032.78万元，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108.35%</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主要原因是：提高薪级工资。</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30101基本工资384.76万元，30102津贴补贴88.55万元，30103奖金122.10万元，30107绩效工资186.86万元，30108机关事业单位基本养老保险缴费108.68万元，30110职工基本医疗保险缴费49.94万元，30112其他社会保障缴费5.71万元，30113住房公积金76.01万元，30199其他工资福利支出10.18万元。</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商品和服务支出</w:t>
      </w:r>
      <w:r>
        <w:rPr>
          <w:rFonts w:ascii="仿宋" w:hAnsi="仿宋" w:eastAsia="仿宋" w:cs="仿宋"/>
          <w:color w:val="000000" w:themeColor="text1"/>
          <w:sz w:val="32"/>
          <w:u w:color="auto"/>
          <w14:textFill>
            <w14:solidFill>
              <w14:schemeClr w14:val="tx1"/>
            </w14:solidFill>
          </w14:textFill>
        </w:rPr>
        <w:t>67.06万元，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454.34%</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30201办公费13.73万元，30206电费3.81万元，30207邮电费1.78万元，30211差旅费5.59万元，30213维修（护）费27.01万元，30218专用材料费0.38万元，30228工会经费14.76万元。</w:t>
      </w: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993005" cy="2240280"/>
            <wp:effectExtent l="5080" t="4445" r="15875" b="1079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对个人和家庭的补助</w:t>
      </w:r>
      <w:r>
        <w:rPr>
          <w:rFonts w:ascii="仿宋" w:hAnsi="仿宋" w:eastAsia="仿宋" w:cs="仿宋"/>
          <w:color w:val="000000" w:themeColor="text1"/>
          <w:sz w:val="32"/>
          <w:u w:color="auto"/>
          <w14:textFill>
            <w14:solidFill>
              <w14:schemeClr w14:val="tx1"/>
            </w14:solidFill>
          </w14:textFill>
        </w:rPr>
        <w:t>250.23万元，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413.33%</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主要原因是：抚恤金、生活补助、家庭补助费提高标准。</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30304抚恤金38.41万元，30305生活补助60.78万元，30308助学金125.59万元，30399其他对个人和家庭的补助25.44万元。</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债务利息及费用支出</w:t>
      </w:r>
      <w:r>
        <w:rPr>
          <w:rFonts w:ascii="仿宋" w:hAnsi="仿宋" w:eastAsia="仿宋" w:cs="仿宋"/>
          <w:color w:val="000000" w:themeColor="text1"/>
          <w:sz w:val="32"/>
          <w:u w:color="auto"/>
          <w14:textFill>
            <w14:solidFill>
              <w14:schemeClr w14:val="tx1"/>
            </w14:solidFill>
          </w14:textFill>
        </w:rPr>
        <w:t>0.00万元，</w:t>
      </w:r>
      <w:r>
        <w:rPr>
          <w:rFonts w:hint="eastAsia" w:ascii="仿宋" w:hAnsi="仿宋" w:eastAsia="仿宋" w:cs="仿宋"/>
          <w:color w:val="000000" w:themeColor="text1"/>
          <w:sz w:val="32"/>
          <w:u w:color="auto"/>
          <w:lang w:val="en-US" w:eastAsia="zh-CN"/>
          <w14:textFill>
            <w14:solidFill>
              <w14:schemeClr w14:val="tx1"/>
            </w14:solidFill>
          </w14:textFill>
        </w:rPr>
        <w:t>本单位无债务。</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250761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资本性支出</w:t>
      </w:r>
      <w:r>
        <w:rPr>
          <w:rFonts w:ascii="仿宋" w:hAnsi="仿宋" w:eastAsia="仿宋" w:cs="仿宋"/>
          <w:color w:val="000000" w:themeColor="text1"/>
          <w:sz w:val="32"/>
          <w:u w:color="auto"/>
          <w14:textFill>
            <w14:solidFill>
              <w14:schemeClr w14:val="tx1"/>
            </w14:solidFill>
          </w14:textFill>
        </w:rPr>
        <w:t>1.36万元，</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完成年初预算的</w:t>
      </w:r>
      <w:r>
        <w:rPr>
          <w:rFonts w:hint="eastAsia" w:ascii="仿宋" w:hAnsi="仿宋" w:eastAsia="仿宋" w:cs="仿宋"/>
          <w:color w:val="000000" w:themeColor="text1"/>
          <w:sz w:val="32"/>
          <w:szCs w:val="32"/>
          <w:highlight w:val="none"/>
          <w14:textFill>
            <w14:solidFill>
              <w14:schemeClr w14:val="tx1"/>
            </w14:solidFill>
          </w14:textFill>
        </w:rPr>
        <w:t>100%</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eastAsia="zh-CN"/>
          <w14:textFill>
            <w14:solidFill>
              <w14:schemeClr w14:val="tx1"/>
            </w14:solidFill>
          </w14:textFill>
        </w:rPr>
        <w:t>。</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31002办公设备购置1.36万元。</w:t>
      </w:r>
    </w:p>
    <w:p>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其他支出</w:t>
      </w:r>
      <w:r>
        <w:rPr>
          <w:rFonts w:ascii="仿宋" w:hAnsi="仿宋" w:eastAsia="仿宋" w:cs="仿宋"/>
          <w:color w:val="000000" w:themeColor="text1"/>
          <w:sz w:val="32"/>
          <w:u w:color="auto"/>
          <w14:textFill>
            <w14:solidFill>
              <w14:schemeClr w14:val="tx1"/>
            </w14:solidFill>
          </w14:textFill>
        </w:rPr>
        <w:t>0.00万元，</w:t>
      </w:r>
      <w:r>
        <w:rPr>
          <w:rFonts w:hint="eastAsia" w:ascii="仿宋" w:hAnsi="仿宋" w:eastAsia="仿宋" w:cs="仿宋"/>
          <w:color w:val="000000" w:themeColor="text1"/>
          <w:sz w:val="32"/>
          <w:u w:color="auto"/>
          <w:lang w:val="en-US" w:eastAsia="zh-CN"/>
          <w14:textFill>
            <w14:solidFill>
              <w14:schemeClr w14:val="tx1"/>
            </w14:solidFill>
          </w14:textFill>
        </w:rPr>
        <w:t>主要原因：本单位无。</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支出具体情况如下</w:t>
      </w:r>
      <w:r>
        <w:rPr>
          <w:rFonts w:hint="eastAsia" w:ascii="仿宋" w:hAnsi="仿宋" w:eastAsia="仿宋" w:cs="仿宋"/>
          <w:color w:val="000000" w:themeColor="text1"/>
          <w:sz w:val="32"/>
          <w:szCs w:val="32"/>
          <w:highlight w:val="none"/>
          <w14:textFill>
            <w14:solidFill>
              <w14:schemeClr w14:val="tx1"/>
            </w14:solidFill>
          </w14:textFill>
        </w:rPr>
        <w:t>：</w:t>
      </w:r>
    </w:p>
    <w:p>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4474845" cy="2781935"/>
            <wp:effectExtent l="4445" t="4445" r="16510" b="1778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四、2022年度政府性基金支出决算情况</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环江毛南族自治县下南乡中心小学2022年度政府性基金支出</w:t>
      </w:r>
      <w:r>
        <w:rPr>
          <w:rFonts w:ascii="仿宋" w:hAnsi="仿宋" w:eastAsia="仿宋" w:cs="仿宋"/>
          <w:color w:val="000000" w:themeColor="text1"/>
          <w:sz w:val="32"/>
          <w:szCs w:val="32"/>
          <w:highlight w:val="none"/>
          <w14:textFill>
            <w14:solidFill>
              <w14:schemeClr w14:val="tx1"/>
            </w14:solidFill>
          </w14:textFill>
        </w:rPr>
        <w:t>1.52</w:t>
      </w:r>
      <w:r>
        <w:rPr>
          <w:rFonts w:hint="eastAsia" w:ascii="仿宋" w:hAnsi="仿宋" w:eastAsia="仿宋" w:cs="仿宋"/>
          <w:color w:val="000000" w:themeColor="text1"/>
          <w:sz w:val="32"/>
          <w:szCs w:val="32"/>
          <w:highlight w:val="none"/>
          <w14:textFill>
            <w14:solidFill>
              <w14:schemeClr w14:val="tx1"/>
            </w14:solidFill>
          </w14:textFill>
        </w:rPr>
        <w:t>万元，较2021年度决算数</w:t>
      </w:r>
      <w:r>
        <w:rPr>
          <w:rFonts w:ascii="仿宋" w:hAnsi="仿宋" w:eastAsia="仿宋" w:cs="仿宋"/>
          <w:color w:val="000000" w:themeColor="text1"/>
          <w:sz w:val="32"/>
          <w:szCs w:val="32"/>
          <w:highlight w:val="none"/>
          <w14:textFill>
            <w14:solidFill>
              <w14:schemeClr w14:val="tx1"/>
            </w14:solidFill>
          </w14:textFill>
        </w:rPr>
        <w:t>减少5.13</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szCs w:val="32"/>
          <w:highlight w:val="none"/>
          <w14:textFill>
            <w14:solidFill>
              <w14:schemeClr w14:val="tx1"/>
            </w14:solidFill>
          </w14:textFill>
        </w:rPr>
        <w:t>下降77.14%</w:t>
      </w:r>
      <w:r>
        <w:rPr>
          <w:rFonts w:hint="eastAsia" w:ascii="仿宋" w:hAnsi="仿宋" w:eastAsia="仿宋" w:cs="仿宋"/>
          <w:color w:val="000000" w:themeColor="text1"/>
          <w:sz w:val="32"/>
          <w:szCs w:val="32"/>
          <w:highlight w:val="none"/>
          <w14:textFill>
            <w14:solidFill>
              <w14:schemeClr w14:val="tx1"/>
            </w14:solidFill>
          </w14:textFill>
        </w:rPr>
        <w:t>其中：基本支出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万元，项目支出</w:t>
      </w:r>
      <w:r>
        <w:rPr>
          <w:rFonts w:ascii="仿宋" w:hAnsi="仿宋" w:eastAsia="仿宋" w:cs="仿宋"/>
          <w:color w:val="000000" w:themeColor="text1"/>
          <w:sz w:val="32"/>
          <w:szCs w:val="32"/>
          <w:highlight w:val="none"/>
          <w14:textFill>
            <w14:solidFill>
              <w14:schemeClr w14:val="tx1"/>
            </w14:solidFill>
          </w14:textFill>
        </w:rPr>
        <w:t>1.52</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环江毛南族自治县下南乡中心小学2022年度政府性基金支出年初预算为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万元，支出决算为</w:t>
      </w:r>
      <w:r>
        <w:rPr>
          <w:rFonts w:ascii="仿宋" w:hAnsi="仿宋" w:eastAsia="仿宋" w:cs="仿宋"/>
          <w:color w:val="000000" w:themeColor="text1"/>
          <w:sz w:val="32"/>
          <w:szCs w:val="32"/>
          <w:highlight w:val="none"/>
          <w14:textFill>
            <w14:solidFill>
              <w14:schemeClr w14:val="tx1"/>
            </w14:solidFill>
          </w14:textFill>
        </w:rPr>
        <w:t>1.52</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ascii="仿宋" w:hAnsi="仿宋" w:eastAsia="仿宋" w:cs="仿宋"/>
          <w:color w:val="000000" w:themeColor="text1"/>
          <w:sz w:val="32"/>
          <w:u w:color="auto"/>
          <w14:textFill>
            <w14:solidFill>
              <w14:schemeClr w14:val="tx1"/>
            </w14:solidFill>
          </w14:textFill>
        </w:rPr>
        <w:t>1)其他支出</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229</w:t>
      </w:r>
      <w:r>
        <w:rPr>
          <w:rFonts w:hint="eastAsia" w:ascii="仿宋" w:hAnsi="仿宋" w:eastAsia="仿宋" w:cs="仿宋"/>
          <w:color w:val="000000" w:themeColor="text1"/>
          <w:sz w:val="32"/>
          <w:szCs w:val="32"/>
          <w:shd w:val="clear" w:color="auto" w:fill="FFFFFF"/>
          <w14:textFill>
            <w14:solidFill>
              <w14:schemeClr w14:val="tx1"/>
            </w14:solidFill>
          </w14:textFill>
        </w:rPr>
        <w:t>类）</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彩票公益金安排的支出</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22960</w:t>
      </w:r>
      <w:r>
        <w:rPr>
          <w:rFonts w:hint="eastAsia" w:ascii="仿宋" w:hAnsi="仿宋" w:eastAsia="仿宋" w:cs="仿宋"/>
          <w:color w:val="000000" w:themeColor="text1"/>
          <w:sz w:val="32"/>
          <w:szCs w:val="32"/>
          <w:shd w:val="clear" w:color="auto" w:fill="FFFFFF"/>
          <w14:textFill>
            <w14:solidFill>
              <w14:schemeClr w14:val="tx1"/>
            </w14:solidFill>
          </w14:textFill>
        </w:rPr>
        <w:t>款</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 xml:space="preserve"> 用于教育事业的彩票公益金支出</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2296004</w:t>
      </w:r>
      <w:r>
        <w:rPr>
          <w:rFonts w:hint="eastAsia" w:ascii="仿宋" w:hAnsi="仿宋" w:eastAsia="仿宋" w:cs="仿宋"/>
          <w:color w:val="000000" w:themeColor="text1"/>
          <w:sz w:val="32"/>
          <w:szCs w:val="32"/>
          <w:shd w:val="clear" w:color="auto" w:fill="FFFFFF"/>
          <w14:textFill>
            <w14:solidFill>
              <w14:schemeClr w14:val="tx1"/>
            </w14:solidFill>
          </w14:textFill>
        </w:rPr>
        <w:t>项）年初预算为</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sz w:val="32"/>
          <w:szCs w:val="32"/>
          <w:shd w:val="clear" w:color="auto" w:fill="FFFFFF"/>
          <w14:textFill>
            <w14:solidFill>
              <w14:schemeClr w14:val="tx1"/>
            </w14:solidFill>
          </w14:textFill>
        </w:rPr>
        <w:t>万元，支出决算为</w:t>
      </w:r>
      <w:r>
        <w:rPr>
          <w:rFonts w:ascii="仿宋" w:hAnsi="仿宋" w:eastAsia="仿宋" w:cs="仿宋"/>
          <w:color w:val="000000" w:themeColor="text1"/>
          <w:sz w:val="32"/>
          <w:u w:color="auto"/>
          <w14:textFill>
            <w14:solidFill>
              <w14:schemeClr w14:val="tx1"/>
            </w14:solidFill>
          </w14:textFill>
        </w:rPr>
        <w:t>1.52</w:t>
      </w:r>
      <w:r>
        <w:rPr>
          <w:rFonts w:hint="eastAsia" w:ascii="仿宋" w:hAnsi="仿宋" w:eastAsia="仿宋" w:cs="仿宋"/>
          <w:color w:val="000000" w:themeColor="text1"/>
          <w:sz w:val="32"/>
          <w:szCs w:val="32"/>
          <w:shd w:val="clear" w:color="auto" w:fill="FFFFFF"/>
          <w14:textFill>
            <w14:solidFill>
              <w14:schemeClr w14:val="tx1"/>
            </w14:solidFill>
          </w14:textFill>
        </w:rPr>
        <w:t>万元，完成年初预算的</w:t>
      </w:r>
      <w:r>
        <w:rPr>
          <w:rFonts w:ascii="仿宋" w:hAnsi="仿宋" w:eastAsia="仿宋" w:cs="仿宋"/>
          <w:color w:val="000000" w:themeColor="text1"/>
          <w:sz w:val="32"/>
          <w:u w:color="auto"/>
          <w14:textFill>
            <w14:solidFill>
              <w14:schemeClr w14:val="tx1"/>
            </w14:solidFill>
          </w14:textFill>
        </w:rPr>
        <w:t>100%</w:t>
      </w:r>
      <w:r>
        <w:rPr>
          <w:rFonts w:hint="eastAsia" w:ascii="仿宋" w:hAnsi="仿宋" w:eastAsia="仿宋" w:cs="仿宋"/>
          <w:color w:val="000000" w:themeColor="text1"/>
          <w:sz w:val="32"/>
          <w:szCs w:val="32"/>
          <w:shd w:val="clear" w:color="auto" w:fill="FFFFFF"/>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无差异。</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五、2022年度国有资本经营预算支出决算情况</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环江毛南族自治县下南乡中心小学2022年度国有资本经营预算支出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万元。其中：基本支出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万元，项目支出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环江毛南族自治县下南乡中心小学2022 年度国有资本经营预算支出年初预算为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万元，支出决算为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万元，完成年初预算的</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其中：因公出国（境）费支出决算</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4" w:name="PO_part3A6B2IncReason1"/>
      <w:r>
        <w:rPr>
          <w:rFonts w:hint="eastAsia" w:ascii="仿宋" w:hAnsi="仿宋" w:eastAsia="仿宋" w:cs="仿宋"/>
          <w:color w:val="auto"/>
          <w:sz w:val="32"/>
          <w:szCs w:val="32"/>
        </w:rPr>
        <w:t>无公务用车购置</w:t>
      </w:r>
      <w:bookmarkEnd w:id="4"/>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numPr>
          <w:ilvl w:val="0"/>
          <w:numId w:val="3"/>
        </w:num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七、其他重要事项情况说明</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 机关运行经费支出情况说明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本部门2022年度机关运行经费支出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减少</w:t>
      </w:r>
      <w:r>
        <w:rPr>
          <w:rFonts w:hint="default" w:ascii="仿宋" w:hAnsi="仿宋" w:eastAsia="仿宋" w:cs="仿宋"/>
          <w:sz w:val="32"/>
          <w:szCs w:val="32"/>
          <w:lang w:val="en"/>
        </w:rPr>
        <w:t>0.00</w:t>
      </w:r>
      <w:r>
        <w:rPr>
          <w:rFonts w:hint="eastAsia" w:ascii="仿宋" w:hAnsi="仿宋" w:eastAsia="仿宋" w:cs="仿宋"/>
          <w:sz w:val="32"/>
          <w:szCs w:val="32"/>
        </w:rPr>
        <w:t>万元，</w:t>
      </w:r>
      <w:r>
        <w:rPr>
          <w:rFonts w:ascii="仿宋" w:hAnsi="仿宋" w:eastAsia="仿宋" w:cs="仿宋"/>
          <w:sz w:val="32"/>
          <w:szCs w:val="32"/>
        </w:rPr>
        <w:t>下降</w:t>
      </w:r>
      <w:r>
        <w:rPr>
          <w:rFonts w:hint="default" w:ascii="仿宋" w:hAnsi="仿宋" w:eastAsia="仿宋" w:cs="仿宋"/>
          <w:sz w:val="32"/>
          <w:szCs w:val="32"/>
          <w:lang w:val="en"/>
        </w:rPr>
        <w:t>0.00</w:t>
      </w:r>
      <w:r>
        <w:rPr>
          <w:rFonts w:ascii="仿宋" w:hAnsi="仿宋" w:eastAsia="仿宋" w:cs="仿宋"/>
          <w:sz w:val="32"/>
          <w:szCs w:val="32"/>
        </w:rPr>
        <w:t>%</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。原因是：本部门2</w:t>
      </w:r>
      <w:r>
        <w:rPr>
          <w:rFonts w:ascii="仿宋" w:hAnsi="仿宋" w:eastAsia="仿宋" w:cs="仿宋"/>
          <w:sz w:val="32"/>
          <w:szCs w:val="32"/>
        </w:rPr>
        <w:t>022</w:t>
      </w:r>
      <w:r>
        <w:rPr>
          <w:rFonts w:hint="eastAsia" w:ascii="仿宋" w:hAnsi="仿宋" w:eastAsia="仿宋" w:cs="仿宋"/>
          <w:sz w:val="32"/>
          <w:szCs w:val="32"/>
        </w:rPr>
        <w:t>年度无机关运行经费支出。</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（二）政府采购支出情况说明</w:t>
      </w:r>
    </w:p>
    <w:p>
      <w:pPr>
        <w:ind w:firstLine="640" w:firstLineChars="200"/>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w:t>
      </w:r>
      <w:r>
        <w:rPr>
          <w:rFonts w:hint="eastAsia" w:ascii="仿宋" w:hAnsi="仿宋" w:eastAsia="仿宋" w:cs="仿宋"/>
          <w:color w:val="000000" w:themeColor="text1"/>
          <w:sz w:val="32"/>
          <w:szCs w:val="32"/>
          <w:highlight w:val="none"/>
          <w:lang w:eastAsia="zh-CN"/>
          <w14:textFill>
            <w14:solidFill>
              <w14:schemeClr w14:val="tx1"/>
            </w14:solidFill>
          </w14:textFill>
        </w:rPr>
        <w:t>年度本单位政府采购金额为</w:t>
      </w:r>
      <w:r>
        <w:rPr>
          <w:rFonts w:hint="eastAsia" w:ascii="仿宋" w:hAnsi="仿宋" w:eastAsia="仿宋" w:cs="仿宋"/>
          <w:color w:val="000000" w:themeColor="text1"/>
          <w:sz w:val="32"/>
          <w:szCs w:val="32"/>
          <w:highlight w:val="none"/>
          <w:lang w:val="en-US" w:eastAsia="zh-CN"/>
          <w14:textFill>
            <w14:solidFill>
              <w14:schemeClr w14:val="tx1"/>
            </w14:solidFill>
          </w14:textFill>
        </w:rPr>
        <w:t>0万元。</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color w:val="000000" w:themeColor="text1"/>
          <w:sz w:val="32"/>
          <w:szCs w:val="32"/>
          <w:highlight w:val="none"/>
          <w14:textFill>
            <w14:solidFill>
              <w14:schemeClr w14:val="tx1"/>
            </w14:solidFill>
          </w14:textFill>
        </w:rPr>
      </w:pPr>
      <w:bookmarkStart w:id="6" w:name="_GoBack"/>
      <w:bookmarkEnd w:id="6"/>
      <w:r>
        <w:rPr>
          <w:rFonts w:hint="eastAsia" w:ascii="黑体" w:hAnsi="黑体" w:eastAsia="黑体" w:cs="黑体"/>
          <w:color w:val="000000" w:themeColor="text1"/>
          <w:sz w:val="32"/>
          <w:szCs w:val="32"/>
          <w:highlight w:val="none"/>
          <w14:textFill>
            <w14:solidFill>
              <w14:schemeClr w14:val="tx1"/>
            </w14:solidFill>
          </w14:textFill>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337.55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72.3</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1.52</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从评价情况来看，本部门推进预算支出绩效评价管理,提高资金使用效率。按时完成各个项目年度绩效目标，提高服务对象的满意度。</w:t>
      </w:r>
    </w:p>
    <w:p>
      <w:pPr>
        <w:jc w:val="left"/>
        <w:rPr>
          <w:rFonts w:ascii="仿宋" w:hAnsi="仿宋" w:eastAsia="仿宋" w:cs="仿宋"/>
          <w:sz w:val="32"/>
          <w:szCs w:val="32"/>
        </w:rPr>
      </w:pPr>
      <w:r>
        <w:rPr>
          <w:rFonts w:hint="eastAsia" w:ascii="仿宋" w:hAnsi="仿宋" w:eastAsia="仿宋" w:cs="仿宋"/>
          <w:sz w:val="32"/>
          <w:szCs w:val="32"/>
        </w:rPr>
        <w:t>从评价情况来看，我单位绩效管理情况较为理想，达到了年初设定的各项绩效目标。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1627.2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sz w:val="32"/>
          <w:szCs w:val="32"/>
        </w:rPr>
        <w:t>我部门根据年初设定的绩效目标，</w:t>
      </w:r>
      <w:bookmarkStart w:id="5" w:name="_Hlk151217930"/>
      <w:r>
        <w:rPr>
          <w:rFonts w:hint="eastAsia" w:ascii="仿宋" w:hAnsi="仿宋" w:eastAsia="仿宋" w:cs="仿宋"/>
          <w:sz w:val="32"/>
          <w:szCs w:val="32"/>
        </w:rPr>
        <w:t>伙食补助、全县校长绩效工资、奖励性补贴</w:t>
      </w:r>
      <w:r>
        <w:rPr>
          <w:rFonts w:hint="eastAsia" w:ascii="仿宋" w:hAnsi="仿宋" w:eastAsia="仿宋" w:cs="仿宋"/>
          <w:sz w:val="32"/>
          <w:szCs w:val="32"/>
          <w:lang w:eastAsia="zh-CN"/>
        </w:rPr>
        <w:t>、</w:t>
      </w:r>
      <w:r>
        <w:rPr>
          <w:rFonts w:hint="eastAsia" w:ascii="仿宋" w:hAnsi="仿宋" w:eastAsia="仿宋" w:cs="仿宋"/>
          <w:sz w:val="32"/>
          <w:szCs w:val="32"/>
        </w:rPr>
        <w:t>教师节经费、</w:t>
      </w:r>
      <w:r>
        <w:rPr>
          <w:rFonts w:hint="eastAsia" w:ascii="仿宋" w:hAnsi="仿宋" w:eastAsia="仿宋" w:cs="仿宋"/>
          <w:sz w:val="32"/>
          <w:szCs w:val="32"/>
          <w:lang w:val="en-US" w:eastAsia="zh-CN"/>
        </w:rPr>
        <w:t>自治区乡村教师生活补助费、义务教育阶段经济困难生生活中央补助金、特岗教师工资、中央专项彩票公益金支持乡村学校少年宫经费</w:t>
      </w:r>
      <w:r>
        <w:rPr>
          <w:rFonts w:hint="eastAsia" w:ascii="仿宋" w:hAnsi="仿宋" w:eastAsia="仿宋" w:cs="仿宋"/>
          <w:sz w:val="32"/>
          <w:szCs w:val="32"/>
        </w:rPr>
        <w:t>这</w:t>
      </w:r>
      <w:r>
        <w:rPr>
          <w:rFonts w:hint="eastAsia" w:ascii="仿宋" w:hAnsi="仿宋" w:eastAsia="仿宋" w:cs="仿宋"/>
          <w:sz w:val="32"/>
          <w:szCs w:val="32"/>
          <w:lang w:val="en-US" w:eastAsia="zh-CN"/>
        </w:rPr>
        <w:t>8</w:t>
      </w:r>
      <w:r>
        <w:rPr>
          <w:rFonts w:hint="eastAsia" w:ascii="仿宋" w:hAnsi="仿宋" w:eastAsia="仿宋" w:cs="仿宋"/>
          <w:sz w:val="32"/>
          <w:szCs w:val="32"/>
        </w:rPr>
        <w:t>个项目都能按时完成支付，自评得分均为100分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义务教育中央</w:t>
      </w:r>
      <w:r>
        <w:rPr>
          <w:rFonts w:hint="eastAsia" w:ascii="仿宋" w:hAnsi="仿宋" w:eastAsia="仿宋" w:cs="仿宋"/>
          <w:sz w:val="32"/>
          <w:szCs w:val="32"/>
        </w:rPr>
        <w:t>公用经费项目自评得分为</w:t>
      </w:r>
      <w:r>
        <w:rPr>
          <w:rFonts w:hint="eastAsia" w:ascii="仿宋" w:hAnsi="仿宋" w:eastAsia="仿宋" w:cs="仿宋"/>
          <w:sz w:val="32"/>
          <w:szCs w:val="32"/>
          <w:lang w:val="en-US" w:eastAsia="zh-CN"/>
        </w:rPr>
        <w:t>95.76</w:t>
      </w:r>
      <w:r>
        <w:rPr>
          <w:rFonts w:hint="eastAsia" w:ascii="仿宋" w:hAnsi="仿宋" w:eastAsia="仿宋" w:cs="仿宋"/>
          <w:sz w:val="32"/>
          <w:szCs w:val="32"/>
        </w:rPr>
        <w:t>分。发现的主要问题及原因：部分报账材料未能及时整理。下一步改进措施：及时整理报账材料，完成年度资金进度安排。</w:t>
      </w:r>
      <w:r>
        <w:rPr>
          <w:rFonts w:hint="eastAsia" w:ascii="仿宋" w:hAnsi="仿宋" w:eastAsia="仿宋" w:cs="仿宋"/>
          <w:sz w:val="32"/>
          <w:szCs w:val="32"/>
          <w:lang w:val="en-US" w:eastAsia="zh-CN"/>
        </w:rPr>
        <w:t>自治区公用金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91.15</w:t>
      </w:r>
      <w:r>
        <w:rPr>
          <w:rFonts w:hint="eastAsia" w:ascii="仿宋" w:hAnsi="仿宋" w:eastAsia="仿宋" w:cs="仿宋"/>
          <w:sz w:val="32"/>
          <w:szCs w:val="32"/>
        </w:rPr>
        <w:t>分。发现的主要问题及原因：未能及时整理报账材料。下一步改进措施：一是做好</w:t>
      </w:r>
      <w:r>
        <w:rPr>
          <w:rFonts w:hint="eastAsia" w:ascii="仿宋" w:hAnsi="仿宋" w:eastAsia="仿宋" w:cs="仿宋"/>
          <w:sz w:val="32"/>
          <w:szCs w:val="32"/>
          <w:lang w:val="en-US" w:eastAsia="zh-CN"/>
        </w:rPr>
        <w:t>各校</w:t>
      </w:r>
      <w:r>
        <w:rPr>
          <w:rFonts w:hint="eastAsia" w:ascii="仿宋" w:hAnsi="仿宋" w:eastAsia="仿宋" w:cs="仿宋"/>
          <w:sz w:val="32"/>
          <w:szCs w:val="32"/>
        </w:rPr>
        <w:t>整理报账材料的培训；二是加快资金进度安排。</w:t>
      </w:r>
      <w:r>
        <w:rPr>
          <w:rFonts w:hint="eastAsia" w:ascii="仿宋" w:hAnsi="仿宋" w:eastAsia="仿宋" w:cs="仿宋"/>
          <w:sz w:val="32"/>
          <w:szCs w:val="32"/>
          <w:lang w:val="en-US" w:eastAsia="zh-CN"/>
        </w:rPr>
        <w:t>营养改善计划膳食补助资金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99.19</w:t>
      </w:r>
      <w:r>
        <w:rPr>
          <w:rFonts w:hint="eastAsia" w:ascii="仿宋" w:hAnsi="仿宋" w:eastAsia="仿宋" w:cs="仿宋"/>
          <w:sz w:val="32"/>
          <w:szCs w:val="32"/>
        </w:rPr>
        <w:t>分。发现的主要问题及原因：</w:t>
      </w:r>
      <w:r>
        <w:rPr>
          <w:rFonts w:hint="eastAsia" w:ascii="仿宋" w:hAnsi="仿宋" w:eastAsia="仿宋" w:cs="仿宋"/>
          <w:sz w:val="32"/>
          <w:szCs w:val="32"/>
          <w:lang w:val="en-US" w:eastAsia="zh-CN"/>
        </w:rPr>
        <w:t>12月份营养消费材料未</w:t>
      </w:r>
      <w:r>
        <w:rPr>
          <w:rFonts w:hint="eastAsia" w:ascii="仿宋" w:hAnsi="仿宋" w:eastAsia="仿宋" w:cs="仿宋"/>
          <w:sz w:val="32"/>
          <w:szCs w:val="32"/>
        </w:rPr>
        <w:t>及时整理报账材料。下一步改进措施：一是</w:t>
      </w:r>
      <w:r>
        <w:rPr>
          <w:rFonts w:hint="eastAsia" w:ascii="仿宋" w:hAnsi="仿宋" w:eastAsia="仿宋" w:cs="仿宋"/>
          <w:sz w:val="32"/>
          <w:szCs w:val="32"/>
          <w:lang w:val="en-US" w:eastAsia="zh-CN"/>
        </w:rPr>
        <w:t>各校</w:t>
      </w:r>
      <w:r>
        <w:rPr>
          <w:rFonts w:hint="eastAsia" w:ascii="仿宋" w:hAnsi="仿宋" w:eastAsia="仿宋" w:cs="仿宋"/>
          <w:sz w:val="32"/>
          <w:szCs w:val="32"/>
        </w:rPr>
        <w:t>整理报账材料的培训；二是加快资金进度。</w:t>
      </w:r>
      <w:r>
        <w:rPr>
          <w:rFonts w:hint="eastAsia" w:ascii="仿宋" w:hAnsi="仿宋" w:eastAsia="仿宋" w:cs="仿宋"/>
          <w:sz w:val="32"/>
          <w:szCs w:val="32"/>
          <w:lang w:val="en-US" w:eastAsia="zh-CN"/>
        </w:rPr>
        <w:t>民族班及壮文经费</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81.51分</w:t>
      </w:r>
      <w:r>
        <w:rPr>
          <w:rFonts w:hint="eastAsia" w:ascii="仿宋" w:hAnsi="仿宋" w:eastAsia="仿宋" w:cs="仿宋"/>
          <w:sz w:val="32"/>
          <w:szCs w:val="32"/>
        </w:rPr>
        <w:t>。发现的主要问题及原因：</w:t>
      </w:r>
      <w:r>
        <w:rPr>
          <w:rFonts w:hint="eastAsia" w:ascii="仿宋" w:hAnsi="仿宋" w:eastAsia="仿宋" w:cs="仿宋"/>
          <w:sz w:val="32"/>
          <w:szCs w:val="32"/>
          <w:lang w:val="en-US" w:eastAsia="zh-CN"/>
        </w:rPr>
        <w:t>资金下达慢</w:t>
      </w:r>
      <w:r>
        <w:rPr>
          <w:rFonts w:hint="eastAsia" w:ascii="仿宋" w:hAnsi="仿宋" w:eastAsia="仿宋" w:cs="仿宋"/>
          <w:sz w:val="32"/>
          <w:szCs w:val="32"/>
        </w:rPr>
        <w:t>报账材料未能及时整理。下一步改进措施：</w:t>
      </w:r>
      <w:r>
        <w:rPr>
          <w:rFonts w:hint="eastAsia" w:ascii="仿宋" w:hAnsi="仿宋" w:eastAsia="仿宋" w:cs="仿宋"/>
          <w:sz w:val="32"/>
          <w:szCs w:val="32"/>
          <w:lang w:val="en-US" w:eastAsia="zh-CN"/>
        </w:rPr>
        <w:t>尽快</w:t>
      </w:r>
      <w:r>
        <w:rPr>
          <w:rFonts w:hint="eastAsia" w:ascii="仿宋" w:hAnsi="仿宋" w:eastAsia="仿宋" w:cs="仿宋"/>
          <w:sz w:val="32"/>
          <w:szCs w:val="32"/>
        </w:rPr>
        <w:t>整理报账材料，完成年度资金进度安排。</w:t>
      </w:r>
      <w:r>
        <w:rPr>
          <w:rFonts w:hint="eastAsia" w:ascii="仿宋" w:hAnsi="仿宋" w:eastAsia="仿宋" w:cs="仿宋"/>
          <w:sz w:val="32"/>
          <w:szCs w:val="32"/>
          <w:lang w:val="en-US" w:eastAsia="zh-CN"/>
        </w:rPr>
        <w:t>班主任津贴</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95.35</w:t>
      </w:r>
      <w:r>
        <w:rPr>
          <w:rFonts w:hint="eastAsia" w:ascii="仿宋" w:hAnsi="仿宋" w:eastAsia="仿宋" w:cs="仿宋"/>
          <w:sz w:val="32"/>
          <w:szCs w:val="32"/>
        </w:rPr>
        <w:t>分。发现的主要问题及原因：下半年的班主任津贴未能及时支付。下一步改进措施：及时整理材料，按时完成全年进度。</w:t>
      </w:r>
      <w:r>
        <w:rPr>
          <w:rFonts w:hint="eastAsia" w:ascii="仿宋" w:hAnsi="仿宋" w:eastAsia="仿宋" w:cs="仿宋"/>
          <w:sz w:val="32"/>
          <w:szCs w:val="32"/>
          <w:lang w:val="en-US" w:eastAsia="zh-CN"/>
        </w:rPr>
        <w:t>全县校园安全保卫经费</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98.08</w:t>
      </w:r>
      <w:r>
        <w:rPr>
          <w:rFonts w:hint="eastAsia" w:ascii="仿宋" w:hAnsi="仿宋" w:eastAsia="仿宋" w:cs="仿宋"/>
          <w:sz w:val="32"/>
          <w:szCs w:val="32"/>
        </w:rPr>
        <w:t>分。发现的主要问题及原因：</w:t>
      </w:r>
      <w:r>
        <w:rPr>
          <w:rFonts w:hint="eastAsia" w:ascii="仿宋" w:hAnsi="仿宋" w:eastAsia="仿宋" w:cs="仿宋"/>
          <w:sz w:val="32"/>
          <w:szCs w:val="32"/>
          <w:lang w:val="en-US" w:eastAsia="zh-CN"/>
        </w:rPr>
        <w:t>协管员12月份工资</w:t>
      </w:r>
      <w:r>
        <w:rPr>
          <w:rFonts w:hint="eastAsia" w:ascii="仿宋" w:hAnsi="仿宋" w:eastAsia="仿宋" w:cs="仿宋"/>
          <w:sz w:val="32"/>
          <w:szCs w:val="32"/>
        </w:rPr>
        <w:t>未能及时报账。下一步改进措施：一是加快资金进度安排</w:t>
      </w:r>
      <w:r>
        <w:rPr>
          <w:rFonts w:hint="eastAsia" w:ascii="仿宋" w:hAnsi="仿宋" w:eastAsia="仿宋" w:cs="仿宋"/>
          <w:sz w:val="32"/>
          <w:szCs w:val="32"/>
          <w:lang w:val="en-US" w:eastAsia="zh-CN"/>
        </w:rPr>
        <w:t>及时发放工资</w:t>
      </w:r>
      <w:r>
        <w:rPr>
          <w:rFonts w:hint="eastAsia" w:ascii="仿宋" w:hAnsi="仿宋" w:eastAsia="仿宋" w:cs="仿宋"/>
          <w:sz w:val="32"/>
          <w:szCs w:val="32"/>
        </w:rPr>
        <w:t>。</w:t>
      </w:r>
      <w:r>
        <w:rPr>
          <w:rFonts w:hint="eastAsia" w:ascii="仿宋" w:hAnsi="仿宋" w:eastAsia="仿宋" w:cs="仿宋"/>
          <w:sz w:val="32"/>
          <w:szCs w:val="32"/>
          <w:lang w:val="en-US" w:eastAsia="zh-CN"/>
        </w:rPr>
        <w:t>下南乡中心小学2022年年初预算经费（行政办公务费）</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91.16</w:t>
      </w:r>
      <w:r>
        <w:rPr>
          <w:rFonts w:hint="eastAsia" w:ascii="仿宋" w:hAnsi="仿宋" w:eastAsia="仿宋" w:cs="仿宋"/>
          <w:sz w:val="32"/>
          <w:szCs w:val="32"/>
        </w:rPr>
        <w:t>分。发现的主要问题及原因：未能及时整理报账材料。下一步改进措施：一是做好</w:t>
      </w:r>
      <w:r>
        <w:rPr>
          <w:rFonts w:hint="eastAsia" w:ascii="仿宋" w:hAnsi="仿宋" w:eastAsia="仿宋" w:cs="仿宋"/>
          <w:sz w:val="32"/>
          <w:szCs w:val="32"/>
          <w:lang w:val="en-US" w:eastAsia="zh-CN"/>
        </w:rPr>
        <w:t>办公室人差旅、办公用品支出的</w:t>
      </w:r>
      <w:r>
        <w:rPr>
          <w:rFonts w:hint="eastAsia" w:ascii="仿宋" w:hAnsi="仿宋" w:eastAsia="仿宋" w:cs="仿宋"/>
          <w:sz w:val="32"/>
          <w:szCs w:val="32"/>
        </w:rPr>
        <w:t>报账材料整理</w:t>
      </w:r>
      <w:r>
        <w:rPr>
          <w:rFonts w:hint="eastAsia" w:ascii="仿宋" w:hAnsi="仿宋" w:eastAsia="仿宋" w:cs="仿宋"/>
          <w:sz w:val="32"/>
          <w:szCs w:val="32"/>
          <w:lang w:eastAsia="zh-CN"/>
        </w:rPr>
        <w:t>，</w:t>
      </w:r>
      <w:r>
        <w:rPr>
          <w:rFonts w:hint="eastAsia" w:ascii="仿宋" w:hAnsi="仿宋" w:eastAsia="仿宋" w:cs="仿宋"/>
          <w:sz w:val="32"/>
          <w:szCs w:val="32"/>
        </w:rPr>
        <w:t>加快资金进度安排。</w:t>
      </w:r>
      <w:r>
        <w:rPr>
          <w:rFonts w:hint="eastAsia" w:ascii="仿宋" w:hAnsi="仿宋" w:eastAsia="仿宋" w:cs="仿宋"/>
          <w:sz w:val="32"/>
          <w:szCs w:val="32"/>
          <w:lang w:val="en-US" w:eastAsia="zh-CN"/>
        </w:rPr>
        <w:t>下南乡中心小学2022年预算经费（门面租金）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80</w:t>
      </w:r>
      <w:r>
        <w:rPr>
          <w:rFonts w:hint="eastAsia" w:ascii="仿宋" w:hAnsi="仿宋" w:eastAsia="仿宋" w:cs="仿宋"/>
          <w:sz w:val="32"/>
          <w:szCs w:val="32"/>
        </w:rPr>
        <w:t>分。发现的主要问题及原因：部分报账材料未能及时整理。下一步改进措施：及时整理报账材料，完成年度资金进度安排。</w:t>
      </w:r>
      <w:bookmarkEnd w:id="5"/>
    </w:p>
    <w:p>
      <w:pPr>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第四部分  名词解释</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一、财政拨款收入：指</w:t>
      </w:r>
      <w:r>
        <w:rPr>
          <w:rFonts w:ascii="仿宋" w:hAnsi="仿宋" w:eastAsia="仿宋" w:cs="仿宋"/>
          <w:color w:val="000000" w:themeColor="text1"/>
          <w:sz w:val="32"/>
          <w:u w:color="auto"/>
          <w14:textFill>
            <w14:solidFill>
              <w14:schemeClr w14:val="tx1"/>
            </w14:solidFill>
          </w14:textFill>
        </w:rPr>
        <w:t>环江毛南族自治县财政部门当年拨付的资金。</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二、事业收入：指事业单位开展专业业务活动及辅助活动所取得的收入。</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三、经营收入：指事业单位在专业业务活动及其辅助活动之外开展非独立核算经营活动取得的收入。</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四、其他收入：指除上述“财政拨款收入”“事业收入”“经营收入”等以外的收入。</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六、年初结转和结余：指以前年度尚未完成、结转到本年 按有关规定继续使用的资金</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九、基本支出：指为保障机构正常运转、完成日常工作任务而发生的人员支出和公用支出。 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十、项目支出：指在基本支出之外为完成特定行政任务和事业发展目标所发生的支出。 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十一、经营支出：指事业单位在专业业务活动及其辅助活动之外开展非独立核算经营活动发生的支出。</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十二、“三公”经费：纳入</w:t>
      </w:r>
      <w:r>
        <w:rPr>
          <w:rFonts w:ascii="仿宋" w:hAnsi="仿宋" w:eastAsia="仿宋" w:cs="仿宋"/>
          <w:color w:val="000000" w:themeColor="text1"/>
          <w:sz w:val="32"/>
          <w:u w:color="auto"/>
          <w14:textFill>
            <w14:solidFill>
              <w14:schemeClr w14:val="tx1"/>
            </w14:solidFill>
          </w14:textFill>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9DFEF34"/>
    <w:multiLevelType w:val="singleLevel"/>
    <w:tmpl w:val="C9DFEF34"/>
    <w:lvl w:ilvl="0" w:tentative="0">
      <w:start w:val="3"/>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5ZjMxYzkzNGIzNzI3ZTQ3NGIxZGFlMjBkNmZmOTg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CF7B7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444924"/>
    <w:rsid w:val="015F1951"/>
    <w:rsid w:val="020C171D"/>
    <w:rsid w:val="0216715F"/>
    <w:rsid w:val="02E0291A"/>
    <w:rsid w:val="04E54546"/>
    <w:rsid w:val="052E4B34"/>
    <w:rsid w:val="057300F5"/>
    <w:rsid w:val="05992762"/>
    <w:rsid w:val="07B0770E"/>
    <w:rsid w:val="0942143F"/>
    <w:rsid w:val="0A904FBD"/>
    <w:rsid w:val="0D0F3080"/>
    <w:rsid w:val="0D100297"/>
    <w:rsid w:val="0D202B45"/>
    <w:rsid w:val="0F5D39C6"/>
    <w:rsid w:val="0F8D4C87"/>
    <w:rsid w:val="10505FAA"/>
    <w:rsid w:val="105F7E7E"/>
    <w:rsid w:val="10DE0D0B"/>
    <w:rsid w:val="11036711"/>
    <w:rsid w:val="11E56B5B"/>
    <w:rsid w:val="125C77AB"/>
    <w:rsid w:val="14CB726E"/>
    <w:rsid w:val="17E92249"/>
    <w:rsid w:val="18D304F1"/>
    <w:rsid w:val="19F32577"/>
    <w:rsid w:val="19F45B80"/>
    <w:rsid w:val="1B0C078D"/>
    <w:rsid w:val="1B2B31E2"/>
    <w:rsid w:val="1B4C295A"/>
    <w:rsid w:val="1B973C63"/>
    <w:rsid w:val="1BA1001E"/>
    <w:rsid w:val="1D317259"/>
    <w:rsid w:val="1E5A52D8"/>
    <w:rsid w:val="1E664F5B"/>
    <w:rsid w:val="1EB34BE1"/>
    <w:rsid w:val="1F3F20C1"/>
    <w:rsid w:val="1F4B1967"/>
    <w:rsid w:val="20665ECC"/>
    <w:rsid w:val="215E639F"/>
    <w:rsid w:val="21EC3183"/>
    <w:rsid w:val="225E72CD"/>
    <w:rsid w:val="246E2F77"/>
    <w:rsid w:val="254B4E2B"/>
    <w:rsid w:val="26702EEC"/>
    <w:rsid w:val="27713409"/>
    <w:rsid w:val="283D7C94"/>
    <w:rsid w:val="29480E03"/>
    <w:rsid w:val="2983634D"/>
    <w:rsid w:val="29B870B3"/>
    <w:rsid w:val="2ACC35D3"/>
    <w:rsid w:val="2BB02055"/>
    <w:rsid w:val="2C575A56"/>
    <w:rsid w:val="2F257714"/>
    <w:rsid w:val="2F3275E5"/>
    <w:rsid w:val="2FF243C4"/>
    <w:rsid w:val="30AA08EF"/>
    <w:rsid w:val="30D23D1C"/>
    <w:rsid w:val="31221CF5"/>
    <w:rsid w:val="31400178"/>
    <w:rsid w:val="321E3342"/>
    <w:rsid w:val="327759C8"/>
    <w:rsid w:val="33185FE3"/>
    <w:rsid w:val="34EE2E36"/>
    <w:rsid w:val="36777241"/>
    <w:rsid w:val="371E78D5"/>
    <w:rsid w:val="38A951DB"/>
    <w:rsid w:val="38B31605"/>
    <w:rsid w:val="39003F4F"/>
    <w:rsid w:val="3A51021B"/>
    <w:rsid w:val="3B2F0FEA"/>
    <w:rsid w:val="3C07002B"/>
    <w:rsid w:val="3C60733E"/>
    <w:rsid w:val="3CC77B7E"/>
    <w:rsid w:val="3D0D152A"/>
    <w:rsid w:val="3DF62756"/>
    <w:rsid w:val="3DFE371B"/>
    <w:rsid w:val="3EDA4DEB"/>
    <w:rsid w:val="3F1B7587"/>
    <w:rsid w:val="40A33E74"/>
    <w:rsid w:val="41E57B4F"/>
    <w:rsid w:val="422268D1"/>
    <w:rsid w:val="432F26F6"/>
    <w:rsid w:val="436C002D"/>
    <w:rsid w:val="43880F63"/>
    <w:rsid w:val="43CF26EE"/>
    <w:rsid w:val="441C5A6F"/>
    <w:rsid w:val="44A54254"/>
    <w:rsid w:val="44C44FCC"/>
    <w:rsid w:val="44CC7369"/>
    <w:rsid w:val="457F5108"/>
    <w:rsid w:val="46951B6B"/>
    <w:rsid w:val="46BB7948"/>
    <w:rsid w:val="475A1A52"/>
    <w:rsid w:val="49A34401"/>
    <w:rsid w:val="4A3E30AB"/>
    <w:rsid w:val="4AC14DAC"/>
    <w:rsid w:val="4D154C85"/>
    <w:rsid w:val="4EB35ECE"/>
    <w:rsid w:val="508F4E24"/>
    <w:rsid w:val="51461E90"/>
    <w:rsid w:val="51463753"/>
    <w:rsid w:val="52553A93"/>
    <w:rsid w:val="53211DB2"/>
    <w:rsid w:val="53521F8B"/>
    <w:rsid w:val="53E22F47"/>
    <w:rsid w:val="54036CD2"/>
    <w:rsid w:val="54522FF8"/>
    <w:rsid w:val="55450629"/>
    <w:rsid w:val="559D3D20"/>
    <w:rsid w:val="55B160F8"/>
    <w:rsid w:val="56692963"/>
    <w:rsid w:val="568B0F48"/>
    <w:rsid w:val="5786217B"/>
    <w:rsid w:val="59337A15"/>
    <w:rsid w:val="59810274"/>
    <w:rsid w:val="5CA96A00"/>
    <w:rsid w:val="5CF730BC"/>
    <w:rsid w:val="5E5F0DCE"/>
    <w:rsid w:val="5F4C7480"/>
    <w:rsid w:val="5FA40A7B"/>
    <w:rsid w:val="5FD56D29"/>
    <w:rsid w:val="5FEC7F3F"/>
    <w:rsid w:val="60D71FCF"/>
    <w:rsid w:val="60F74BC3"/>
    <w:rsid w:val="617D3BF8"/>
    <w:rsid w:val="61841F6A"/>
    <w:rsid w:val="623007A9"/>
    <w:rsid w:val="637D7558"/>
    <w:rsid w:val="644F19AC"/>
    <w:rsid w:val="65AA4920"/>
    <w:rsid w:val="65E31D0B"/>
    <w:rsid w:val="67694F1E"/>
    <w:rsid w:val="67892A30"/>
    <w:rsid w:val="69597934"/>
    <w:rsid w:val="6B964DDC"/>
    <w:rsid w:val="6C783074"/>
    <w:rsid w:val="6D9E65C6"/>
    <w:rsid w:val="6DA81947"/>
    <w:rsid w:val="6EB66DE2"/>
    <w:rsid w:val="6ED3075F"/>
    <w:rsid w:val="6F2A2D4B"/>
    <w:rsid w:val="6F8A0C1E"/>
    <w:rsid w:val="703F45D4"/>
    <w:rsid w:val="714057E6"/>
    <w:rsid w:val="715D6546"/>
    <w:rsid w:val="71BE069E"/>
    <w:rsid w:val="71DC0AED"/>
    <w:rsid w:val="73475026"/>
    <w:rsid w:val="73953409"/>
    <w:rsid w:val="73E069A3"/>
    <w:rsid w:val="77E83E4B"/>
    <w:rsid w:val="78104AA8"/>
    <w:rsid w:val="78E257C5"/>
    <w:rsid w:val="794B35BE"/>
    <w:rsid w:val="7B0A3A31"/>
    <w:rsid w:val="7B3360ED"/>
    <w:rsid w:val="7BDF037E"/>
    <w:rsid w:val="7BF50948"/>
    <w:rsid w:val="7CE66A78"/>
    <w:rsid w:val="7D23564C"/>
    <w:rsid w:val="7D5E062D"/>
    <w:rsid w:val="7DF76CD8"/>
    <w:rsid w:val="7F695C26"/>
    <w:rsid w:val="7FB4040F"/>
    <w:rsid w:val="7FCF62D3"/>
    <w:rsid w:val="BE7DF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1495.66</c:v>
                </c:pt>
                <c:pt idx="1">
                  <c:v>1.52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38.41</c:v>
                </c:pt>
                <c:pt idx="4">
                  <c:v>60.78</c:v>
                </c:pt>
                <c:pt idx="5">
                  <c:v>0</c:v>
                </c:pt>
                <c:pt idx="6">
                  <c:v>0</c:v>
                </c:pt>
                <c:pt idx="7">
                  <c:v>125.59</c:v>
                </c:pt>
                <c:pt idx="8">
                  <c:v>0</c:v>
                </c:pt>
                <c:pt idx="9">
                  <c:v>0</c:v>
                </c:pt>
                <c:pt idx="10">
                  <c:v>0</c:v>
                </c:pt>
                <c:pt idx="11">
                  <c:v>25.44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1.36</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1162.83</c:v>
                </c:pt>
                <c:pt idx="2">
                  <c:v>121.07</c:v>
                </c:pt>
                <c:pt idx="3">
                  <c:v>57.87</c:v>
                </c:pt>
                <c:pt idx="4">
                  <c:v>300.47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14.76</c:v>
                </c:pt>
                <c:pt idx="1">
                  <c:v>1112.4</c:v>
                </c:pt>
                <c:pt idx="2">
                  <c:v>108.68</c:v>
                </c:pt>
                <c:pt idx="3">
                  <c:v>76.01</c:v>
                </c:pt>
                <c:pt idx="4">
                  <c:v>185.34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14.76</c:v>
                </c:pt>
                <c:pt idx="1">
                  <c:v>14.76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2050202</c:v>
                </c:pt>
                <c:pt idx="1">
                  <c:v>2050299</c:v>
                </c:pt>
                <c:pt idx="2">
                  <c:v>2050999</c:v>
                </c:pt>
                <c:pt idx="3">
                  <c:v>205x</c:v>
                </c:pt>
              </c:strCache>
            </c:strRef>
          </c:cat>
          <c:val>
            <c:numRef>
              <c:f>Sheet1!$B$2:$B$5</c:f>
              <c:numCache>
                <c:formatCode>General</c:formatCode>
                <c:ptCount val="4"/>
                <c:pt idx="0">
                  <c:v>1098.35</c:v>
                </c:pt>
                <c:pt idx="1">
                  <c:v>11.84</c:v>
                </c:pt>
                <c:pt idx="2">
                  <c:v>2.21</c:v>
                </c:pt>
                <c:pt idx="3">
                  <c:v>1112.4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108.68</c:v>
                </c:pt>
                <c:pt idx="1">
                  <c:v>108.68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76.01</c:v>
                </c:pt>
                <c:pt idx="1">
                  <c:v>76.01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183.82</c:v>
                </c:pt>
                <c:pt idx="1">
                  <c:v>183.82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384.76</c:v>
                </c:pt>
                <c:pt idx="1">
                  <c:v>88.55</c:v>
                </c:pt>
                <c:pt idx="2">
                  <c:v>122.1</c:v>
                </c:pt>
                <c:pt idx="3">
                  <c:v>0</c:v>
                </c:pt>
                <c:pt idx="4">
                  <c:v>186.86</c:v>
                </c:pt>
                <c:pt idx="5">
                  <c:v>108.68</c:v>
                </c:pt>
                <c:pt idx="6">
                  <c:v>0</c:v>
                </c:pt>
                <c:pt idx="7">
                  <c:v>49.94</c:v>
                </c:pt>
                <c:pt idx="8">
                  <c:v>0</c:v>
                </c:pt>
                <c:pt idx="9">
                  <c:v>5.71</c:v>
                </c:pt>
                <c:pt idx="10">
                  <c:v>76.01</c:v>
                </c:pt>
                <c:pt idx="11">
                  <c:v>0</c:v>
                </c:pt>
                <c:pt idx="12">
                  <c:v>10.18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13.73</c:v>
                </c:pt>
                <c:pt idx="1">
                  <c:v>0</c:v>
                </c:pt>
                <c:pt idx="2">
                  <c:v>0</c:v>
                </c:pt>
                <c:pt idx="3">
                  <c:v>0</c:v>
                </c:pt>
                <c:pt idx="4">
                  <c:v>0</c:v>
                </c:pt>
                <c:pt idx="5">
                  <c:v>3.81</c:v>
                </c:pt>
                <c:pt idx="6">
                  <c:v>1.78</c:v>
                </c:pt>
                <c:pt idx="7">
                  <c:v>0</c:v>
                </c:pt>
                <c:pt idx="8">
                  <c:v>0</c:v>
                </c:pt>
                <c:pt idx="9">
                  <c:v>5.59</c:v>
                </c:pt>
                <c:pt idx="10">
                  <c:v>0</c:v>
                </c:pt>
                <c:pt idx="11">
                  <c:v>27.01</c:v>
                </c:pt>
                <c:pt idx="12">
                  <c:v>0</c:v>
                </c:pt>
                <c:pt idx="13">
                  <c:v>0</c:v>
                </c:pt>
                <c:pt idx="14">
                  <c:v>0</c:v>
                </c:pt>
                <c:pt idx="15">
                  <c:v>0</c:v>
                </c:pt>
                <c:pt idx="16">
                  <c:v>0.38</c:v>
                </c:pt>
                <c:pt idx="17">
                  <c:v>0</c:v>
                </c:pt>
                <c:pt idx="18">
                  <c:v>0</c:v>
                </c:pt>
                <c:pt idx="19">
                  <c:v>0</c:v>
                </c:pt>
                <c:pt idx="20">
                  <c:v>0</c:v>
                </c:pt>
                <c:pt idx="21">
                  <c:v>14.76</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cp:lastPrinted>2023-11-20T12:13:00Z</cp:lastPrinted>
  <dcterms:modified xsi:type="dcterms:W3CDTF">2023-11-29T01:12:21Z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