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环江毛南族自治县大安乡初级中学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eastAsia" w:ascii="仿宋" w:hAnsi="仿宋" w:eastAsia="黑体"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黑体" w:eastAsia="黑体" w:cs="黑体"/>
          <w:kern w:val="0"/>
          <w:sz w:val="44"/>
          <w:szCs w:val="44"/>
        </w:rPr>
        <w:t>单位负责人</w:t>
      </w:r>
      <w:r>
        <w:rPr>
          <w:rFonts w:hint="eastAsia" w:ascii="黑体" w:eastAsia="黑体" w:cs="黑体"/>
          <w:kern w:val="0"/>
          <w:sz w:val="44"/>
          <w:szCs w:val="44"/>
          <w:lang w:eastAsia="zh-CN"/>
        </w:rPr>
        <w:t>（</w:t>
      </w:r>
      <w:r>
        <w:rPr>
          <w:rFonts w:hint="eastAsia" w:ascii="黑体" w:eastAsia="黑体" w:cs="黑体"/>
          <w:kern w:val="0"/>
          <w:sz w:val="44"/>
          <w:szCs w:val="44"/>
          <w:lang w:val="en-US" w:eastAsia="zh-CN"/>
        </w:rPr>
        <w:t>签字</w:t>
      </w:r>
      <w:r>
        <w:rPr>
          <w:rFonts w:hint="eastAsia" w:ascii="黑体" w:eastAsia="黑体" w:cs="黑体"/>
          <w:kern w:val="0"/>
          <w:sz w:val="44"/>
          <w:szCs w:val="44"/>
          <w:lang w:eastAsia="zh-CN"/>
        </w:rPr>
        <w:t>）</w:t>
      </w:r>
      <w:r>
        <w:rPr>
          <w:rFonts w:hint="eastAsia" w:ascii="黑体" w:eastAsia="黑体" w:cs="黑体"/>
          <w:kern w:val="0"/>
          <w:sz w:val="44"/>
          <w:szCs w:val="44"/>
        </w:rPr>
        <w:t>：</w:t>
      </w:r>
      <w:r>
        <w:rPr>
          <w:rFonts w:hint="eastAsia" w:ascii="黑体" w:eastAsia="黑体" w:cs="黑体"/>
          <w:kern w:val="0"/>
          <w:sz w:val="44"/>
          <w:szCs w:val="44"/>
          <w:lang w:val="en-US" w:eastAsia="zh-CN"/>
        </w:rPr>
        <w:t>韦超跃</w:t>
      </w:r>
    </w:p>
    <w:p>
      <w:pPr>
        <w:ind w:firstLine="5060" w:firstLineChars="1400"/>
        <w:jc w:val="both"/>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ind w:firstLine="3534" w:firstLineChars="1100"/>
        <w:jc w:val="both"/>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环江毛南族自治县大安乡初级中学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（一）贯彻执行党和国家的教育方针、政策和法律法规；拟订</w:t>
      </w:r>
      <w:r>
        <w:rPr>
          <w:rFonts w:hint="eastAsia" w:ascii="仿宋_GB2312" w:hAnsi="宋体" w:eastAsia="仿宋_GB2312" w:cs="宋体"/>
          <w:sz w:val="32"/>
          <w:szCs w:val="32"/>
          <w:lang w:val="en-US" w:eastAsia="zh-CN"/>
        </w:rPr>
        <w:t>我校</w:t>
      </w:r>
      <w:r>
        <w:rPr>
          <w:rFonts w:hint="eastAsia" w:ascii="仿宋_GB2312" w:hAnsi="宋体" w:eastAsia="仿宋_GB2312" w:cs="宋体"/>
          <w:sz w:val="32"/>
          <w:szCs w:val="32"/>
          <w:lang w:eastAsia="zh-CN"/>
        </w:rPr>
        <w:t>教育改革与发展规划并组织实施。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（二）编制</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教育事业发展规划并检查实施情况，向</w:t>
      </w:r>
      <w:r>
        <w:rPr>
          <w:rFonts w:hint="eastAsia" w:ascii="仿宋_GB2312" w:hAnsi="宋体" w:eastAsia="仿宋_GB2312" w:cs="宋体"/>
          <w:sz w:val="32"/>
          <w:szCs w:val="32"/>
          <w:lang w:val="en-US" w:eastAsia="zh-CN"/>
        </w:rPr>
        <w:t>乡</w:t>
      </w:r>
      <w:r>
        <w:rPr>
          <w:rFonts w:hint="eastAsia" w:ascii="仿宋_GB2312" w:hAnsi="宋体" w:eastAsia="仿宋_GB2312" w:cs="宋体"/>
          <w:sz w:val="32"/>
          <w:szCs w:val="32"/>
          <w:lang w:eastAsia="zh-CN"/>
        </w:rPr>
        <w:t>人民政府和上级教育部门作出报告。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（三）督促检查</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贯彻执行教育方针、政策、法令、法规和上级的各项规定；评估指导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教育教学工作。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（四）负责推进义务教育均衡发展和促进教育公平，负责义务教育的宏观指导与协调。</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（五）负责</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教师队伍建设，包括</w:t>
      </w:r>
      <w:r>
        <w:rPr>
          <w:rFonts w:hint="eastAsia" w:ascii="仿宋_GB2312" w:hAnsi="宋体" w:eastAsia="仿宋_GB2312" w:cs="宋体"/>
          <w:sz w:val="32"/>
          <w:szCs w:val="32"/>
          <w:lang w:val="en-US" w:eastAsia="zh-CN"/>
        </w:rPr>
        <w:t>班子成员</w:t>
      </w:r>
      <w:r>
        <w:rPr>
          <w:rFonts w:hint="eastAsia" w:ascii="仿宋_GB2312" w:hAnsi="宋体" w:eastAsia="仿宋_GB2312" w:cs="宋体"/>
          <w:sz w:val="32"/>
          <w:szCs w:val="32"/>
          <w:lang w:eastAsia="zh-CN"/>
        </w:rPr>
        <w:t>培训、后备干部队伍建设、教师学历教育、继续教育等。</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（六）负责组织</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做好中考、</w:t>
      </w:r>
      <w:r>
        <w:rPr>
          <w:rFonts w:hint="eastAsia" w:ascii="仿宋_GB2312" w:hAnsi="宋体" w:eastAsia="仿宋_GB2312" w:cs="宋体"/>
          <w:sz w:val="32"/>
          <w:szCs w:val="32"/>
          <w:lang w:val="en-US" w:eastAsia="zh-CN"/>
        </w:rPr>
        <w:t>填报志愿</w:t>
      </w:r>
      <w:r>
        <w:rPr>
          <w:rFonts w:hint="eastAsia" w:ascii="仿宋_GB2312" w:hAnsi="宋体" w:eastAsia="仿宋_GB2312" w:cs="宋体"/>
          <w:sz w:val="32"/>
          <w:szCs w:val="32"/>
          <w:lang w:eastAsia="zh-CN"/>
        </w:rPr>
        <w:t>工作和学籍管理工作。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（七）按照中央关于全面推进素质教育要求，负责教育教学管理、教育教学改革及教育教学科学研究工作，检查指导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实施素质教育工作，并组织推广先进的教育教学经验。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（八）检查指导学校教育教学设备的装备、管理和使用工作。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（九）检查指导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开展电化教育和信息化教学工作。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（十）负责</w:t>
      </w:r>
      <w:r>
        <w:rPr>
          <w:rFonts w:hint="eastAsia" w:ascii="仿宋_GB2312" w:hAnsi="宋体" w:eastAsia="仿宋_GB2312" w:cs="宋体"/>
          <w:sz w:val="32"/>
          <w:szCs w:val="32"/>
          <w:lang w:val="en-US" w:eastAsia="zh-CN"/>
        </w:rPr>
        <w:t>组织</w:t>
      </w:r>
      <w:r>
        <w:rPr>
          <w:rFonts w:hint="eastAsia" w:ascii="仿宋_GB2312" w:hAnsi="宋体" w:eastAsia="仿宋_GB2312" w:cs="宋体"/>
          <w:sz w:val="32"/>
          <w:szCs w:val="32"/>
          <w:lang w:eastAsia="zh-CN"/>
        </w:rPr>
        <w:t>教师</w:t>
      </w:r>
      <w:r>
        <w:rPr>
          <w:rFonts w:hint="eastAsia" w:ascii="仿宋_GB2312" w:hAnsi="宋体" w:eastAsia="仿宋_GB2312" w:cs="宋体"/>
          <w:sz w:val="32"/>
          <w:szCs w:val="32"/>
          <w:lang w:val="en-US" w:eastAsia="zh-CN"/>
        </w:rPr>
        <w:t>进行</w:t>
      </w:r>
      <w:r>
        <w:rPr>
          <w:rFonts w:hint="eastAsia" w:ascii="仿宋_GB2312" w:hAnsi="宋体" w:eastAsia="仿宋_GB2312" w:cs="宋体"/>
          <w:sz w:val="32"/>
          <w:szCs w:val="32"/>
          <w:lang w:eastAsia="zh-CN"/>
        </w:rPr>
        <w:t>专业技术职务资格的申报工作。按照管理权限对教师进行考核、聘任、奖惩、晋升等工作。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（十一）负责</w:t>
      </w:r>
      <w:r>
        <w:rPr>
          <w:rFonts w:hint="eastAsia" w:ascii="仿宋_GB2312" w:hAnsi="宋体" w:eastAsia="仿宋_GB2312" w:cs="宋体"/>
          <w:sz w:val="32"/>
          <w:szCs w:val="32"/>
          <w:lang w:val="en-US" w:eastAsia="zh-CN"/>
        </w:rPr>
        <w:t>学</w:t>
      </w:r>
      <w:r>
        <w:rPr>
          <w:rFonts w:hint="eastAsia" w:ascii="仿宋_GB2312" w:hAnsi="宋体" w:eastAsia="仿宋_GB2312" w:cs="宋体"/>
          <w:sz w:val="32"/>
          <w:szCs w:val="32"/>
          <w:lang w:eastAsia="zh-CN"/>
        </w:rPr>
        <w:t>校教学教育常规管理评估工作，指导</w:t>
      </w:r>
      <w:r>
        <w:rPr>
          <w:rFonts w:hint="eastAsia" w:ascii="仿宋_GB2312" w:hAnsi="宋体" w:eastAsia="仿宋_GB2312" w:cs="宋体"/>
          <w:sz w:val="32"/>
          <w:szCs w:val="32"/>
          <w:lang w:val="en-US" w:eastAsia="zh-CN"/>
        </w:rPr>
        <w:t>我校</w:t>
      </w:r>
      <w:r>
        <w:rPr>
          <w:rFonts w:hint="eastAsia" w:ascii="仿宋_GB2312" w:hAnsi="宋体" w:eastAsia="仿宋_GB2312" w:cs="宋体"/>
          <w:sz w:val="32"/>
          <w:szCs w:val="32"/>
          <w:lang w:eastAsia="zh-CN"/>
        </w:rPr>
        <w:t>德育、体育、卫生、艺术、安全工作以及团组织工作。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（十二）指导全乡的教育督导工作，扫除青壮年文盲工作的督导检查和评估工作，指导基础教育发展水平、质量的监测工作。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）负责指导</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lang w:eastAsia="zh-CN"/>
        </w:rPr>
        <w:t>学生资助管理工作。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  （十</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）负责语言文字和指导推广普通话工作。</w:t>
      </w:r>
    </w:p>
    <w:p>
      <w:pPr>
        <w:ind w:firstLine="640" w:firstLineChars="200"/>
        <w:jc w:val="left"/>
        <w:rPr>
          <w:rFonts w:hint="eastAsia" w:ascii="仿宋" w:hAnsi="仿宋" w:eastAsia="仿宋" w:cs="仿宋"/>
          <w:color w:val="FF0000"/>
          <w:sz w:val="32"/>
          <w:szCs w:val="32"/>
          <w:lang w:val="en-US"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lang w:val="en-US" w:eastAsia="zh-CN"/>
        </w:rPr>
        <w:t>自治县教育局</w:t>
      </w:r>
      <w:r>
        <w:rPr>
          <w:rFonts w:hint="eastAsia" w:ascii="仿宋_GB2312" w:hAnsi="宋体" w:eastAsia="仿宋_GB2312" w:cs="宋体"/>
          <w:sz w:val="32"/>
          <w:szCs w:val="32"/>
          <w:lang w:eastAsia="zh-CN"/>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宋体" w:hAnsi="宋体" w:cs="宋体"/>
          <w:b/>
          <w:sz w:val="28"/>
          <w:szCs w:val="28"/>
          <w:lang w:val="en-US" w:eastAsia="zh-CN"/>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r>
        <w:rPr>
          <w:rFonts w:hint="eastAsia" w:ascii="宋体" w:hAnsi="宋体" w:cs="宋体"/>
          <w:b/>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sz w:val="32"/>
          <w:szCs w:val="32"/>
        </w:rPr>
      </w:pPr>
      <w:r>
        <w:rPr>
          <w:rFonts w:hint="eastAsia" w:ascii="宋体" w:hAnsi="宋体" w:eastAsia="宋体" w:cs="宋体"/>
          <w:b/>
          <w:sz w:val="32"/>
          <w:szCs w:val="32"/>
          <w:lang w:eastAsia="zh-CN"/>
        </w:rPr>
        <w:t>三</w:t>
      </w:r>
      <w:r>
        <w:rPr>
          <w:rFonts w:hint="eastAsia" w:ascii="宋体" w:hAnsi="宋体" w:eastAsia="宋体" w:cs="宋体"/>
          <w:b/>
          <w:sz w:val="32"/>
          <w:szCs w:val="32"/>
        </w:rPr>
        <w:t>、</w:t>
      </w:r>
      <w:r>
        <w:rPr>
          <w:rFonts w:hint="eastAsia" w:ascii="宋体" w:hAnsi="宋体" w:eastAsia="宋体" w:cs="宋体"/>
          <w:b/>
          <w:sz w:val="32"/>
          <w:szCs w:val="32"/>
          <w:lang w:eastAsia="zh-CN"/>
        </w:rPr>
        <w:t>人员</w:t>
      </w:r>
      <w:r>
        <w:rPr>
          <w:rFonts w:hint="eastAsia" w:ascii="宋体" w:hAnsi="宋体" w:cs="宋体"/>
          <w:b/>
          <w:sz w:val="32"/>
          <w:szCs w:val="32"/>
          <w:lang w:eastAsia="zh-CN"/>
        </w:rPr>
        <w:t>构成</w:t>
      </w:r>
      <w:r>
        <w:rPr>
          <w:rFonts w:hint="eastAsia" w:ascii="宋体" w:hAnsi="宋体" w:eastAsia="宋体" w:cs="宋体"/>
          <w:b/>
          <w:sz w:val="32"/>
          <w:szCs w:val="32"/>
        </w:rPr>
        <w:t>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宋体" w:eastAsia="仿宋_GB2312" w:cs="宋体"/>
          <w:sz w:val="32"/>
          <w:szCs w:val="32"/>
          <w:lang w:eastAsia="zh-CN"/>
        </w:rPr>
        <w:sectPr>
          <w:headerReference r:id="rId5" w:type="default"/>
          <w:pgSz w:w="16838" w:h="11906" w:orient="landscape"/>
          <w:pgMar w:top="1417" w:right="1247" w:bottom="1417" w:left="1247" w:header="851" w:footer="992" w:gutter="0"/>
          <w:cols w:space="720" w:num="1"/>
          <w:rtlGutter w:val="0"/>
          <w:docGrid w:type="lines" w:linePitch="312" w:charSpace="0"/>
        </w:sectPr>
      </w:pP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lang w:eastAsia="zh-CN"/>
        </w:rPr>
        <w:t>年</w:t>
      </w:r>
      <w:r>
        <w:rPr>
          <w:rFonts w:hint="eastAsia" w:ascii="仿宋_GB2312" w:hAnsi="宋体" w:eastAsia="仿宋_GB2312" w:cs="宋体"/>
          <w:sz w:val="32"/>
          <w:szCs w:val="32"/>
          <w:lang w:val="en-US" w:eastAsia="zh-CN"/>
        </w:rPr>
        <w:t>我校</w:t>
      </w:r>
      <w:r>
        <w:rPr>
          <w:rFonts w:hint="eastAsia" w:ascii="仿宋_GB2312" w:hAnsi="宋体" w:eastAsia="仿宋_GB2312" w:cs="宋体"/>
          <w:sz w:val="32"/>
          <w:szCs w:val="32"/>
          <w:lang w:eastAsia="zh-CN"/>
        </w:rPr>
        <w:t>总编制人数</w:t>
      </w:r>
      <w:r>
        <w:rPr>
          <w:rFonts w:hint="eastAsia" w:ascii="仿宋_GB2312" w:hAnsi="宋体" w:eastAsia="仿宋_GB2312" w:cs="宋体"/>
          <w:sz w:val="32"/>
          <w:szCs w:val="32"/>
          <w:lang w:val="en-US" w:eastAsia="zh-CN"/>
        </w:rPr>
        <w:t>39</w:t>
      </w:r>
      <w:r>
        <w:rPr>
          <w:rFonts w:hint="eastAsia" w:ascii="仿宋_GB2312" w:hAnsi="宋体" w:eastAsia="仿宋_GB2312" w:cs="宋体"/>
          <w:sz w:val="32"/>
          <w:szCs w:val="32"/>
          <w:lang w:eastAsia="zh-CN"/>
        </w:rPr>
        <w:t>人，</w:t>
      </w:r>
      <w:r>
        <w:rPr>
          <w:rFonts w:hint="eastAsia" w:ascii="仿宋_GB2312" w:eastAsia="仿宋_GB2312"/>
          <w:sz w:val="32"/>
          <w:szCs w:val="32"/>
        </w:rPr>
        <w:t>其中行政编制</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sz w:val="32"/>
          <w:szCs w:val="32"/>
          <w:lang w:eastAsia="zh-CN"/>
        </w:rPr>
        <w:t>事业编制数</w:t>
      </w:r>
      <w:r>
        <w:rPr>
          <w:rFonts w:hint="eastAsia" w:ascii="仿宋_GB2312" w:hAnsi="宋体" w:eastAsia="仿宋_GB2312" w:cs="宋体"/>
          <w:sz w:val="32"/>
          <w:szCs w:val="32"/>
          <w:lang w:val="en-US" w:eastAsia="zh-CN"/>
        </w:rPr>
        <w:t>39</w:t>
      </w:r>
      <w:r>
        <w:rPr>
          <w:rFonts w:hint="eastAsia" w:ascii="仿宋_GB2312" w:hAnsi="宋体" w:eastAsia="仿宋_GB2312" w:cs="宋体"/>
          <w:sz w:val="32"/>
          <w:szCs w:val="32"/>
          <w:lang w:eastAsia="zh-CN"/>
        </w:rPr>
        <w:t>人</w:t>
      </w:r>
      <w:r>
        <w:rPr>
          <w:rFonts w:hint="eastAsia" w:ascii="仿宋_GB2312" w:hAnsi="宋体" w:eastAsia="仿宋_GB2312" w:cs="宋体"/>
          <w:sz w:val="32"/>
          <w:szCs w:val="32"/>
          <w:lang w:val="en-US" w:eastAsia="zh-CN"/>
        </w:rPr>
        <w:t>。</w:t>
      </w:r>
      <w:r>
        <w:rPr>
          <w:rFonts w:hint="eastAsia" w:ascii="仿宋_GB2312" w:eastAsia="仿宋_GB2312"/>
          <w:sz w:val="32"/>
          <w:szCs w:val="32"/>
        </w:rPr>
        <w:t>实有财政供养人数</w:t>
      </w:r>
      <w:r>
        <w:rPr>
          <w:rFonts w:hint="eastAsia" w:ascii="仿宋_GB2312" w:eastAsia="仿宋_GB2312"/>
          <w:sz w:val="32"/>
          <w:szCs w:val="32"/>
          <w:lang w:val="en-US" w:eastAsia="zh-CN"/>
        </w:rPr>
        <w:t>61</w:t>
      </w:r>
      <w:r>
        <w:rPr>
          <w:rFonts w:hint="eastAsia" w:ascii="仿宋_GB2312" w:eastAsia="仿宋_GB2312"/>
          <w:sz w:val="32"/>
          <w:szCs w:val="32"/>
        </w:rPr>
        <w:t>人，其中行政在职</w:t>
      </w:r>
      <w:r>
        <w:rPr>
          <w:rFonts w:hint="eastAsia" w:ascii="仿宋_GB2312" w:eastAsia="仿宋_GB2312"/>
          <w:sz w:val="32"/>
          <w:szCs w:val="32"/>
          <w:lang w:val="en-US" w:eastAsia="zh-CN"/>
        </w:rPr>
        <w:t>0</w:t>
      </w:r>
      <w:r>
        <w:rPr>
          <w:rFonts w:hint="eastAsia" w:ascii="仿宋_GB2312" w:eastAsia="仿宋_GB2312"/>
          <w:sz w:val="32"/>
          <w:szCs w:val="32"/>
        </w:rPr>
        <w:t>人，事业在职</w:t>
      </w:r>
      <w:r>
        <w:rPr>
          <w:rFonts w:hint="eastAsia" w:ascii="仿宋_GB2312" w:eastAsia="仿宋_GB2312"/>
          <w:sz w:val="32"/>
          <w:szCs w:val="32"/>
          <w:lang w:val="en-US" w:eastAsia="zh-CN"/>
        </w:rPr>
        <w:t>38</w:t>
      </w:r>
      <w:r>
        <w:rPr>
          <w:rFonts w:hint="eastAsia" w:ascii="仿宋_GB2312" w:eastAsia="仿宋_GB2312"/>
          <w:sz w:val="32"/>
          <w:szCs w:val="32"/>
        </w:rPr>
        <w:t>人，离退休人员</w:t>
      </w:r>
      <w:r>
        <w:rPr>
          <w:rFonts w:hint="eastAsia" w:ascii="仿宋_GB2312" w:eastAsia="仿宋_GB2312"/>
          <w:sz w:val="32"/>
          <w:szCs w:val="32"/>
          <w:lang w:val="en-US" w:eastAsia="zh-CN"/>
        </w:rPr>
        <w:t>21</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人）。编外</w:t>
      </w:r>
      <w:r>
        <w:rPr>
          <w:rFonts w:hint="eastAsia" w:ascii="仿宋_GB2312" w:eastAsia="仿宋_GB2312"/>
          <w:sz w:val="32"/>
          <w:szCs w:val="32"/>
          <w:lang w:val="en-US" w:eastAsia="zh-CN"/>
        </w:rPr>
        <w:t>特岗教师</w:t>
      </w:r>
      <w:r>
        <w:rPr>
          <w:rFonts w:hint="eastAsia" w:ascii="仿宋_GB2312" w:eastAsia="仿宋_GB2312"/>
          <w:sz w:val="32"/>
          <w:szCs w:val="32"/>
        </w:rPr>
        <w:t>实有人数</w:t>
      </w:r>
      <w:r>
        <w:rPr>
          <w:rFonts w:hint="eastAsia" w:ascii="仿宋_GB2312" w:eastAsia="仿宋_GB2312"/>
          <w:sz w:val="32"/>
          <w:szCs w:val="32"/>
          <w:lang w:val="en-US" w:eastAsia="zh-CN"/>
        </w:rPr>
        <w:t>2</w:t>
      </w:r>
      <w:r>
        <w:rPr>
          <w:rFonts w:hint="eastAsia" w:ascii="仿宋_GB2312" w:eastAsia="仿宋_GB2312"/>
          <w:sz w:val="32"/>
          <w:szCs w:val="32"/>
        </w:rPr>
        <w:t>人。</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学校专职保安人员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人，兼职协管人员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人。</w:t>
      </w: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3679"/>
        <w:gridCol w:w="855"/>
        <w:gridCol w:w="2104"/>
        <w:gridCol w:w="3567"/>
        <w:gridCol w:w="1833"/>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6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638"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35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63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3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597.12</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3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935"/>
        <w:gridCol w:w="1513"/>
        <w:gridCol w:w="1397"/>
        <w:gridCol w:w="1381"/>
        <w:gridCol w:w="1381"/>
        <w:gridCol w:w="121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279"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38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8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36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3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2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78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36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36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792.20</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792.20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597.12</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597.12</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595.05</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595.05</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582.11</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582.11</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12.95</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12.95</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78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3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 xml:space="preserve"> </w:t>
            </w:r>
            <w:r>
              <w:rPr>
                <w:rFonts w:hint="default" w:ascii="宋体" w:hAnsi="宋体" w:eastAsia="宋体" w:cs="宋体"/>
                <w:color w:val="000000"/>
                <w:sz w:val="20"/>
                <w:u w:color="auto"/>
              </w:rPr>
              <w:t>环江毛南族自治县大安乡初级中学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792.20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746.64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578.00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595.05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578.00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582.11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566.62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597.12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54.46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54.46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87.32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87.32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792.20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792.20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792.20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w:t>
            </w:r>
            <w:r>
              <w:rPr>
                <w:rFonts w:hint="default" w:ascii="宋体" w:hAnsi="宋体" w:eastAsia="宋体" w:cs="宋体"/>
                <w:color w:val="000000"/>
                <w:sz w:val="20"/>
                <w:u w:color="auto"/>
              </w:rPr>
              <w:t>环江毛南族自治县大安乡初级中学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792.20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746.64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578.00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578.00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17.06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582.11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566.62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26.43</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594.65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713.55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33.09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FF0000"/>
                <w:kern w:val="2"/>
                <w:sz w:val="21"/>
                <w:szCs w:val="21"/>
                <w:lang w:val="en-US" w:eastAsia="zh-CN" w:bidi="ar"/>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年度没有政府性基金预算财政拨款收入，也没有政府性基金预算财政拨款安排的支出，故本表无数据。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 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年度没有国有资本经营预算财政拨款收入，也没有国有资本经营预算财政拨款安排的支出，故本表无数据。 </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792.20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减少25.45</w:t>
      </w:r>
      <w:r>
        <w:rPr>
          <w:rFonts w:hint="eastAsia" w:ascii="仿宋" w:hAnsi="仿宋" w:eastAsia="仿宋" w:cs="仿宋"/>
          <w:sz w:val="32"/>
          <w:szCs w:val="32"/>
          <w:highlight w:val="none"/>
        </w:rPr>
        <w:t>万元，</w:t>
      </w:r>
      <w:r>
        <w:rPr>
          <w:rFonts w:ascii="仿宋" w:hAnsi="仿宋" w:eastAsia="仿宋" w:cs="仿宋"/>
          <w:sz w:val="32"/>
          <w:u w:color="auto"/>
        </w:rPr>
        <w:t>下降3.11%</w:t>
      </w:r>
      <w:r>
        <w:rPr>
          <w:rFonts w:hint="eastAsia" w:ascii="仿宋" w:hAnsi="仿宋" w:eastAsia="仿宋" w:cs="仿宋"/>
          <w:sz w:val="32"/>
          <w:szCs w:val="32"/>
          <w:highlight w:val="none"/>
        </w:rPr>
        <w:t>，其中本年收入</w:t>
      </w:r>
      <w:r>
        <w:rPr>
          <w:rFonts w:ascii="仿宋" w:hAnsi="仿宋" w:eastAsia="仿宋" w:cs="仿宋"/>
          <w:sz w:val="32"/>
          <w:u w:color="auto"/>
        </w:rPr>
        <w:t>792.20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792.20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增加32.44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增长4.27%</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kern w:val="0"/>
          <w:sz w:val="32"/>
          <w:szCs w:val="32"/>
        </w:rPr>
        <w:t>（1）</w:t>
      </w:r>
      <w:r>
        <w:rPr>
          <w:rFonts w:hint="eastAsia" w:ascii="华文仿宋" w:hAnsi="华文仿宋" w:eastAsia="华文仿宋" w:cs="华文仿宋"/>
          <w:kern w:val="0"/>
          <w:sz w:val="32"/>
          <w:szCs w:val="32"/>
          <w:lang w:val="en-US" w:eastAsia="zh-CN"/>
        </w:rPr>
        <w:t>新增人员增加；（2）上级专款收入增加。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 xml:space="preserve">0.00万。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 xml:space="preserve">万元。 </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94386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792.20</w:t>
      </w:r>
      <w:r>
        <w:rPr>
          <w:rFonts w:hint="eastAsia" w:ascii="仿宋" w:hAnsi="仿宋" w:eastAsia="仿宋" w:cs="仿宋"/>
          <w:sz w:val="32"/>
          <w:szCs w:val="32"/>
          <w:highlight w:val="none"/>
        </w:rPr>
        <w:t>万元，其中本年支出</w:t>
      </w:r>
      <w:r>
        <w:rPr>
          <w:rFonts w:ascii="仿宋" w:hAnsi="仿宋" w:eastAsia="仿宋" w:cs="仿宋"/>
          <w:sz w:val="32"/>
          <w:u w:color="auto"/>
        </w:rPr>
        <w:t>792.20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减少25.45</w:t>
      </w:r>
      <w:r>
        <w:rPr>
          <w:rFonts w:hint="eastAsia" w:ascii="仿宋" w:hAnsi="仿宋" w:eastAsia="仿宋" w:cs="仿宋"/>
          <w:sz w:val="32"/>
          <w:szCs w:val="32"/>
          <w:highlight w:val="none"/>
        </w:rPr>
        <w:t>万元，</w:t>
      </w:r>
      <w:r>
        <w:rPr>
          <w:rFonts w:ascii="仿宋" w:hAnsi="仿宋" w:eastAsia="仿宋" w:cs="仿宋"/>
          <w:sz w:val="32"/>
          <w:u w:color="auto"/>
        </w:rPr>
        <w:t>下降3.11%</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7.80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工会活动及慰问支出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增加7.80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kern w:val="0"/>
          <w:sz w:val="32"/>
          <w:szCs w:val="32"/>
          <w:lang w:val="en-US" w:eastAsia="zh-CN"/>
        </w:rPr>
        <w:t>上级专款收入增加。</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597.12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支付基本工资、津贴补贴、奖金、绩效工资、医疗保险、其他社会保障、办公费、水电费、邮电费、物业管理费、差旅费、劳务费、退休费、生活补助费、助学金、其他对个人和家庭的补助、劳务费等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减少54.40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下降8.35%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学生人数减少，相应的各项拨款也减少</w:t>
      </w:r>
      <w:r>
        <w:rPr>
          <w:rFonts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54.46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支付在职教职工机关老养老保险费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减少16.55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下降23.31%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年初预算基数高，而实际缴纳基数沿用2021年基数。</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45.49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支付在职教职工住房公积金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增加10.02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增长28.25%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年中调入4人以及新招特岗教师1人。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87.32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支付奖金、生活补助、其他对个人和家庭的补助等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增加27.67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增长46.39%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年中调入4人以及新招特岗教师1人。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环江毛南族自治县大安乡初级中学2022年度一般公共预算财政拨款支出</w:t>
      </w:r>
      <w:r>
        <w:rPr>
          <w:rFonts w:ascii="仿宋" w:hAnsi="仿宋" w:eastAsia="仿宋" w:cs="仿宋"/>
          <w:sz w:val="32"/>
          <w:u w:color="auto"/>
        </w:rPr>
        <w:t>792.20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减少25.45</w:t>
      </w:r>
      <w:r>
        <w:rPr>
          <w:rFonts w:hint="eastAsia" w:ascii="仿宋" w:hAnsi="仿宋" w:eastAsia="仿宋" w:cs="仿宋"/>
          <w:sz w:val="32"/>
          <w:szCs w:val="32"/>
          <w:highlight w:val="none"/>
        </w:rPr>
        <w:t>万元，</w:t>
      </w:r>
      <w:r>
        <w:rPr>
          <w:rFonts w:ascii="仿宋" w:hAnsi="仿宋" w:eastAsia="仿宋" w:cs="仿宋"/>
          <w:sz w:val="32"/>
          <w:u w:color="auto"/>
        </w:rPr>
        <w:t>下降3.11%</w:t>
      </w:r>
      <w:r>
        <w:rPr>
          <w:rFonts w:hint="eastAsia" w:ascii="仿宋" w:hAnsi="仿宋" w:eastAsia="仿宋" w:cs="仿宋"/>
          <w:sz w:val="32"/>
          <w:szCs w:val="32"/>
          <w:highlight w:val="none"/>
        </w:rPr>
        <w:t>。其中：基本支出</w:t>
      </w:r>
      <w:r>
        <w:rPr>
          <w:rFonts w:ascii="仿宋" w:hAnsi="仿宋" w:eastAsia="仿宋" w:cs="仿宋"/>
          <w:sz w:val="32"/>
          <w:u w:color="auto"/>
        </w:rPr>
        <w:t>746.64</w:t>
      </w:r>
      <w:r>
        <w:rPr>
          <w:rFonts w:hint="eastAsia" w:ascii="仿宋" w:hAnsi="仿宋" w:eastAsia="仿宋" w:cs="仿宋"/>
          <w:sz w:val="32"/>
          <w:szCs w:val="32"/>
          <w:highlight w:val="none"/>
        </w:rPr>
        <w:t>万元，项目支出</w:t>
      </w:r>
      <w:r>
        <w:rPr>
          <w:rFonts w:ascii="仿宋" w:hAnsi="仿宋" w:eastAsia="仿宋" w:cs="仿宋"/>
          <w:sz w:val="32"/>
          <w:u w:color="auto"/>
        </w:rPr>
        <w:t>45.55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环江毛南族自治县大安乡初级中学2022 年度一般公共预算财政拨款支出年初预算为</w:t>
      </w:r>
      <w:r>
        <w:rPr>
          <w:rFonts w:ascii="仿宋" w:hAnsi="仿宋" w:eastAsia="仿宋" w:cs="仿宋"/>
          <w:sz w:val="32"/>
          <w:u w:color="auto"/>
        </w:rPr>
        <w:t>529.82</w:t>
      </w:r>
      <w:r>
        <w:rPr>
          <w:rFonts w:hint="eastAsia" w:ascii="仿宋" w:hAnsi="仿宋" w:eastAsia="仿宋" w:cs="仿宋"/>
          <w:sz w:val="32"/>
          <w:szCs w:val="32"/>
          <w:highlight w:val="none"/>
        </w:rPr>
        <w:t>万元，支出决算为</w:t>
      </w:r>
      <w:r>
        <w:rPr>
          <w:rFonts w:ascii="仿宋" w:hAnsi="仿宋" w:eastAsia="仿宋" w:cs="仿宋"/>
          <w:sz w:val="32"/>
          <w:u w:color="auto"/>
        </w:rPr>
        <w:t>792.20</w:t>
      </w:r>
      <w:r>
        <w:rPr>
          <w:rFonts w:hint="eastAsia" w:ascii="仿宋" w:hAnsi="仿宋" w:eastAsia="仿宋" w:cs="仿宋"/>
          <w:sz w:val="32"/>
          <w:szCs w:val="32"/>
          <w:highlight w:val="none"/>
        </w:rPr>
        <w:t>万元，完成年初预算的</w:t>
      </w:r>
      <w:r>
        <w:rPr>
          <w:rFonts w:ascii="仿宋" w:hAnsi="仿宋" w:eastAsia="仿宋" w:cs="仿宋"/>
          <w:sz w:val="32"/>
          <w:u w:color="auto"/>
        </w:rPr>
        <w:t>149.52%</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7.80</w:t>
      </w:r>
      <w:r>
        <w:rPr>
          <w:rFonts w:hint="eastAsia" w:ascii="仿宋" w:hAnsi="仿宋" w:eastAsia="仿宋"/>
          <w:sz w:val="32"/>
          <w:szCs w:val="32"/>
          <w:highlight w:val="none"/>
        </w:rPr>
        <w:t>万元，支出决算为</w:t>
      </w:r>
      <w:r>
        <w:rPr>
          <w:rFonts w:ascii="仿宋" w:hAnsi="仿宋" w:eastAsia="仿宋"/>
          <w:sz w:val="32"/>
          <w:szCs w:val="32"/>
          <w:highlight w:val="none"/>
        </w:rPr>
        <w:t>7.80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9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606"/>
        <w:gridCol w:w="1003"/>
        <w:gridCol w:w="805"/>
        <w:gridCol w:w="1118"/>
        <w:gridCol w:w="5984"/>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6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5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6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7.80</w:t>
            </w:r>
          </w:p>
        </w:tc>
        <w:tc>
          <w:tcPr>
            <w:tcW w:w="8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7.80</w:t>
            </w:r>
          </w:p>
        </w:tc>
        <w:tc>
          <w:tcPr>
            <w:tcW w:w="1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5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2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6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7.80</w:t>
            </w:r>
          </w:p>
        </w:tc>
        <w:tc>
          <w:tcPr>
            <w:tcW w:w="8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7.80</w:t>
            </w:r>
          </w:p>
        </w:tc>
        <w:tc>
          <w:tcPr>
            <w:tcW w:w="1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59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工会活动及慰问支出</w:t>
            </w:r>
          </w:p>
        </w:tc>
        <w:tc>
          <w:tcPr>
            <w:tcW w:w="2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8699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412.82</w:t>
      </w:r>
      <w:r>
        <w:rPr>
          <w:rFonts w:hint="eastAsia" w:ascii="仿宋" w:hAnsi="仿宋" w:eastAsia="仿宋"/>
          <w:sz w:val="32"/>
          <w:szCs w:val="32"/>
          <w:highlight w:val="none"/>
        </w:rPr>
        <w:t>万元，支出决算为</w:t>
      </w:r>
      <w:r>
        <w:rPr>
          <w:rFonts w:ascii="仿宋" w:hAnsi="仿宋" w:eastAsia="仿宋"/>
          <w:sz w:val="32"/>
          <w:szCs w:val="32"/>
          <w:highlight w:val="none"/>
        </w:rPr>
        <w:t>597.12</w:t>
      </w:r>
      <w:r>
        <w:rPr>
          <w:rFonts w:hint="eastAsia" w:ascii="仿宋" w:hAnsi="仿宋" w:eastAsia="仿宋"/>
          <w:sz w:val="32"/>
          <w:szCs w:val="32"/>
          <w:highlight w:val="none"/>
        </w:rPr>
        <w:t>万元，完成年初预算的</w:t>
      </w:r>
      <w:r>
        <w:rPr>
          <w:rFonts w:ascii="仿宋" w:hAnsi="仿宋" w:eastAsia="仿宋"/>
          <w:sz w:val="32"/>
          <w:szCs w:val="32"/>
          <w:highlight w:val="none"/>
        </w:rPr>
        <w:t>144.64%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年中调入4人以及新招特岗教师1人。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9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6214"/>
        <w:gridCol w:w="2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412.82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582.11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141.01%</w:t>
            </w: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支付基本工资、津贴补贴、奖金、绩效工资、医疗保险、其他社会保障、办公费、水电费、邮电费、物业管理费、差旅费、劳务费、退休费、生活补助费、助学金、其他对个人和家庭的补助等</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8"/>
                <w:szCs w:val="28"/>
                <w:highlight w:val="none"/>
                <w:lang w:val="en-US" w:eastAsia="zh-CN" w:bidi="ar"/>
              </w:rPr>
              <w:t>年中调入4人以及新招特岗教师1人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支付生活补助、助学金等</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支付劳务费</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412.82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597.12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2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tc>
        <w:tc>
          <w:tcPr>
            <w:tcW w:w="27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62.40</w:t>
      </w:r>
      <w:r>
        <w:rPr>
          <w:rFonts w:hint="eastAsia" w:ascii="仿宋" w:hAnsi="仿宋" w:eastAsia="仿宋"/>
          <w:sz w:val="32"/>
          <w:szCs w:val="32"/>
          <w:highlight w:val="none"/>
        </w:rPr>
        <w:t>万元，支出决算为</w:t>
      </w:r>
      <w:r>
        <w:rPr>
          <w:rFonts w:ascii="仿宋" w:hAnsi="仿宋" w:eastAsia="仿宋"/>
          <w:sz w:val="32"/>
          <w:szCs w:val="32"/>
          <w:highlight w:val="none"/>
        </w:rPr>
        <w:t>54.46</w:t>
      </w:r>
      <w:r>
        <w:rPr>
          <w:rFonts w:hint="eastAsia" w:ascii="仿宋" w:hAnsi="仿宋" w:eastAsia="仿宋"/>
          <w:sz w:val="32"/>
          <w:szCs w:val="32"/>
          <w:highlight w:val="none"/>
        </w:rPr>
        <w:t>万元，完成年初预算的</w:t>
      </w:r>
      <w:r>
        <w:rPr>
          <w:rFonts w:ascii="仿宋" w:hAnsi="仿宋" w:eastAsia="仿宋"/>
          <w:sz w:val="32"/>
          <w:szCs w:val="32"/>
          <w:highlight w:val="none"/>
        </w:rPr>
        <w:t>87.28%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年初预算基数高，而实际缴纳基数沿用2021年基数。</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9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6017"/>
        <w:gridCol w:w="3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60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3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87.28%</w:t>
            </w:r>
          </w:p>
        </w:tc>
        <w:tc>
          <w:tcPr>
            <w:tcW w:w="60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支付在职教职工养老保险</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tc>
        <w:tc>
          <w:tcPr>
            <w:tcW w:w="3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年初预算基数高，而实际缴纳基数沿用2021年基数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0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3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2350135"/>
            <wp:effectExtent l="5080" t="4445" r="15875" b="762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0"/>
        <w:jc w:val="left"/>
        <w:textAlignment w:val="baseline"/>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46.80</w:t>
      </w:r>
      <w:r>
        <w:rPr>
          <w:rFonts w:hint="eastAsia" w:ascii="仿宋" w:hAnsi="仿宋" w:eastAsia="仿宋"/>
          <w:sz w:val="32"/>
          <w:szCs w:val="32"/>
          <w:highlight w:val="none"/>
        </w:rPr>
        <w:t>万元，支出决算为</w:t>
      </w:r>
      <w:r>
        <w:rPr>
          <w:rFonts w:ascii="仿宋" w:hAnsi="仿宋" w:eastAsia="仿宋"/>
          <w:sz w:val="32"/>
          <w:szCs w:val="32"/>
          <w:highlight w:val="none"/>
        </w:rPr>
        <w:t>45.49</w:t>
      </w:r>
      <w:r>
        <w:rPr>
          <w:rFonts w:hint="eastAsia" w:ascii="仿宋" w:hAnsi="仿宋" w:eastAsia="仿宋"/>
          <w:sz w:val="32"/>
          <w:szCs w:val="32"/>
          <w:highlight w:val="none"/>
        </w:rPr>
        <w:t>万元，完成年初预算的</w:t>
      </w:r>
      <w:r>
        <w:rPr>
          <w:rFonts w:ascii="仿宋" w:hAnsi="仿宋" w:eastAsia="仿宋"/>
          <w:sz w:val="32"/>
          <w:szCs w:val="32"/>
          <w:highlight w:val="none"/>
        </w:rPr>
        <w:t>97.20%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年初预算基数高，而实际缴纳基数沿用2021年基数。</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40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6198"/>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61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97.20%</w:t>
            </w:r>
          </w:p>
        </w:tc>
        <w:tc>
          <w:tcPr>
            <w:tcW w:w="61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支付在职教职工住房公积金</w:t>
            </w:r>
          </w:p>
        </w:tc>
        <w:tc>
          <w:tcPr>
            <w:tcW w:w="2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年初预算基数高，而实际缴纳基数沿用2021年基数</w:t>
            </w:r>
            <w:r>
              <w:rPr>
                <w:rFonts w:hint="eastAsia" w:ascii="仿宋" w:hAnsi="仿宋" w:eastAsia="仿宋" w:cs="仿宋"/>
                <w:color w:val="FF0000"/>
                <w:sz w:val="18"/>
                <w:szCs w:val="18"/>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1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2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7332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87.32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华文仿宋" w:hAnsi="华文仿宋" w:eastAsia="华文仿宋" w:cs="华文仿宋"/>
          <w:kern w:val="0"/>
          <w:sz w:val="32"/>
          <w:szCs w:val="32"/>
          <w:lang w:val="en-US" w:eastAsia="zh-CN"/>
        </w:rPr>
        <w:t>上级专款收入增加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9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4521"/>
        <w:gridCol w:w="4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4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4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4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支付奖金、生活补助、其他对个人和家庭的补助等</w:t>
            </w:r>
          </w:p>
        </w:tc>
        <w:tc>
          <w:tcPr>
            <w:tcW w:w="4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32"/>
                <w:szCs w:val="32"/>
                <w:lang w:val="en-US" w:eastAsia="zh-CN"/>
              </w:rPr>
              <w:t>上级专款收入增加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4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4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39365"/>
            <wp:effectExtent l="4445" t="4445" r="16510"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环江毛南族自治县大安乡初级中学2022年度一般公共预算财政拨款基本支出</w:t>
      </w:r>
      <w:r>
        <w:rPr>
          <w:rFonts w:ascii="仿宋" w:hAnsi="仿宋" w:eastAsia="仿宋" w:cs="仿宋"/>
          <w:sz w:val="32"/>
          <w:u w:color="auto"/>
        </w:rPr>
        <w:t>746.64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713.55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33.09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42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594.65万元，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120.77%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年中调入4人以及新招特岗教师1人。</w:t>
      </w:r>
    </w:p>
    <w:p>
      <w:pPr>
        <w:keepNext w:val="0"/>
        <w:keepLines w:val="0"/>
        <w:widowControl w:val="0"/>
        <w:numPr>
          <w:ilvl w:val="0"/>
          <w:numId w:val="0"/>
        </w:numPr>
        <w:suppressLineNumbers w:val="0"/>
        <w:spacing w:before="0" w:beforeAutospacing="0" w:after="0" w:afterAutospacing="0"/>
        <w:ind w:leftChars="0"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249.60万元，30102津贴补贴34.40万元，30103奖金93.34万元，30107绩效工资90.10万元，30108机关事业单位基本养老保险缴费54.46万元，30110职工基本医疗保险缴费24.19万元，30112其他社会保障缴费3.06万元，30113住房公积金45.49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33.09万元，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424.23%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有的项目年初预算时没计划在此开支</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年中进行调整在该项目开支</w:t>
      </w:r>
      <w:r>
        <w:rPr>
          <w:rFonts w:hint="eastAsia" w:ascii="仿宋" w:hAnsi="仿宋" w:eastAsia="仿宋" w:cs="仿宋"/>
          <w:sz w:val="32"/>
          <w:szCs w:val="32"/>
          <w:lang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30201办公费0.39万元，30205水费2.96万元，30206电费5.91万元，30207邮电费4.51万元，30209物业管理费0.48万元，30211差旅费3.16万元，30228工会经费7.80万元，30299其他商品和服务支出7.88万元。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42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118.91万元，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714.6%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lang w:bidi="ar"/>
        </w:rPr>
        <w:t>有的项目年初预算时没计划在此开支</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年中进行调整在该项目开支</w:t>
      </w:r>
      <w:r>
        <w:rPr>
          <w:rFonts w:hint="eastAsia" w:ascii="仿宋" w:hAnsi="仿宋" w:eastAsia="仿宋" w:cs="仿宋"/>
          <w:sz w:val="32"/>
          <w:szCs w:val="32"/>
          <w:lang w:eastAsia="zh-CN" w:bidi="ar"/>
        </w:rPr>
        <w:t>。</w:t>
      </w:r>
    </w:p>
    <w:p>
      <w:pPr>
        <w:ind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30305生活补助24.64万元，30308助学金85.76万元，30399其他对个人和家庭的补助8.50万元。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color w:val="FF0000"/>
          <w:sz w:val="32"/>
          <w:szCs w:val="32"/>
          <w:highlight w:val="none"/>
          <w:lang w:val="en-US"/>
        </w:rPr>
      </w:pP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环江毛南族自治县大安乡初级中学2022年度政府性基金支出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 xml:space="preserve"> 本单位无政府性基金支出。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环江毛南族自治县大安乡初级中学2022年度国有资本经营预算支出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 xml:space="preserve"> 本单位无国有资本经营预算支出。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4" w:name="PO_part3A6B2IncReason1"/>
      <w:r>
        <w:rPr>
          <w:rFonts w:hint="eastAsia" w:ascii="仿宋" w:hAnsi="仿宋" w:eastAsia="仿宋" w:cs="仿宋"/>
          <w:color w:val="auto"/>
          <w:sz w:val="32"/>
          <w:szCs w:val="32"/>
        </w:rPr>
        <w:t>无公务用车购置</w:t>
      </w:r>
      <w:bookmarkEnd w:id="4"/>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3"/>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r>
        <w:rPr>
          <w:rFonts w:hint="eastAsia" w:ascii="仿宋" w:hAnsi="仿宋" w:eastAsia="仿宋" w:cs="仿宋"/>
          <w:sz w:val="32"/>
          <w:szCs w:val="32"/>
          <w:highlight w:val="none"/>
          <w:lang w:val="en-US" w:eastAsia="zh-CN"/>
        </w:rPr>
        <w:t xml:space="preserve"> </w:t>
      </w:r>
    </w:p>
    <w:p>
      <w:pPr>
        <w:numPr>
          <w:ilvl w:val="0"/>
          <w:numId w:val="4"/>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其他重要事项情况说明</w:t>
      </w:r>
    </w:p>
    <w:p>
      <w:pPr>
        <w:numPr>
          <w:ilvl w:val="0"/>
          <w:numId w:val="0"/>
        </w:num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本部门2022年度机关运行经费支出0.00万元</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机关运行经费</w:t>
      </w:r>
      <w:bookmarkStart w:id="5" w:name="_GoBack"/>
      <w:bookmarkEnd w:id="5"/>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355.37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44.86</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我校对14个项目进行</w:t>
      </w:r>
      <w:r>
        <w:rPr>
          <w:rFonts w:hint="eastAsia" w:ascii="仿宋" w:hAnsi="仿宋" w:eastAsia="仿宋" w:cs="仿宋"/>
          <w:b w:val="0"/>
          <w:bCs/>
          <w:sz w:val="32"/>
          <w:szCs w:val="32"/>
        </w:rPr>
        <w:t>自评</w:t>
      </w:r>
      <w:r>
        <w:rPr>
          <w:rFonts w:hint="eastAsia" w:ascii="仿宋" w:hAnsi="仿宋" w:eastAsia="仿宋" w:cs="仿宋"/>
          <w:b w:val="0"/>
          <w:bCs/>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人</w:t>
      </w:r>
      <w:r>
        <w:rPr>
          <w:rFonts w:hint="eastAsia" w:ascii="仿宋" w:hAnsi="仿宋" w:eastAsia="仿宋" w:cs="仿宋"/>
          <w:color w:val="000000" w:themeColor="text1"/>
          <w:sz w:val="32"/>
          <w:szCs w:val="32"/>
          <w:lang w:val="en-US" w:eastAsia="zh-CN"/>
          <w14:textFill>
            <w14:solidFill>
              <w14:schemeClr w14:val="tx1"/>
            </w14:solidFill>
          </w14:textFill>
        </w:rPr>
        <w:t>7个，99.98分1个，98.99分1个，98.3分1个，97.12分1个，94.78分1个，90分1个，87.02分1个</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仿宋"/>
          <w:sz w:val="32"/>
          <w:szCs w:val="32"/>
        </w:rPr>
        <w:t>我单位未能制定相关管理制度，在项目实施方面还有待完善</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sz w:val="32"/>
          <w:szCs w:val="32"/>
        </w:rPr>
        <w:t>学校报账材料整理比较慢，不能及时支付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sz w:val="32"/>
          <w:szCs w:val="32"/>
        </w:rPr>
        <w:t>管理制度</w:t>
      </w:r>
      <w:r>
        <w:rPr>
          <w:rFonts w:hint="eastAsia" w:ascii="仿宋" w:hAnsi="仿宋" w:eastAsia="仿宋" w:cs="仿宋"/>
          <w:sz w:val="32"/>
          <w:szCs w:val="32"/>
          <w:lang w:eastAsia="zh-CN"/>
        </w:rPr>
        <w:t>，</w:t>
      </w:r>
      <w:r>
        <w:rPr>
          <w:rFonts w:hint="eastAsia" w:ascii="仿宋" w:hAnsi="仿宋" w:eastAsia="仿宋" w:cs="仿宋"/>
          <w:sz w:val="32"/>
          <w:szCs w:val="32"/>
        </w:rPr>
        <w:t>完善项目实施</w:t>
      </w:r>
      <w:r>
        <w:rPr>
          <w:rFonts w:hint="eastAsia" w:ascii="仿宋" w:hAnsi="仿宋" w:eastAsia="仿宋" w:cs="仿宋"/>
          <w:sz w:val="32"/>
          <w:szCs w:val="32"/>
          <w:lang w:val="en-US" w:eastAsia="zh-CN"/>
        </w:rPr>
        <w:t>方案</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sz w:val="32"/>
          <w:szCs w:val="32"/>
        </w:rPr>
        <w:t>报账材料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FF0000"/>
          <w:sz w:val="32"/>
          <w:szCs w:val="32"/>
          <w:lang w:val="en-US" w:eastAsia="zh-CN"/>
        </w:rPr>
        <w:t xml:space="preserve"> </w:t>
      </w:r>
    </w:p>
    <w:p>
      <w:pPr>
        <w:numPr>
          <w:ilvl w:val="0"/>
          <w:numId w:val="0"/>
        </w:numPr>
        <w:ind w:firstLine="4480" w:firstLineChars="1400"/>
        <w:jc w:val="both"/>
        <w:rPr>
          <w:rFonts w:ascii="黑体" w:hAnsi="黑体" w:eastAsia="黑体" w:cs="黑体"/>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0"/>
          <w:szCs w:val="30"/>
          <w:highlight w:val="none"/>
        </w:rPr>
      </w:pPr>
      <w:r>
        <w:rPr>
          <w:rFonts w:hint="eastAsia" w:ascii="仿宋" w:hAnsi="仿宋" w:eastAsia="仿宋" w:cs="仿宋"/>
          <w:sz w:val="32"/>
          <w:szCs w:val="32"/>
          <w:highlight w:val="none"/>
        </w:rPr>
        <w:t>十三、</w:t>
      </w:r>
      <w:r>
        <w:rPr>
          <w:rFonts w:hint="eastAsia" w:ascii="仿宋" w:hAnsi="仿宋" w:eastAsia="仿宋" w:cs="仿宋"/>
          <w:sz w:val="30"/>
          <w:szCs w:val="30"/>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B0737A63"/>
    <w:multiLevelType w:val="singleLevel"/>
    <w:tmpl w:val="B0737A63"/>
    <w:lvl w:ilvl="0" w:tentative="0">
      <w:start w:val="7"/>
      <w:numFmt w:val="chineseCounting"/>
      <w:suff w:val="nothing"/>
      <w:lvlText w:val="%1、"/>
      <w:lvlJc w:val="left"/>
      <w:rPr>
        <w:rFonts w:hint="eastAsia"/>
      </w:rPr>
    </w:lvl>
  </w:abstractNum>
  <w:abstractNum w:abstractNumId="2">
    <w:nsid w:val="C9DFEF34"/>
    <w:multiLevelType w:val="singleLevel"/>
    <w:tmpl w:val="C9DFEF34"/>
    <w:lvl w:ilvl="0" w:tentative="0">
      <w:start w:val="3"/>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420" w:firstLine="420"/>
      </w:pPr>
      <w:rPr>
        <w:rFonts w:hint="eastAsia"/>
        <w:color w:val="auto"/>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JkNmQ3MzJjZWE2YzBlZWMwNDkyMzI1ODVkNT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42747"/>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29153F"/>
    <w:rsid w:val="04D01B9B"/>
    <w:rsid w:val="04E54546"/>
    <w:rsid w:val="05992762"/>
    <w:rsid w:val="074752F0"/>
    <w:rsid w:val="07B0770E"/>
    <w:rsid w:val="0942143F"/>
    <w:rsid w:val="0A820A6F"/>
    <w:rsid w:val="0AA638A8"/>
    <w:rsid w:val="0D100297"/>
    <w:rsid w:val="0D202B45"/>
    <w:rsid w:val="0EA8323D"/>
    <w:rsid w:val="0F8D4C87"/>
    <w:rsid w:val="10505FAA"/>
    <w:rsid w:val="105F7E7E"/>
    <w:rsid w:val="11E56B5B"/>
    <w:rsid w:val="125C77AB"/>
    <w:rsid w:val="14C62B1E"/>
    <w:rsid w:val="14CB726E"/>
    <w:rsid w:val="17E92249"/>
    <w:rsid w:val="18D304F1"/>
    <w:rsid w:val="19F32577"/>
    <w:rsid w:val="19F45B80"/>
    <w:rsid w:val="1B0C078D"/>
    <w:rsid w:val="1B2B31E2"/>
    <w:rsid w:val="1B4C295A"/>
    <w:rsid w:val="1B973C63"/>
    <w:rsid w:val="1BA1001E"/>
    <w:rsid w:val="1BCA6A25"/>
    <w:rsid w:val="1CA00DA6"/>
    <w:rsid w:val="1D317259"/>
    <w:rsid w:val="1E664F5B"/>
    <w:rsid w:val="1EB34BE1"/>
    <w:rsid w:val="215E639F"/>
    <w:rsid w:val="21EC3183"/>
    <w:rsid w:val="225E72CD"/>
    <w:rsid w:val="246E2F77"/>
    <w:rsid w:val="254B4E2B"/>
    <w:rsid w:val="283D7C94"/>
    <w:rsid w:val="293D1AEA"/>
    <w:rsid w:val="29480E03"/>
    <w:rsid w:val="2983634D"/>
    <w:rsid w:val="2BB02055"/>
    <w:rsid w:val="2C575A56"/>
    <w:rsid w:val="2DD65871"/>
    <w:rsid w:val="2F257714"/>
    <w:rsid w:val="2F3275E5"/>
    <w:rsid w:val="2F34669B"/>
    <w:rsid w:val="30AA08EF"/>
    <w:rsid w:val="30D23D1C"/>
    <w:rsid w:val="31221CF5"/>
    <w:rsid w:val="31400178"/>
    <w:rsid w:val="321E3342"/>
    <w:rsid w:val="327759C8"/>
    <w:rsid w:val="33185FE3"/>
    <w:rsid w:val="34EE2E36"/>
    <w:rsid w:val="36777241"/>
    <w:rsid w:val="371E78D5"/>
    <w:rsid w:val="387B5166"/>
    <w:rsid w:val="38A951DB"/>
    <w:rsid w:val="38B31605"/>
    <w:rsid w:val="39003F4F"/>
    <w:rsid w:val="3A466F9E"/>
    <w:rsid w:val="3C07002B"/>
    <w:rsid w:val="3D0D152A"/>
    <w:rsid w:val="3DF62756"/>
    <w:rsid w:val="3EA140FC"/>
    <w:rsid w:val="3F1B7587"/>
    <w:rsid w:val="41E57B4F"/>
    <w:rsid w:val="425C4561"/>
    <w:rsid w:val="432F26F6"/>
    <w:rsid w:val="43880F63"/>
    <w:rsid w:val="441C5A6F"/>
    <w:rsid w:val="44C44FCC"/>
    <w:rsid w:val="44CC7369"/>
    <w:rsid w:val="457F5108"/>
    <w:rsid w:val="46951B6B"/>
    <w:rsid w:val="49A34401"/>
    <w:rsid w:val="4A3E30AB"/>
    <w:rsid w:val="4AC14DAC"/>
    <w:rsid w:val="4B381A2B"/>
    <w:rsid w:val="4BDA5B91"/>
    <w:rsid w:val="4D154C85"/>
    <w:rsid w:val="4EB35ECE"/>
    <w:rsid w:val="508F4E24"/>
    <w:rsid w:val="51461E90"/>
    <w:rsid w:val="51463753"/>
    <w:rsid w:val="52553A93"/>
    <w:rsid w:val="53261B44"/>
    <w:rsid w:val="53521F8B"/>
    <w:rsid w:val="53E22F47"/>
    <w:rsid w:val="54522FF8"/>
    <w:rsid w:val="5535663A"/>
    <w:rsid w:val="55450629"/>
    <w:rsid w:val="56692963"/>
    <w:rsid w:val="568B0F48"/>
    <w:rsid w:val="5786217B"/>
    <w:rsid w:val="57FE4953"/>
    <w:rsid w:val="59337A15"/>
    <w:rsid w:val="59810274"/>
    <w:rsid w:val="5CA96A00"/>
    <w:rsid w:val="5CF730BC"/>
    <w:rsid w:val="5D745287"/>
    <w:rsid w:val="5E5F0DCE"/>
    <w:rsid w:val="5FA40A7B"/>
    <w:rsid w:val="5FD56D29"/>
    <w:rsid w:val="5FEC7F3F"/>
    <w:rsid w:val="60F74BC3"/>
    <w:rsid w:val="617D3BF8"/>
    <w:rsid w:val="61841F6A"/>
    <w:rsid w:val="619A5F2C"/>
    <w:rsid w:val="623007A9"/>
    <w:rsid w:val="637D7558"/>
    <w:rsid w:val="644F19AC"/>
    <w:rsid w:val="65AA4920"/>
    <w:rsid w:val="65E31D0B"/>
    <w:rsid w:val="67694F1E"/>
    <w:rsid w:val="69597934"/>
    <w:rsid w:val="6B964DDC"/>
    <w:rsid w:val="6C783074"/>
    <w:rsid w:val="6D9E65C6"/>
    <w:rsid w:val="6DA81947"/>
    <w:rsid w:val="6EB66DE2"/>
    <w:rsid w:val="6ED3075F"/>
    <w:rsid w:val="6EE17ACC"/>
    <w:rsid w:val="6F2A2D4B"/>
    <w:rsid w:val="6F8A0C1E"/>
    <w:rsid w:val="703F45D4"/>
    <w:rsid w:val="70F00EBF"/>
    <w:rsid w:val="715D6546"/>
    <w:rsid w:val="71BE069E"/>
    <w:rsid w:val="73953409"/>
    <w:rsid w:val="73E069A3"/>
    <w:rsid w:val="78104AA8"/>
    <w:rsid w:val="78E257C5"/>
    <w:rsid w:val="794B35BE"/>
    <w:rsid w:val="7B0A3A31"/>
    <w:rsid w:val="7B3360ED"/>
    <w:rsid w:val="7BDF037E"/>
    <w:rsid w:val="7BF50948"/>
    <w:rsid w:val="7CE66A78"/>
    <w:rsid w:val="7D23564C"/>
    <w:rsid w:val="7D592D54"/>
    <w:rsid w:val="7D5E062D"/>
    <w:rsid w:val="7DF76CD8"/>
    <w:rsid w:val="7EEA53E9"/>
    <w:rsid w:val="7F695C26"/>
    <w:rsid w:val="7FCF62D3"/>
    <w:rsid w:val="7FDC3EE8"/>
    <w:rsid w:val="9FF543D3"/>
    <w:rsid w:val="FFF71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792.2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24.64</c:v>
                </c:pt>
                <c:pt idx="5">
                  <c:v>0</c:v>
                </c:pt>
                <c:pt idx="6">
                  <c:v>0</c:v>
                </c:pt>
                <c:pt idx="7">
                  <c:v>85.76</c:v>
                </c:pt>
                <c:pt idx="8">
                  <c:v>0</c:v>
                </c:pt>
                <c:pt idx="9">
                  <c:v>0</c:v>
                </c:pt>
                <c:pt idx="10">
                  <c:v>0</c:v>
                </c:pt>
                <c:pt idx="11">
                  <c:v>8.5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651.52</c:v>
                </c:pt>
                <c:pt idx="2">
                  <c:v>71.01</c:v>
                </c:pt>
                <c:pt idx="3">
                  <c:v>35.47</c:v>
                </c:pt>
                <c:pt idx="4">
                  <c:v>59.65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7.8</c:v>
                </c:pt>
                <c:pt idx="1">
                  <c:v>597.12</c:v>
                </c:pt>
                <c:pt idx="2">
                  <c:v>54.46</c:v>
                </c:pt>
                <c:pt idx="3">
                  <c:v>45.49</c:v>
                </c:pt>
                <c:pt idx="4">
                  <c:v>87.32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7.8</c:v>
                </c:pt>
                <c:pt idx="1">
                  <c:v>7.8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2050203</c:v>
                </c:pt>
                <c:pt idx="1">
                  <c:v>2050299</c:v>
                </c:pt>
                <c:pt idx="2">
                  <c:v>2050999</c:v>
                </c:pt>
                <c:pt idx="3">
                  <c:v>205x</c:v>
                </c:pt>
              </c:strCache>
            </c:strRef>
          </c:cat>
          <c:val>
            <c:numRef>
              <c:f>Sheet1!$B$2:$B$5</c:f>
              <c:numCache>
                <c:formatCode>General</c:formatCode>
                <c:ptCount val="4"/>
                <c:pt idx="0">
                  <c:v>582.11</c:v>
                </c:pt>
                <c:pt idx="1">
                  <c:v>12.95</c:v>
                </c:pt>
                <c:pt idx="2">
                  <c:v>2.07</c:v>
                </c:pt>
                <c:pt idx="3">
                  <c:v>597.12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54.46</c:v>
                </c:pt>
                <c:pt idx="1">
                  <c:v>54.46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45.49</c:v>
                </c:pt>
                <c:pt idx="1">
                  <c:v>45.49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87.32</c:v>
                </c:pt>
                <c:pt idx="1">
                  <c:v>87.32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249.6</c:v>
                </c:pt>
                <c:pt idx="1">
                  <c:v>34.4</c:v>
                </c:pt>
                <c:pt idx="2">
                  <c:v>93.34</c:v>
                </c:pt>
                <c:pt idx="3">
                  <c:v>0</c:v>
                </c:pt>
                <c:pt idx="4">
                  <c:v>90.1</c:v>
                </c:pt>
                <c:pt idx="5">
                  <c:v>54.46</c:v>
                </c:pt>
                <c:pt idx="6">
                  <c:v>0</c:v>
                </c:pt>
                <c:pt idx="7">
                  <c:v>24.19</c:v>
                </c:pt>
                <c:pt idx="8">
                  <c:v>0</c:v>
                </c:pt>
                <c:pt idx="9">
                  <c:v>3.06</c:v>
                </c:pt>
                <c:pt idx="10">
                  <c:v>45.49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0.39</c:v>
                </c:pt>
                <c:pt idx="1">
                  <c:v>0</c:v>
                </c:pt>
                <c:pt idx="2">
                  <c:v>0</c:v>
                </c:pt>
                <c:pt idx="3">
                  <c:v>0</c:v>
                </c:pt>
                <c:pt idx="4">
                  <c:v>2.96</c:v>
                </c:pt>
                <c:pt idx="5">
                  <c:v>5.91</c:v>
                </c:pt>
                <c:pt idx="6">
                  <c:v>4.51</c:v>
                </c:pt>
                <c:pt idx="7">
                  <c:v>0</c:v>
                </c:pt>
                <c:pt idx="8">
                  <c:v>0.48</c:v>
                </c:pt>
                <c:pt idx="9">
                  <c:v>3.16</c:v>
                </c:pt>
                <c:pt idx="10">
                  <c:v>0</c:v>
                </c:pt>
                <c:pt idx="11">
                  <c:v>0</c:v>
                </c:pt>
                <c:pt idx="12">
                  <c:v>0</c:v>
                </c:pt>
                <c:pt idx="13">
                  <c:v>0</c:v>
                </c:pt>
                <c:pt idx="14">
                  <c:v>0</c:v>
                </c:pt>
                <c:pt idx="15">
                  <c:v>0</c:v>
                </c:pt>
                <c:pt idx="16">
                  <c:v>0</c:v>
                </c:pt>
                <c:pt idx="17">
                  <c:v>0</c:v>
                </c:pt>
                <c:pt idx="18">
                  <c:v>0</c:v>
                </c:pt>
                <c:pt idx="19">
                  <c:v>0</c:v>
                </c:pt>
                <c:pt idx="20">
                  <c:v>0</c:v>
                </c:pt>
                <c:pt idx="21">
                  <c:v>7.8</c:v>
                </c:pt>
                <c:pt idx="22">
                  <c:v>0</c:v>
                </c:pt>
                <c:pt idx="23">
                  <c:v>0</c:v>
                </c:pt>
                <c:pt idx="24">
                  <c:v>0</c:v>
                </c:pt>
                <c:pt idx="25">
                  <c:v>0</c:v>
                </c:pt>
                <c:pt idx="26">
                  <c:v>7.88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dcterms:modified xsi:type="dcterms:W3CDTF">2023-11-29T01:22:20Z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A684145EC9DF4C329A5AD05F41FAFFCB_13</vt:lpwstr>
  </property>
</Properties>
</file>