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环江毛南族自治县大安乡中心幼儿园2022年度部门决算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both"/>
        <w:rPr>
          <w:rFonts w:ascii="仿宋" w:hAnsi="仿宋" w:eastAsia="仿宋" w:cs="仿宋"/>
          <w:sz w:val="32"/>
          <w:szCs w:val="32"/>
          <w:highlight w:val="none"/>
        </w:rPr>
      </w:pPr>
    </w:p>
    <w:p>
      <w:pPr>
        <w:jc w:val="center"/>
        <w:rPr>
          <w:rFonts w:hint="default"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单位负责人：蒙甲秀</w:t>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环江毛南族自治县大安乡中心幼儿园</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环江毛南族自治县大安乡中心幼儿园</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环江毛南族自治县大安乡中心幼儿园</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环江毛南族自治县大安乡中心幼儿园</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（一）贯彻执行党和国家的教育方针、政策和法律法规；拟订全园教育改革与发展规划并组织实施。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（二）编制本园教育事业发展规划并检查实施情况，向自治县人民政府和上级教育部门作出报告。</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（三）督促检查全园贯彻执行教育方针、政策、法令、法规和上级的各项规定；评估指导全园教育教学工作。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（四）负责推进幼儿教育均衡发展和促进教育公平。</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（五）负责全园人才队伍和教师队伍建设，包括园长岗位培训、后备干部队伍建设、教师学历教育、继续教育等。</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（六）负责组织全园做好学籍管理工作。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（七）按照中央关于全面推进素质教育要求，负责教育教学管理、教育教学改革及教育教学科学研究工作，检查指导全园实施素质教育工作，并组织推广先进的教育教学经验。</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（八）检查指导学校教育教学设备的装备、管理和使用工作。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（九）检查指导全园开展电化教育和信息化教学工作。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（十）负责全园教师初级专业技术职务资格的评审，中、高级专业技术职务资格的申报工作。按照管理权限对教师进行考核、聘任、奖惩、晋升等工作。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（十一）负责监督审计全园教育经费和教育基建经费拨付及教育附加费和教育费附加的征收、管理与使用工作。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（十二）负责指导全园学生资助管理工作。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（十三）负责语言文字和指导推广普通话工作。</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（十四）完成上级部门交办的其他工作。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p>
    <w:p>
      <w:pPr>
        <w:ind w:firstLine="640" w:firstLineChars="200"/>
        <w:jc w:val="left"/>
        <w:rPr>
          <w:rFonts w:hint="eastAsia" w:ascii="仿宋" w:hAnsi="仿宋" w:eastAsia="仿宋" w:cs="仿宋"/>
          <w:sz w:val="32"/>
          <w:szCs w:val="32"/>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环江毛南族自治县大安乡中心幼儿园</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1549"/>
        <w:gridCol w:w="3351"/>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4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35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6485"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3351"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648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745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160.87</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146.51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160.87</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160.87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15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160.87</w:t>
            </w:r>
          </w:p>
        </w:tc>
        <w:tc>
          <w:tcPr>
            <w:tcW w:w="33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160.87</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160.87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160.87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146.51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146.51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146.51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146.51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139.91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139.91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160.87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41.26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119.62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146.51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116.92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146.51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116.92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139.91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110.33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160.87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0.47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146.51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146.51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4.09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160.87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160.87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160.87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160.87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160.87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160.87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160.87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41.26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119.62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146.51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116.92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146.51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116.92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139.91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110.33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6.59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6.59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16.37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0.47</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环江毛南族自治县大安乡中心幼儿园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环江毛南族自治县大安乡中心幼儿园</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160.87</w:t>
      </w:r>
      <w:r>
        <w:rPr>
          <w:rFonts w:hint="eastAsia" w:ascii="仿宋" w:hAnsi="仿宋" w:eastAsia="仿宋" w:cs="仿宋"/>
          <w:sz w:val="32"/>
          <w:szCs w:val="32"/>
          <w:highlight w:val="none"/>
        </w:rPr>
        <w:t>万元，较2021年度决算数</w:t>
      </w:r>
      <w:r>
        <w:rPr>
          <w:rFonts w:ascii="仿宋" w:hAnsi="仿宋" w:eastAsia="仿宋" w:cs="仿宋"/>
          <w:sz w:val="32"/>
          <w:u w:color="auto"/>
        </w:rPr>
        <w:t>增加19.74</w:t>
      </w:r>
      <w:r>
        <w:rPr>
          <w:rFonts w:hint="eastAsia" w:ascii="仿宋" w:hAnsi="仿宋" w:eastAsia="仿宋" w:cs="仿宋"/>
          <w:sz w:val="32"/>
          <w:szCs w:val="32"/>
          <w:highlight w:val="none"/>
        </w:rPr>
        <w:t>万元，</w:t>
      </w:r>
      <w:r>
        <w:rPr>
          <w:rFonts w:ascii="仿宋" w:hAnsi="仿宋" w:eastAsia="仿宋" w:cs="仿宋"/>
          <w:sz w:val="32"/>
          <w:u w:color="auto"/>
        </w:rPr>
        <w:t>增长13.99%</w:t>
      </w:r>
      <w:r>
        <w:rPr>
          <w:rFonts w:hint="eastAsia" w:ascii="仿宋" w:hAnsi="仿宋" w:eastAsia="仿宋" w:cs="仿宋"/>
          <w:sz w:val="32"/>
          <w:szCs w:val="32"/>
          <w:highlight w:val="none"/>
        </w:rPr>
        <w:t>，其中本年收入</w:t>
      </w:r>
      <w:r>
        <w:rPr>
          <w:rFonts w:ascii="仿宋" w:hAnsi="仿宋" w:eastAsia="仿宋" w:cs="仿宋"/>
          <w:sz w:val="32"/>
          <w:u w:color="auto"/>
        </w:rPr>
        <w:t>160.87</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160.87</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增加32.08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增长24.91%</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人员变动工资福利增加。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val="en-US"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w:t>
      </w:r>
      <w:r>
        <w:rPr>
          <w:rFonts w:ascii="仿宋" w:hAnsi="仿宋" w:eastAsia="仿宋" w:cs="仿宋"/>
          <w:color w:val="auto"/>
          <w:sz w:val="32"/>
          <w:u w:color="auto"/>
        </w:rPr>
        <w:t>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ascii="仿宋" w:hAnsi="仿宋" w:eastAsia="仿宋" w:cs="仿宋"/>
          <w:color w:val="auto"/>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减少12.34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299085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160.87</w:t>
      </w:r>
      <w:r>
        <w:rPr>
          <w:rFonts w:hint="eastAsia" w:ascii="仿宋" w:hAnsi="仿宋" w:eastAsia="仿宋" w:cs="仿宋"/>
          <w:sz w:val="32"/>
          <w:szCs w:val="32"/>
          <w:highlight w:val="none"/>
        </w:rPr>
        <w:t>万元，其中本年支出</w:t>
      </w:r>
      <w:r>
        <w:rPr>
          <w:rFonts w:ascii="仿宋" w:hAnsi="仿宋" w:eastAsia="仿宋" w:cs="仿宋"/>
          <w:sz w:val="32"/>
          <w:u w:color="auto"/>
        </w:rPr>
        <w:t>160.87</w:t>
      </w:r>
      <w:r>
        <w:rPr>
          <w:rFonts w:hint="eastAsia" w:ascii="仿宋" w:hAnsi="仿宋" w:eastAsia="仿宋" w:cs="仿宋"/>
          <w:sz w:val="32"/>
          <w:szCs w:val="32"/>
          <w:highlight w:val="none"/>
        </w:rPr>
        <w:t>万元，较2021年度决算数</w:t>
      </w:r>
      <w:r>
        <w:rPr>
          <w:rFonts w:ascii="仿宋" w:hAnsi="仿宋" w:eastAsia="仿宋" w:cs="仿宋"/>
          <w:sz w:val="32"/>
          <w:u w:color="auto"/>
        </w:rPr>
        <w:t>增加19.74</w:t>
      </w:r>
      <w:r>
        <w:rPr>
          <w:rFonts w:hint="eastAsia" w:ascii="仿宋" w:hAnsi="仿宋" w:eastAsia="仿宋" w:cs="仿宋"/>
          <w:sz w:val="32"/>
          <w:szCs w:val="32"/>
          <w:highlight w:val="none"/>
        </w:rPr>
        <w:t>万元，</w:t>
      </w:r>
      <w:r>
        <w:rPr>
          <w:rFonts w:ascii="仿宋" w:hAnsi="仿宋" w:eastAsia="仿宋" w:cs="仿宋"/>
          <w:sz w:val="32"/>
          <w:u w:color="auto"/>
        </w:rPr>
        <w:t>增长13.99%</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0.47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auto"/>
          <w:sz w:val="32"/>
          <w:szCs w:val="32"/>
          <w:highlight w:val="none"/>
          <w:lang w:val="en-US" w:eastAsia="zh-CN"/>
        </w:rPr>
        <w:t>主要用于群众团体事务。</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增加0.47</w:t>
      </w:r>
      <w:r>
        <w:rPr>
          <w:rFonts w:hint="eastAsia" w:ascii="仿宋" w:hAnsi="仿宋" w:eastAsia="仿宋" w:cs="仿宋"/>
          <w:color w:val="auto"/>
          <w:sz w:val="32"/>
          <w:szCs w:val="32"/>
          <w:highlight w:val="none"/>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人员变动。</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146.51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主要用于人员基本工资，商品服务支出。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增加13.35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是2022年公招新进5人。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4.09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主要用于住房公积金缴费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增加0.59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增长16.86%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 xml:space="preserve">主要用于单位基本养老缴费。  </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2.80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主要用于住房公积金缴费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增加1.27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增长83.01%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2022年公招新进5人。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7.01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：人员工资福利。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增加4.07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增长138.44%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2022年公招新进5人。</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环江毛南族自治县大安乡中心幼儿园2022年度一般公共预算财政拨款支出</w:t>
      </w:r>
      <w:r>
        <w:rPr>
          <w:rFonts w:ascii="仿宋" w:hAnsi="仿宋" w:eastAsia="仿宋" w:cs="仿宋"/>
          <w:sz w:val="32"/>
          <w:u w:color="auto"/>
        </w:rPr>
        <w:t>160.87</w:t>
      </w:r>
      <w:r>
        <w:rPr>
          <w:rFonts w:hint="eastAsia" w:ascii="仿宋" w:hAnsi="仿宋" w:eastAsia="仿宋" w:cs="仿宋"/>
          <w:sz w:val="32"/>
          <w:szCs w:val="32"/>
          <w:highlight w:val="none"/>
        </w:rPr>
        <w:t>万元，较2021年度决算数</w:t>
      </w:r>
      <w:r>
        <w:rPr>
          <w:rFonts w:ascii="仿宋" w:hAnsi="仿宋" w:eastAsia="仿宋" w:cs="仿宋"/>
          <w:sz w:val="32"/>
          <w:u w:color="auto"/>
        </w:rPr>
        <w:t>增加19.74</w:t>
      </w:r>
      <w:r>
        <w:rPr>
          <w:rFonts w:hint="eastAsia" w:ascii="仿宋" w:hAnsi="仿宋" w:eastAsia="仿宋" w:cs="仿宋"/>
          <w:sz w:val="32"/>
          <w:szCs w:val="32"/>
          <w:highlight w:val="none"/>
        </w:rPr>
        <w:t>万元，</w:t>
      </w:r>
      <w:r>
        <w:rPr>
          <w:rFonts w:ascii="仿宋" w:hAnsi="仿宋" w:eastAsia="仿宋" w:cs="仿宋"/>
          <w:sz w:val="32"/>
          <w:u w:color="auto"/>
        </w:rPr>
        <w:t>增长13.99%</w:t>
      </w:r>
      <w:r>
        <w:rPr>
          <w:rFonts w:hint="eastAsia" w:ascii="仿宋" w:hAnsi="仿宋" w:eastAsia="仿宋" w:cs="仿宋"/>
          <w:sz w:val="32"/>
          <w:szCs w:val="32"/>
          <w:highlight w:val="none"/>
        </w:rPr>
        <w:t>。其中：基本支出</w:t>
      </w:r>
      <w:r>
        <w:rPr>
          <w:rFonts w:ascii="仿宋" w:hAnsi="仿宋" w:eastAsia="仿宋" w:cs="仿宋"/>
          <w:sz w:val="32"/>
          <w:u w:color="auto"/>
        </w:rPr>
        <w:t>41.26</w:t>
      </w:r>
      <w:r>
        <w:rPr>
          <w:rFonts w:hint="eastAsia" w:ascii="仿宋" w:hAnsi="仿宋" w:eastAsia="仿宋" w:cs="仿宋"/>
          <w:sz w:val="32"/>
          <w:szCs w:val="32"/>
          <w:highlight w:val="none"/>
        </w:rPr>
        <w:t>万元，项目支出</w:t>
      </w:r>
      <w:r>
        <w:rPr>
          <w:rFonts w:ascii="仿宋" w:hAnsi="仿宋" w:eastAsia="仿宋" w:cs="仿宋"/>
          <w:sz w:val="32"/>
          <w:u w:color="auto"/>
        </w:rPr>
        <w:t>119.62</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环江毛南族自治县大安乡中心幼儿园2022 年度一般公共预算财政拨款支出年初预算为</w:t>
      </w:r>
      <w:r>
        <w:rPr>
          <w:rFonts w:ascii="仿宋" w:hAnsi="仿宋" w:eastAsia="仿宋" w:cs="仿宋"/>
          <w:sz w:val="32"/>
          <w:u w:color="auto"/>
        </w:rPr>
        <w:t>120.68</w:t>
      </w:r>
      <w:r>
        <w:rPr>
          <w:rFonts w:hint="eastAsia" w:ascii="仿宋" w:hAnsi="仿宋" w:eastAsia="仿宋" w:cs="仿宋"/>
          <w:sz w:val="32"/>
          <w:szCs w:val="32"/>
          <w:highlight w:val="none"/>
        </w:rPr>
        <w:t>万元，支出决算为</w:t>
      </w:r>
      <w:r>
        <w:rPr>
          <w:rFonts w:ascii="仿宋" w:hAnsi="仿宋" w:eastAsia="仿宋" w:cs="仿宋"/>
          <w:sz w:val="32"/>
          <w:u w:color="auto"/>
        </w:rPr>
        <w:t>160.87</w:t>
      </w:r>
      <w:r>
        <w:rPr>
          <w:rFonts w:hint="eastAsia" w:ascii="仿宋" w:hAnsi="仿宋" w:eastAsia="仿宋" w:cs="仿宋"/>
          <w:sz w:val="32"/>
          <w:szCs w:val="32"/>
          <w:highlight w:val="none"/>
        </w:rPr>
        <w:t>万元，完成年初预算的</w:t>
      </w:r>
      <w:r>
        <w:rPr>
          <w:rFonts w:ascii="仿宋" w:hAnsi="仿宋" w:eastAsia="仿宋" w:cs="仿宋"/>
          <w:sz w:val="32"/>
          <w:u w:color="auto"/>
        </w:rPr>
        <w:t>133.30%</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0.47</w:t>
      </w:r>
      <w:r>
        <w:rPr>
          <w:rFonts w:hint="eastAsia" w:ascii="仿宋" w:hAnsi="仿宋" w:eastAsia="仿宋"/>
          <w:sz w:val="32"/>
          <w:szCs w:val="32"/>
          <w:highlight w:val="none"/>
        </w:rPr>
        <w:t>万元，支出决算为</w:t>
      </w:r>
      <w:r>
        <w:rPr>
          <w:rFonts w:ascii="仿宋" w:hAnsi="仿宋" w:eastAsia="仿宋"/>
          <w:sz w:val="32"/>
          <w:szCs w:val="32"/>
          <w:highlight w:val="none"/>
        </w:rPr>
        <w:t>0.47</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工会经费。</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工会经费支出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工会经费支出</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113.67</w:t>
      </w:r>
      <w:r>
        <w:rPr>
          <w:rFonts w:hint="eastAsia" w:ascii="仿宋" w:hAnsi="仿宋" w:eastAsia="仿宋"/>
          <w:sz w:val="32"/>
          <w:szCs w:val="32"/>
          <w:highlight w:val="none"/>
        </w:rPr>
        <w:t>万元，支出决算为</w:t>
      </w:r>
      <w:r>
        <w:rPr>
          <w:rFonts w:ascii="仿宋" w:hAnsi="仿宋" w:eastAsia="仿宋"/>
          <w:sz w:val="32"/>
          <w:szCs w:val="32"/>
          <w:highlight w:val="none"/>
        </w:rPr>
        <w:t>146.51</w:t>
      </w:r>
      <w:r>
        <w:rPr>
          <w:rFonts w:hint="eastAsia" w:ascii="仿宋" w:hAnsi="仿宋" w:eastAsia="仿宋"/>
          <w:sz w:val="32"/>
          <w:szCs w:val="32"/>
          <w:highlight w:val="none"/>
        </w:rPr>
        <w:t>万元，完成年初预算的</w:t>
      </w:r>
      <w:r>
        <w:rPr>
          <w:rFonts w:ascii="仿宋" w:hAnsi="仿宋" w:eastAsia="仿宋"/>
          <w:sz w:val="32"/>
          <w:szCs w:val="32"/>
          <w:highlight w:val="none"/>
        </w:rPr>
        <w:t>128.89%</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
        </w:rPr>
        <w:t>主要用于人员基本工资，商品服务支出。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113.67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139.91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123.08%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rPr>
              <w:t>人员基本工资，商品服务支出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6.59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rPr>
              <w:t>人员基本工资，商品服务支出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113.67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146.51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rPr>
              <w:t>人员基本工资，商品服务支出</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3.74</w:t>
      </w:r>
      <w:r>
        <w:rPr>
          <w:rFonts w:hint="eastAsia" w:ascii="仿宋" w:hAnsi="仿宋" w:eastAsia="仿宋"/>
          <w:sz w:val="32"/>
          <w:szCs w:val="32"/>
          <w:highlight w:val="none"/>
        </w:rPr>
        <w:t>万元，支出决算为</w:t>
      </w:r>
      <w:r>
        <w:rPr>
          <w:rFonts w:ascii="仿宋" w:hAnsi="仿宋" w:eastAsia="仿宋"/>
          <w:sz w:val="32"/>
          <w:szCs w:val="32"/>
          <w:highlight w:val="none"/>
        </w:rPr>
        <w:t>4.09</w:t>
      </w:r>
      <w:r>
        <w:rPr>
          <w:rFonts w:hint="eastAsia" w:ascii="仿宋" w:hAnsi="仿宋" w:eastAsia="仿宋"/>
          <w:sz w:val="32"/>
          <w:szCs w:val="32"/>
          <w:highlight w:val="none"/>
        </w:rPr>
        <w:t>万元，完成年初预算的</w:t>
      </w:r>
      <w:r>
        <w:rPr>
          <w:rFonts w:ascii="仿宋" w:hAnsi="仿宋" w:eastAsia="仿宋"/>
          <w:sz w:val="32"/>
          <w:szCs w:val="32"/>
          <w:highlight w:val="none"/>
        </w:rPr>
        <w:t>109.36%</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2022年公招新进5人，主要用于单位基本养老缴费。</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109.36%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按规定的比例计缴的养老保险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sz w:val="18"/>
                <w:szCs w:val="18"/>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sz w:val="18"/>
                <w:szCs w:val="18"/>
              </w:rPr>
              <w:t>按规定的比例计缴的养老保险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sz w:val="18"/>
                <w:szCs w:val="18"/>
              </w:rPr>
              <w:t>人员变动</w:t>
            </w:r>
            <w:r>
              <w:rPr>
                <w:rFonts w:hint="eastAsia"/>
                <w:sz w:val="18"/>
                <w:szCs w:val="18"/>
              </w:rPr>
              <w:tab/>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2.80</w:t>
      </w:r>
      <w:r>
        <w:rPr>
          <w:rFonts w:hint="eastAsia" w:ascii="仿宋" w:hAnsi="仿宋" w:eastAsia="仿宋"/>
          <w:sz w:val="32"/>
          <w:szCs w:val="32"/>
          <w:highlight w:val="none"/>
        </w:rPr>
        <w:t>万元，支出决算为</w:t>
      </w:r>
      <w:r>
        <w:rPr>
          <w:rFonts w:ascii="仿宋" w:hAnsi="仿宋" w:eastAsia="仿宋"/>
          <w:sz w:val="32"/>
          <w:szCs w:val="32"/>
          <w:highlight w:val="none"/>
        </w:rPr>
        <w:t>2.80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2022年公招新进5人，主要用于单位基本养老缴费。</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人员变动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330450"/>
            <wp:effectExtent l="4445" t="4445" r="16510" b="825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7.01</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2022年公招新进5人，主要用于人员工资福利。</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rPr>
              <w:t>用于人员工资福利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rPr>
              <w:tab/>
            </w:r>
            <w:r>
              <w:rPr>
                <w:rFonts w:hint="eastAsia"/>
              </w:rPr>
              <w:t>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rPr>
              <w:t>用于人员工资福利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rPr>
              <w:tab/>
            </w:r>
            <w:r>
              <w:rPr>
                <w:rFonts w:hint="eastAsia"/>
              </w:rPr>
              <w:t>人员变动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环江毛南族自治县大安乡中心幼儿园2022年度一般公共预算财政拨款基本支出</w:t>
      </w:r>
      <w:r>
        <w:rPr>
          <w:rFonts w:ascii="仿宋" w:hAnsi="仿宋" w:eastAsia="仿宋" w:cs="仿宋"/>
          <w:sz w:val="32"/>
          <w:u w:color="auto"/>
        </w:rPr>
        <w:t>41.26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40.79</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0.47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工资福利支出</w:t>
      </w:r>
      <w:r>
        <w:rPr>
          <w:rFonts w:ascii="仿宋" w:hAnsi="仿宋" w:eastAsia="仿宋" w:cs="仿宋"/>
          <w:sz w:val="32"/>
          <w:u w:color="auto"/>
        </w:rPr>
        <w:t>40.79万元，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135.02%</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：2022年公招新进5人。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16.37万元，30102津贴补贴2.78万元，30103奖金6.20万元，30107绩效工资6.42万元，30108机关事业单位基本养老保险缴费4.09万元，30110职工基本医疗保险缴费1.91万元，30112其他社会保障缴费0.22万元，30113住房公积金2.80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商品和服务支出</w:t>
      </w:r>
      <w:r>
        <w:rPr>
          <w:rFonts w:ascii="仿宋" w:hAnsi="仿宋" w:eastAsia="仿宋" w:cs="仿宋"/>
          <w:sz w:val="32"/>
          <w:u w:color="auto"/>
        </w:rPr>
        <w:t>0.47万元，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2022年公招新进5人。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30228工会经费0.47万元。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sz w:val="32"/>
          <w:szCs w:val="32"/>
          <w:highlight w:val="none"/>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1013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sz w:val="32"/>
          <w:szCs w:val="32"/>
          <w:highlight w:val="none"/>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35250"/>
            <wp:effectExtent l="4445" t="4445" r="16510" b="82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sz w:val="32"/>
          <w:szCs w:val="32"/>
          <w:highlight w:val="none"/>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727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环江毛南族自治县大安乡中心幼儿园2022年度政府性基金支出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环江毛南族自治县大安乡中心幼儿园2022年度政府性基金支出年初预算为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环江毛南族自治县大安乡中心幼儿园</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环江毛南族自治县大安乡中心幼儿园2022年度国有资本经营预算支出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环江毛南族自治县大安乡中心幼儿园2022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环江毛南族自治县大安乡中心幼儿园</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本部门2022年度没有“三公”经费资金收入，也没有“三公”经费资金安排的支出。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w:t>
      </w:r>
      <w:r>
        <w:rPr>
          <w:rFonts w:hint="eastAsia" w:ascii="仿宋" w:hAnsi="仿宋" w:eastAsia="仿宋" w:cs="仿宋"/>
          <w:sz w:val="32"/>
          <w:szCs w:val="32"/>
          <w:highlight w:val="none"/>
        </w:rPr>
        <w:t>因公出国（境）费支出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w:t>
      </w:r>
      <w:r>
        <w:rPr>
          <w:rFonts w:hint="eastAsia" w:ascii="仿宋" w:hAnsi="仿宋" w:eastAsia="仿宋" w:cs="仿宋"/>
          <w:sz w:val="32"/>
          <w:szCs w:val="32"/>
          <w:highlight w:val="none"/>
        </w:rPr>
        <w:t>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w:t>
      </w:r>
      <w:r>
        <w:rPr>
          <w:rFonts w:hint="eastAsia" w:ascii="仿宋" w:hAnsi="仿宋" w:eastAsia="仿宋" w:cs="仿宋"/>
          <w:color w:val="auto"/>
          <w:sz w:val="32"/>
          <w:szCs w:val="32"/>
          <w:highlight w:val="none"/>
        </w:rPr>
        <w:t>元。</w:t>
      </w:r>
      <w:bookmarkStart w:id="5" w:name="PO_part3A6B2IncReason1"/>
      <w:r>
        <w:rPr>
          <w:rFonts w:hint="eastAsia" w:ascii="仿宋" w:hAnsi="仿宋" w:eastAsia="仿宋" w:cs="仿宋"/>
          <w:color w:val="auto"/>
          <w:sz w:val="32"/>
          <w:szCs w:val="32"/>
        </w:rPr>
        <w:t>无公务用车购置</w:t>
      </w:r>
      <w:bookmarkEnd w:id="5"/>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无</w:t>
      </w:r>
      <w:r>
        <w:rPr>
          <w:rFonts w:hint="eastAsia" w:ascii="仿宋" w:hAnsi="仿宋" w:eastAsia="仿宋" w:cs="仿宋"/>
          <w:sz w:val="32"/>
          <w:szCs w:val="32"/>
          <w:highlight w:val="none"/>
        </w:rPr>
        <w:t>公务用车运行维</w:t>
      </w:r>
      <w:r>
        <w:rPr>
          <w:rFonts w:hint="eastAsia" w:ascii="仿宋" w:hAnsi="仿宋" w:eastAsia="仿宋" w:cs="仿宋"/>
          <w:color w:val="auto"/>
          <w:sz w:val="32"/>
          <w:szCs w:val="32"/>
          <w:highlight w:val="none"/>
        </w:rPr>
        <w:t>护支出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val="en-US" w:eastAsia="zh-CN"/>
        </w:rPr>
        <w:t>本</w:t>
      </w:r>
      <w:r>
        <w:rPr>
          <w:rFonts w:hint="eastAsia" w:ascii="仿宋" w:hAnsi="仿宋" w:eastAsia="仿宋" w:cs="仿宋"/>
          <w:color w:val="auto"/>
          <w:sz w:val="32"/>
          <w:szCs w:val="32"/>
          <w:highlight w:val="none"/>
        </w:rPr>
        <w:t>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numPr>
          <w:ilvl w:val="0"/>
          <w:numId w:val="3"/>
        </w:numPr>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kern w:val="2"/>
          <w:sz w:val="32"/>
          <w:szCs w:val="32"/>
          <w:highlight w:val="none"/>
          <w:lang w:val="en-US" w:eastAsia="zh-CN" w:bidi="ar"/>
        </w:rPr>
        <w:t>主要原因是：无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本部门无机关运行经费支出。</w:t>
      </w:r>
    </w:p>
    <w:p>
      <w:pPr>
        <w:numPr>
          <w:ilvl w:val="0"/>
          <w:numId w:val="4"/>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政府采购支出情况说明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本部门已于 2023年4月份完成 2022年部门项目支出绩效自评工作，整体综合评价结果良好。</w:t>
      </w:r>
    </w:p>
    <w:p>
      <w:pPr>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部门决算中项目绩效自评良好，达到预期绩效目标。</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bookmarkStart w:id="6" w:name="_GoBack"/>
      <w:bookmarkEnd w:id="6"/>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right"/>
        <w:rPr>
          <w:rFonts w:hint="eastAsia"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63A95"/>
    <w:multiLevelType w:val="singleLevel"/>
    <w:tmpl w:val="90763A95"/>
    <w:lvl w:ilvl="0" w:tentative="0">
      <w:start w:val="2"/>
      <w:numFmt w:val="chineseCounting"/>
      <w:suff w:val="nothing"/>
      <w:lvlText w:val="（%1）"/>
      <w:lvlJc w:val="left"/>
      <w:rPr>
        <w:rFonts w:hint="eastAsia"/>
      </w:rPr>
    </w:lvl>
  </w:abstractNum>
  <w:abstractNum w:abstractNumId="1">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2">
    <w:nsid w:val="C9DFEF34"/>
    <w:multiLevelType w:val="singleLevel"/>
    <w:tmpl w:val="C9DFEF34"/>
    <w:lvl w:ilvl="0" w:tentative="0">
      <w:start w:val="3"/>
      <w:numFmt w:val="chineseCounting"/>
      <w:suff w:val="nothing"/>
      <w:lvlText w:val="（%1）"/>
      <w:lvlJc w:val="left"/>
      <w:rPr>
        <w:rFonts w:hint="eastAsia"/>
      </w:rPr>
    </w:lvl>
  </w:abstractNum>
  <w:abstractNum w:abstractNumId="3">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mQ2YmNkY2RiNjUyNWZiZGVkZjI3NTk0Mjc4Mj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D251C76"/>
    <w:rsid w:val="0E8E3161"/>
    <w:rsid w:val="0F8D4C87"/>
    <w:rsid w:val="10505FAA"/>
    <w:rsid w:val="105F7E7E"/>
    <w:rsid w:val="11DF2C63"/>
    <w:rsid w:val="11E56B5B"/>
    <w:rsid w:val="125C77AB"/>
    <w:rsid w:val="14CB726E"/>
    <w:rsid w:val="17E92249"/>
    <w:rsid w:val="18D304F1"/>
    <w:rsid w:val="19F32577"/>
    <w:rsid w:val="19F45B80"/>
    <w:rsid w:val="1B0C078D"/>
    <w:rsid w:val="1B2B31E2"/>
    <w:rsid w:val="1B4C295A"/>
    <w:rsid w:val="1B973C63"/>
    <w:rsid w:val="1BA1001E"/>
    <w:rsid w:val="1D317259"/>
    <w:rsid w:val="1E664F5B"/>
    <w:rsid w:val="1E90177B"/>
    <w:rsid w:val="1EB34BE1"/>
    <w:rsid w:val="215E639F"/>
    <w:rsid w:val="21EC3183"/>
    <w:rsid w:val="225E72CD"/>
    <w:rsid w:val="246E2F77"/>
    <w:rsid w:val="254B4E2B"/>
    <w:rsid w:val="283D7C94"/>
    <w:rsid w:val="29480E03"/>
    <w:rsid w:val="2983634D"/>
    <w:rsid w:val="2BB02055"/>
    <w:rsid w:val="2C575A56"/>
    <w:rsid w:val="2CC537BA"/>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C07002B"/>
    <w:rsid w:val="3D0D152A"/>
    <w:rsid w:val="3DF62756"/>
    <w:rsid w:val="3F1B7587"/>
    <w:rsid w:val="41E57B4F"/>
    <w:rsid w:val="42822499"/>
    <w:rsid w:val="432F26F6"/>
    <w:rsid w:val="43880F63"/>
    <w:rsid w:val="441C5A6F"/>
    <w:rsid w:val="44C44FCC"/>
    <w:rsid w:val="44CC7369"/>
    <w:rsid w:val="457F5108"/>
    <w:rsid w:val="46951B6B"/>
    <w:rsid w:val="49A34401"/>
    <w:rsid w:val="4A3E30AB"/>
    <w:rsid w:val="4AC14DAC"/>
    <w:rsid w:val="4D154C85"/>
    <w:rsid w:val="4EB35ECE"/>
    <w:rsid w:val="508F4E24"/>
    <w:rsid w:val="50A9726C"/>
    <w:rsid w:val="51461E90"/>
    <w:rsid w:val="51463753"/>
    <w:rsid w:val="52553A93"/>
    <w:rsid w:val="53521F8B"/>
    <w:rsid w:val="53E22F47"/>
    <w:rsid w:val="54522FF8"/>
    <w:rsid w:val="55450629"/>
    <w:rsid w:val="56692963"/>
    <w:rsid w:val="568B0F48"/>
    <w:rsid w:val="5786217B"/>
    <w:rsid w:val="59337A15"/>
    <w:rsid w:val="59810274"/>
    <w:rsid w:val="5CA96A00"/>
    <w:rsid w:val="5CF730BC"/>
    <w:rsid w:val="5DC16718"/>
    <w:rsid w:val="5E5F0DCE"/>
    <w:rsid w:val="5EA032F5"/>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0806D3"/>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E516920"/>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160.87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133.16</c:v>
                </c:pt>
                <c:pt idx="2">
                  <c:v>3.5</c:v>
                </c:pt>
                <c:pt idx="3">
                  <c:v>1.53</c:v>
                </c:pt>
                <c:pt idx="4">
                  <c:v>2.94</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0.47</c:v>
                </c:pt>
                <c:pt idx="1">
                  <c:v>146.51</c:v>
                </c:pt>
                <c:pt idx="2">
                  <c:v>4.09</c:v>
                </c:pt>
                <c:pt idx="3">
                  <c:v>2.8</c:v>
                </c:pt>
                <c:pt idx="4">
                  <c:v>7.01</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0.47</c:v>
                </c:pt>
                <c:pt idx="1">
                  <c:v>0.47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2050201</c:v>
                </c:pt>
                <c:pt idx="1">
                  <c:v>2050299</c:v>
                </c:pt>
                <c:pt idx="2">
                  <c:v>205x</c:v>
                </c:pt>
              </c:strCache>
            </c:strRef>
          </c:cat>
          <c:val>
            <c:numRef>
              <c:f>Sheet1!$B$2:$B$4</c:f>
              <c:numCache>
                <c:formatCode>General</c:formatCode>
                <c:ptCount val="3"/>
                <c:pt idx="0">
                  <c:v>139.91</c:v>
                </c:pt>
                <c:pt idx="1">
                  <c:v>6.59</c:v>
                </c:pt>
                <c:pt idx="2">
                  <c:v>146.51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4.09</c:v>
                </c:pt>
                <c:pt idx="1">
                  <c:v>4.09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2.8</c:v>
                </c:pt>
                <c:pt idx="1">
                  <c:v>2.8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7.01</c:v>
                </c:pt>
                <c:pt idx="1">
                  <c:v>7.01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16.37</c:v>
                </c:pt>
                <c:pt idx="1">
                  <c:v>2.78</c:v>
                </c:pt>
                <c:pt idx="2">
                  <c:v>6.2</c:v>
                </c:pt>
                <c:pt idx="3">
                  <c:v>0</c:v>
                </c:pt>
                <c:pt idx="4">
                  <c:v>6.42</c:v>
                </c:pt>
                <c:pt idx="5">
                  <c:v>4.09</c:v>
                </c:pt>
                <c:pt idx="6">
                  <c:v>0</c:v>
                </c:pt>
                <c:pt idx="7">
                  <c:v>1.91</c:v>
                </c:pt>
                <c:pt idx="8">
                  <c:v>0</c:v>
                </c:pt>
                <c:pt idx="9">
                  <c:v>0.22</c:v>
                </c:pt>
                <c:pt idx="10">
                  <c:v>2.8</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0.47</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40</Pages>
  <Words>9310</Words>
  <Characters>12823</Characters>
  <Lines>90</Lines>
  <Paragraphs>25</Paragraphs>
  <TotalTime>1</TotalTime>
  <ScaleCrop>false</ScaleCrop>
  <LinksUpToDate>false</LinksUpToDate>
  <CharactersWithSpaces>13070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2023-11-20T07:38:00Z</cp:lastPrinted>
  <dcterms:modified xsi:type="dcterms:W3CDTF">2023-11-29T01:31:41Z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4DD3CD6170144E579E25290C73AB4579_13</vt:lpwstr>
  </property>
</Properties>
</file>