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环江毛南族自治县明伦镇中心小学2022年度部门决算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环江毛南族自治县明伦镇中心小学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环江毛南族自治县明伦镇中心小学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环江毛南族自治县明伦镇中心小学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环江毛南族自治县明伦镇中心小学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（一）贯彻执行党和国家的教育方针、政策和法律法规；拟订</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（二）编制本</w:t>
      </w:r>
      <w:r>
        <w:rPr>
          <w:rFonts w:hint="eastAsia" w:ascii="仿宋_GB2312" w:eastAsia="仿宋_GB2312" w:cs="仿宋_GB2312"/>
          <w:kern w:val="0"/>
          <w:sz w:val="32"/>
          <w:szCs w:val="32"/>
          <w:lang w:val="en-US" w:eastAsia="zh-CN"/>
        </w:rPr>
        <w:t>校</w:t>
      </w:r>
      <w:r>
        <w:rPr>
          <w:rFonts w:hint="eastAsia" w:ascii="仿宋_GB2312" w:eastAsia="仿宋_GB2312" w:cs="仿宋_GB2312"/>
          <w:kern w:val="0"/>
          <w:sz w:val="32"/>
          <w:szCs w:val="32"/>
        </w:rPr>
        <w:t>教育事业发展规划并检查实施情况，向自治县人民政府和上级教育部门作出报告。</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（三）督促检查</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贯彻执行教育方针、政策、法令、法规和上级的各项规定；评估指导</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教育教学工作。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（四）负责推进义务教育均衡发展和促进教育公平，负责义务教育的宏观指导与协</w:t>
      </w:r>
      <w:r>
        <w:rPr>
          <w:rFonts w:hint="eastAsia" w:ascii="仿宋_GB2312" w:eastAsia="仿宋_GB2312" w:cs="仿宋_GB2312"/>
          <w:kern w:val="0"/>
          <w:sz w:val="32"/>
          <w:szCs w:val="32"/>
          <w:lang w:val="en-US" w:eastAsia="zh-CN"/>
        </w:rPr>
        <w:t>调。</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（五）负责</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教育系统人才队伍和教师队伍建设，包括</w:t>
      </w:r>
      <w:r>
        <w:rPr>
          <w:rFonts w:hint="eastAsia" w:ascii="仿宋_GB2312" w:eastAsia="仿宋_GB2312" w:cs="仿宋_GB2312"/>
          <w:kern w:val="0"/>
          <w:sz w:val="32"/>
          <w:szCs w:val="32"/>
          <w:lang w:eastAsia="zh-CN"/>
        </w:rPr>
        <w:t>教师</w:t>
      </w:r>
      <w:r>
        <w:rPr>
          <w:rFonts w:hint="eastAsia" w:ascii="仿宋_GB2312" w:eastAsia="仿宋_GB2312" w:cs="仿宋_GB2312"/>
          <w:kern w:val="0"/>
          <w:sz w:val="32"/>
          <w:szCs w:val="32"/>
        </w:rPr>
        <w:t>岗位培训、后备干部队伍建设、教师学历教育、继续教育等。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（六）负责组织</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做好</w:t>
      </w:r>
      <w:r>
        <w:rPr>
          <w:rFonts w:hint="eastAsia" w:ascii="仿宋_GB2312" w:eastAsia="仿宋_GB2312" w:cs="仿宋_GB2312"/>
          <w:kern w:val="0"/>
          <w:sz w:val="32"/>
          <w:szCs w:val="32"/>
          <w:lang w:val="en-US" w:eastAsia="zh-CN"/>
        </w:rPr>
        <w:t>小学期中、期末测试、小学毕业班测试等</w:t>
      </w:r>
      <w:r>
        <w:rPr>
          <w:rFonts w:hint="eastAsia" w:ascii="仿宋_GB2312" w:eastAsia="仿宋_GB2312" w:cs="仿宋_GB2312"/>
          <w:kern w:val="0"/>
          <w:sz w:val="32"/>
          <w:szCs w:val="32"/>
        </w:rPr>
        <w:t>考务工作、招生录取工作和</w:t>
      </w:r>
      <w:r>
        <w:rPr>
          <w:rFonts w:hint="eastAsia" w:ascii="仿宋_GB2312" w:eastAsia="仿宋_GB2312" w:cs="仿宋_GB2312"/>
          <w:kern w:val="0"/>
          <w:sz w:val="32"/>
          <w:szCs w:val="32"/>
          <w:lang w:eastAsia="zh-CN"/>
        </w:rPr>
        <w:t>小学</w:t>
      </w:r>
      <w:r>
        <w:rPr>
          <w:rFonts w:hint="eastAsia" w:ascii="仿宋_GB2312" w:eastAsia="仿宋_GB2312" w:cs="仿宋_GB2312"/>
          <w:kern w:val="0"/>
          <w:sz w:val="32"/>
          <w:szCs w:val="32"/>
        </w:rPr>
        <w:t>学籍管理工作。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（七）按照中央关于全面推进素质教育要求，负责教育教学管理、教育教学改革及教育教学科学研究工作，检查指导</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（八）检查指导学校教育教学设备的装备、管理和使用工作。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（九）检查指导</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开展电化教育和信息化教学工作。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（十）负责</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教师初级专业技术职务资格的评审，中、高级专业技术职务资格的申报工作。按照管理权限对教师进行考核、聘任、奖惩、晋升等工作。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（十一）负责监督审计</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教育经费和教育基建经费拨付及教育附加费和教育费附加的征收、管理与使用工作。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（十二）负责</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中小学校教学教育常规管理评估工作，指导学校德育、体育、卫生、艺术、安全工作以及团组织和少先队工作。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（十三）指导</w:t>
      </w:r>
      <w:r>
        <w:rPr>
          <w:rFonts w:hint="eastAsia" w:ascii="仿宋_GB2312" w:eastAsia="仿宋_GB2312" w:cs="仿宋_GB2312"/>
          <w:kern w:val="0"/>
          <w:sz w:val="32"/>
          <w:szCs w:val="32"/>
          <w:lang w:eastAsia="zh-CN"/>
        </w:rPr>
        <w:t>本校</w:t>
      </w:r>
      <w:r>
        <w:rPr>
          <w:rFonts w:hint="eastAsia" w:ascii="仿宋_GB2312" w:eastAsia="仿宋_GB2312" w:cs="仿宋_GB2312"/>
          <w:kern w:val="0"/>
          <w:sz w:val="32"/>
          <w:szCs w:val="32"/>
        </w:rPr>
        <w:t>的教育督导工作，组织和指导对中等及中等以下教育，扫除青壮年文盲工作的督导检查和评估工作，指导基础教育发展水平、质量的监测工作。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（十四）负责指导全</w:t>
      </w:r>
      <w:r>
        <w:rPr>
          <w:rFonts w:hint="eastAsia" w:ascii="仿宋_GB2312" w:eastAsia="仿宋_GB2312" w:cs="仿宋_GB2312"/>
          <w:kern w:val="0"/>
          <w:sz w:val="32"/>
          <w:szCs w:val="32"/>
          <w:lang w:eastAsia="zh-CN"/>
        </w:rPr>
        <w:t>校</w:t>
      </w:r>
      <w:r>
        <w:rPr>
          <w:rFonts w:hint="eastAsia" w:ascii="仿宋_GB2312" w:eastAsia="仿宋_GB2312" w:cs="仿宋_GB2312"/>
          <w:kern w:val="0"/>
          <w:sz w:val="32"/>
          <w:szCs w:val="32"/>
        </w:rPr>
        <w:t>学生资助管理工作。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w:t>
      </w:r>
      <w:r>
        <w:rPr>
          <w:rFonts w:hint="eastAsia" w:ascii="仿宋_GB2312" w:eastAsia="仿宋_GB2312" w:cs="仿宋_GB2312"/>
          <w:kern w:val="0"/>
          <w:sz w:val="32"/>
          <w:szCs w:val="32"/>
          <w:lang w:eastAsia="zh-CN"/>
        </w:rPr>
        <w:t>五</w:t>
      </w:r>
      <w:r>
        <w:rPr>
          <w:rFonts w:hint="eastAsia" w:ascii="仿宋_GB2312" w:eastAsia="仿宋_GB2312" w:cs="仿宋_GB2312"/>
          <w:kern w:val="0"/>
          <w:sz w:val="32"/>
          <w:szCs w:val="32"/>
        </w:rPr>
        <w:t>）负责语言文字和指导推广普通话工作。</w:t>
      </w:r>
    </w:p>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w:t>
      </w:r>
      <w:r>
        <w:rPr>
          <w:rFonts w:hint="eastAsia" w:ascii="仿宋_GB2312" w:eastAsia="仿宋_GB2312" w:cs="仿宋_GB2312"/>
          <w:kern w:val="0"/>
          <w:sz w:val="32"/>
          <w:szCs w:val="32"/>
          <w:lang w:eastAsia="zh-CN"/>
        </w:rPr>
        <w:t>六</w:t>
      </w:r>
      <w:r>
        <w:rPr>
          <w:rFonts w:hint="eastAsia" w:ascii="仿宋_GB2312" w:eastAsia="仿宋_GB2312" w:cs="仿宋_GB2312"/>
          <w:kern w:val="0"/>
          <w:sz w:val="32"/>
          <w:szCs w:val="32"/>
        </w:rPr>
        <w:t>）完成自治县人民政府交办的其他工作。</w:t>
      </w:r>
    </w:p>
    <w:p>
      <w:pPr>
        <w:keepNext w:val="0"/>
        <w:keepLines w:val="0"/>
        <w:pageBreakBefore w:val="0"/>
        <w:kinsoku/>
        <w:wordWrap/>
        <w:overflowPunct/>
        <w:topLinePunct w:val="0"/>
        <w:bidi w:val="0"/>
        <w:snapToGrid/>
        <w:spacing w:line="240" w:lineRule="auto"/>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（十</w:t>
      </w: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）承办自治区人民政府交办的其他事项。 </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黑体" w:hAnsi="黑体" w:eastAsia="黑体" w:cs="黑体"/>
          <w:sz w:val="32"/>
          <w:szCs w:val="3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eastAsia="仿宋_GB2312" w:cs="仿宋_GB2312"/>
          <w:kern w:val="0"/>
          <w:sz w:val="32"/>
          <w:szCs w:val="32"/>
          <w:lang w:val="en-US" w:eastAsia="zh-CN"/>
        </w:rPr>
        <w:t>环江毛南族自治县明伦镇</w:t>
      </w:r>
      <w:r>
        <w:rPr>
          <w:rFonts w:hint="eastAsia" w:ascii="仿宋_GB2312" w:eastAsia="仿宋_GB2312" w:cs="仿宋_GB2312"/>
          <w:color w:val="auto"/>
          <w:kern w:val="0"/>
          <w:sz w:val="32"/>
          <w:szCs w:val="32"/>
          <w:lang w:val="en-US" w:eastAsia="zh-CN"/>
        </w:rPr>
        <w:t>中心小学为乡镇小学学无内设其他机构，我部门没有下属单位，</w:t>
      </w:r>
      <w:r>
        <w:rPr>
          <w:rFonts w:hint="eastAsia" w:ascii="仿宋" w:hAnsi="仿宋" w:eastAsia="仿宋" w:cs="仿宋"/>
          <w:color w:val="auto"/>
          <w:sz w:val="32"/>
          <w:szCs w:val="32"/>
        </w:rPr>
        <w:t>按照部门决算编报要求，单独编制本部门决算</w:t>
      </w:r>
      <w:r>
        <w:rPr>
          <w:rFonts w:hint="eastAsia" w:ascii="仿宋_GB2312" w:eastAsia="仿宋_GB2312" w:cs="仿宋_GB2312"/>
          <w:color w:val="auto"/>
          <w:kern w:val="0"/>
          <w:sz w:val="32"/>
          <w:szCs w:val="32"/>
          <w:lang w:val="en-US" w:eastAsia="zh-CN"/>
        </w:rPr>
        <w:t>。2022年我单位共有事业编制96人，教师控制数13人，聘用特岗教师7人，机关后勤控制数1名。</w:t>
      </w:r>
    </w:p>
    <w:p>
      <w:pPr>
        <w:ind w:firstLine="1920" w:firstLineChars="6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环江毛南族自治县明伦镇中心小学</w:t>
      </w:r>
      <w:r>
        <w:rPr>
          <w:rFonts w:hint="eastAsia" w:ascii="黑体" w:hAnsi="黑体" w:eastAsia="黑体" w:cs="黑体"/>
          <w:sz w:val="32"/>
          <w:szCs w:val="32"/>
          <w:highlight w:val="none"/>
        </w:rPr>
        <w:t xml:space="preserve"> 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2249.08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1667.81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158.12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119.44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285.77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2253.14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2253.14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2253.14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2253.14</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2253.14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2253.14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1667.81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1667.81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1667.27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1667.27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1593.66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1593.66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285.77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285.77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281.71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281.71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281.71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281.71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2253.14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2169.53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83.61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1667.81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1588.26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79.55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1667.27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1588.26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79.01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1593.66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1530.83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62.83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57.43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0.54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158.12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158.12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158.12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119.44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119.44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119.44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285.77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281.71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281.71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281.71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281.71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281.71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2249.08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1667.81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1667.81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158.12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158.12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119.44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119.44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285.77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281.71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4.06</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2253.14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2253.14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2249.08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4.06</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2253.14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2253.14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2249.08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4.06</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2249.08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2169.53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79.55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1667.81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1588.26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79.55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1667.27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1588.26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79.01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1593.66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1530.83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62.83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281.71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281.71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281.71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281.71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281.71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281.71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1732.40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67.77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651.66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19.39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111.97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330.66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7.23</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263.74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4.87</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158.12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0.86</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77.91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119.44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10.01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362.13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51.20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110.24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5.37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175.95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24.72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2094.52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75.00</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4.06</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4.06</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其他支出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4.06</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4.06</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彩票公益金安排的支出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4.06</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4.06</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2296004</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用于教育事业的彩票公益金支出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4.06</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4.06</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jc w:val="left"/>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FF0000"/>
          <w:kern w:val="2"/>
          <w:sz w:val="21"/>
          <w:szCs w:val="21"/>
          <w:lang w:val="en-US" w:eastAsia="zh-CN"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FF0000"/>
          <w:kern w:val="2"/>
          <w:sz w:val="21"/>
          <w:szCs w:val="21"/>
          <w:lang w:val="en-US" w:eastAsia="zh-CN" w:bidi="ar"/>
        </w:rPr>
      </w:pP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环江毛南族自治县明伦镇中心小学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 xml:space="preserve">年度没有财政拨款“三公”经费收入，也没有财政拨款“三公”经费安排的支出，故本表无数据。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环江毛南族自治县明伦镇中心小学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2253.14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减少718.18</w:t>
      </w:r>
      <w:r>
        <w:rPr>
          <w:rFonts w:hint="eastAsia" w:ascii="仿宋" w:hAnsi="仿宋" w:eastAsia="仿宋" w:cs="仿宋"/>
          <w:sz w:val="32"/>
          <w:szCs w:val="32"/>
          <w:highlight w:val="none"/>
        </w:rPr>
        <w:t>万元，</w:t>
      </w:r>
      <w:r>
        <w:rPr>
          <w:rFonts w:ascii="仿宋" w:hAnsi="仿宋" w:eastAsia="仿宋" w:cs="仿宋"/>
          <w:sz w:val="32"/>
          <w:u w:color="auto"/>
        </w:rPr>
        <w:t>下降24.17%</w:t>
      </w:r>
      <w:r>
        <w:rPr>
          <w:rFonts w:hint="eastAsia" w:ascii="仿宋" w:hAnsi="仿宋" w:eastAsia="仿宋" w:cs="仿宋"/>
          <w:sz w:val="32"/>
          <w:szCs w:val="32"/>
          <w:highlight w:val="none"/>
        </w:rPr>
        <w:t>，其中本年收入</w:t>
      </w:r>
      <w:r>
        <w:rPr>
          <w:rFonts w:ascii="仿宋" w:hAnsi="仿宋" w:eastAsia="仿宋" w:cs="仿宋"/>
          <w:sz w:val="32"/>
          <w:u w:color="auto"/>
        </w:rPr>
        <w:t>225</w:t>
      </w:r>
      <w:r>
        <w:rPr>
          <w:rFonts w:ascii="仿宋" w:hAnsi="仿宋" w:eastAsia="仿宋" w:cs="仿宋"/>
          <w:color w:val="auto"/>
          <w:sz w:val="32"/>
          <w:u w:color="auto"/>
        </w:rPr>
        <w:t>3.14</w:t>
      </w:r>
      <w:r>
        <w:rPr>
          <w:rFonts w:hint="eastAsia" w:ascii="仿宋" w:hAnsi="仿宋" w:eastAsia="仿宋" w:cs="仿宋"/>
          <w:color w:val="auto"/>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1.一般公共预算财政拨款收入</w:t>
      </w:r>
      <w:r>
        <w:rPr>
          <w:rFonts w:ascii="仿宋" w:hAnsi="仿宋" w:eastAsia="仿宋" w:cs="仿宋"/>
          <w:color w:val="auto"/>
          <w:sz w:val="32"/>
          <w:u w:color="auto"/>
        </w:rPr>
        <w:t>2249.08</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减少201.75</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下降8.23%</w:t>
      </w:r>
      <w:r>
        <w:rPr>
          <w:rFonts w:hint="eastAsia" w:ascii="仿宋" w:hAnsi="仿宋" w:eastAsia="仿宋" w:cs="仿宋"/>
          <w:color w:val="auto"/>
          <w:kern w:val="2"/>
          <w:sz w:val="32"/>
          <w:szCs w:val="32"/>
          <w:highlight w:val="none"/>
          <w:lang w:val="en-US" w:eastAsia="zh-CN" w:bidi="ar"/>
        </w:rPr>
        <w:t>，主要原因：单位人员因退休、调动发生减少。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4.06</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增加4.06</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增长100%</w:t>
      </w:r>
      <w:r>
        <w:rPr>
          <w:rFonts w:hint="eastAsia" w:ascii="仿宋" w:hAnsi="仿宋" w:eastAsia="仿宋" w:cs="仿宋"/>
          <w:color w:val="auto"/>
          <w:kern w:val="2"/>
          <w:sz w:val="32"/>
          <w:szCs w:val="32"/>
          <w:highlight w:val="none"/>
          <w:lang w:val="en-US" w:eastAsia="zh-CN" w:bidi="ar"/>
        </w:rPr>
        <w:t>，主要原因：广西壮族自治区财政厅下达中央专项彩票公益金支持乡村学校少年宫项目资金4.06万元，支持本单位开展少年宫活动，促进学生全面发展。</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_GB2312" w:cs="Times New Roman"/>
          <w:color w:val="auto"/>
          <w:kern w:val="0"/>
          <w:sz w:val="32"/>
          <w:szCs w:val="32"/>
          <w:lang w:val="en-US" w:eastAsia="zh-CN"/>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w:t>
      </w:r>
      <w:r>
        <w:rPr>
          <w:rFonts w:hint="eastAsia" w:ascii="Times New Roman" w:hAnsi="Times New Roman" w:eastAsia="仿宋_GB2312" w:cs="Times New Roman"/>
          <w:color w:val="auto"/>
          <w:kern w:val="0"/>
          <w:sz w:val="32"/>
          <w:szCs w:val="32"/>
          <w:lang w:val="en-US" w:eastAsia="zh-CN"/>
        </w:rPr>
        <w:t>2022年无</w:t>
      </w:r>
      <w:r>
        <w:rPr>
          <w:rFonts w:hint="eastAsia" w:ascii="仿宋" w:hAnsi="仿宋" w:eastAsia="仿宋" w:cs="仿宋"/>
          <w:color w:val="auto"/>
          <w:kern w:val="2"/>
          <w:sz w:val="32"/>
          <w:szCs w:val="32"/>
          <w:highlight w:val="none"/>
          <w:lang w:val="en-US" w:eastAsia="zh-CN" w:bidi="ar"/>
        </w:rPr>
        <w:t>国有资本经营预算财政拨款</w:t>
      </w:r>
      <w:r>
        <w:rPr>
          <w:rFonts w:hint="eastAsia" w:ascii="Times New Roman" w:hAnsi="Times New Roman" w:eastAsia="仿宋_GB2312" w:cs="Times New Roman"/>
          <w:color w:val="auto"/>
          <w:kern w:val="0"/>
          <w:sz w:val="32"/>
          <w:szCs w:val="32"/>
          <w:lang w:val="en-US" w:eastAsia="zh-CN"/>
        </w:rPr>
        <w:t>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万元，为事业单位开展业务活动取得的收入。较2021年度决算数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减少520.49</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2253.14</w:t>
      </w:r>
      <w:r>
        <w:rPr>
          <w:rFonts w:hint="eastAsia" w:ascii="仿宋" w:hAnsi="仿宋" w:eastAsia="仿宋" w:cs="仿宋"/>
          <w:sz w:val="32"/>
          <w:szCs w:val="32"/>
          <w:highlight w:val="none"/>
        </w:rPr>
        <w:t>万元，其中本年支出</w:t>
      </w:r>
      <w:r>
        <w:rPr>
          <w:rFonts w:ascii="仿宋" w:hAnsi="仿宋" w:eastAsia="仿宋" w:cs="仿宋"/>
          <w:sz w:val="32"/>
          <w:u w:color="auto"/>
        </w:rPr>
        <w:t>2253.14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减少718.18</w:t>
      </w:r>
      <w:r>
        <w:rPr>
          <w:rFonts w:hint="eastAsia" w:ascii="仿宋" w:hAnsi="仿宋" w:eastAsia="仿宋" w:cs="仿宋"/>
          <w:sz w:val="32"/>
          <w:szCs w:val="32"/>
          <w:highlight w:val="none"/>
        </w:rPr>
        <w:t>万元，</w:t>
      </w:r>
      <w:r>
        <w:rPr>
          <w:rFonts w:ascii="仿宋" w:hAnsi="仿宋" w:eastAsia="仿宋" w:cs="仿宋"/>
          <w:sz w:val="32"/>
          <w:u w:color="auto"/>
        </w:rPr>
        <w:t>下降24.17%</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u w:color="auto"/>
          <w:lang w:val="en-US" w:eastAsia="zh-CN"/>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22.00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u w:color="auto"/>
          <w:lang w:val="en-US" w:eastAsia="zh-CN"/>
        </w:rPr>
        <w:t>单位工会开展活动及各项支出需要</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增加22.00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u w:color="auto"/>
          <w:lang w:val="en-US" w:eastAsia="zh-CN"/>
        </w:rPr>
        <w:t>单位工会开展活动及其他需要，2022年使用经费22.00万元。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1667.81</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单位职工</w:t>
      </w:r>
      <w:r>
        <w:rPr>
          <w:rFonts w:hint="eastAsia" w:ascii="华文仿宋" w:hAnsi="华文仿宋" w:eastAsia="华文仿宋" w:cs="华文仿宋"/>
          <w:color w:val="auto"/>
          <w:kern w:val="0"/>
          <w:sz w:val="32"/>
          <w:szCs w:val="32"/>
        </w:rPr>
        <w:t>人员工资及为开展教育教学活动的支出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减少342.14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下降17.02%</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主要原因是：单位人员因退休、调动发生减少，故支出有减少。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158.12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华文仿宋" w:hAnsi="华文仿宋" w:eastAsia="华文仿宋" w:cs="华文仿宋"/>
          <w:color w:val="auto"/>
          <w:kern w:val="0"/>
          <w:sz w:val="32"/>
          <w:szCs w:val="32"/>
          <w:lang w:val="en-US" w:eastAsia="zh-CN"/>
        </w:rPr>
        <w:t>单位职工缴纳五险</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减少221.44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下降58.34%</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主要原因是：单位人员因退休、调动发生减少，故支出有减少。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119.44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华文仿宋" w:hAnsi="华文仿宋" w:eastAsia="华文仿宋" w:cs="华文仿宋"/>
          <w:color w:val="auto"/>
          <w:kern w:val="0"/>
          <w:sz w:val="32"/>
          <w:szCs w:val="32"/>
          <w:lang w:val="en-US" w:eastAsia="zh-CN"/>
        </w:rPr>
        <w:t>单位职工缴纳住房公积金</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增加25.43</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增长27.05%</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华文仿宋" w:hAnsi="华文仿宋" w:eastAsia="华文仿宋" w:cs="华文仿宋"/>
          <w:color w:val="auto"/>
          <w:kern w:val="0"/>
          <w:sz w:val="32"/>
          <w:szCs w:val="32"/>
          <w:lang w:val="en-US" w:eastAsia="zh-CN"/>
        </w:rPr>
        <w:t>单位在职人员发生变动</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285.77</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华文仿宋" w:hAnsi="华文仿宋" w:eastAsia="华文仿宋" w:cs="华文仿宋"/>
          <w:color w:val="auto"/>
          <w:kern w:val="0"/>
          <w:sz w:val="32"/>
          <w:szCs w:val="32"/>
          <w:lang w:val="en-US" w:eastAsia="zh-CN"/>
        </w:rPr>
        <w:t>其中4.06万元用于单位开</w:t>
      </w:r>
      <w:r>
        <w:rPr>
          <w:rFonts w:hint="eastAsia" w:ascii="仿宋" w:hAnsi="仿宋" w:eastAsia="仿宋" w:cs="仿宋"/>
          <w:color w:val="auto"/>
          <w:kern w:val="0"/>
          <w:sz w:val="32"/>
          <w:szCs w:val="32"/>
          <w:lang w:val="en-US" w:eastAsia="zh-CN"/>
        </w:rPr>
        <w:t>展少年宫活动，其余用于教师福利。</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减少202.04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下降41.42%</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主要原因是：单位人员因退休、调动发生减少，故支出有减少。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hint="eastAsia" w:ascii="仿宋" w:hAnsi="仿宋" w:eastAsia="仿宋" w:cs="仿宋"/>
          <w:color w:val="auto"/>
          <w:sz w:val="32"/>
          <w:u w:color="auto"/>
          <w:lang w:val="en-US" w:eastAsia="zh-CN"/>
        </w:rPr>
        <w:t>减少520.49</w:t>
      </w:r>
      <w:r>
        <w:rPr>
          <w:rFonts w:hint="eastAsia" w:ascii="仿宋" w:hAnsi="仿宋" w:eastAsia="仿宋" w:cs="仿宋"/>
          <w:color w:val="auto"/>
          <w:sz w:val="32"/>
          <w:szCs w:val="32"/>
          <w:highlight w:val="none"/>
        </w:rPr>
        <w:t>万元，</w:t>
      </w:r>
      <w:r>
        <w:rPr>
          <w:rFonts w:hint="eastAsia" w:ascii="仿宋" w:hAnsi="仿宋" w:eastAsia="仿宋" w:cs="仿宋"/>
          <w:color w:val="auto"/>
          <w:sz w:val="32"/>
          <w:u w:color="auto"/>
          <w:lang w:val="en-US" w:eastAsia="zh-CN"/>
        </w:rPr>
        <w:t>下降520</w:t>
      </w:r>
      <w:r>
        <w:rPr>
          <w:rFonts w:ascii="仿宋" w:hAnsi="仿宋" w:eastAsia="仿宋" w:cs="仿宋"/>
          <w:color w:val="auto"/>
          <w:sz w:val="32"/>
          <w:u w:color="auto"/>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主要原因是部分项目已执行完毕，不需要结转至下年继续执行。</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环江毛南族自治县明伦镇中心小学2022年度一般公共预算财政拨款支出</w:t>
      </w:r>
      <w:r>
        <w:rPr>
          <w:rFonts w:ascii="仿宋" w:hAnsi="仿宋" w:eastAsia="仿宋" w:cs="仿宋"/>
          <w:sz w:val="32"/>
          <w:u w:color="auto"/>
        </w:rPr>
        <w:t>2249.08</w:t>
      </w:r>
      <w:r>
        <w:rPr>
          <w:rFonts w:hint="eastAsia" w:ascii="仿宋" w:hAnsi="仿宋" w:eastAsia="仿宋" w:cs="仿宋"/>
          <w:sz w:val="32"/>
          <w:szCs w:val="32"/>
          <w:highlight w:val="none"/>
        </w:rPr>
        <w:t>万元，较2021年度决算数</w:t>
      </w:r>
      <w:r>
        <w:rPr>
          <w:rFonts w:ascii="仿宋" w:hAnsi="仿宋" w:eastAsia="仿宋" w:cs="仿宋"/>
          <w:sz w:val="32"/>
          <w:u w:color="auto"/>
        </w:rPr>
        <w:t>减少720.72</w:t>
      </w:r>
      <w:r>
        <w:rPr>
          <w:rFonts w:hint="eastAsia" w:ascii="仿宋" w:hAnsi="仿宋" w:eastAsia="仿宋" w:cs="仿宋"/>
          <w:sz w:val="32"/>
          <w:szCs w:val="32"/>
          <w:highlight w:val="none"/>
        </w:rPr>
        <w:t>万元，</w:t>
      </w:r>
      <w:r>
        <w:rPr>
          <w:rFonts w:ascii="仿宋" w:hAnsi="仿宋" w:eastAsia="仿宋" w:cs="仿宋"/>
          <w:sz w:val="32"/>
          <w:u w:color="auto"/>
        </w:rPr>
        <w:t>下降24.27%</w:t>
      </w:r>
      <w:r>
        <w:rPr>
          <w:rFonts w:hint="eastAsia" w:ascii="仿宋" w:hAnsi="仿宋" w:eastAsia="仿宋" w:cs="仿宋"/>
          <w:sz w:val="32"/>
          <w:szCs w:val="32"/>
          <w:highlight w:val="none"/>
        </w:rPr>
        <w:t>。其中：基本支出</w:t>
      </w:r>
      <w:r>
        <w:rPr>
          <w:rFonts w:ascii="仿宋" w:hAnsi="仿宋" w:eastAsia="仿宋" w:cs="仿宋"/>
          <w:sz w:val="32"/>
          <w:u w:color="auto"/>
        </w:rPr>
        <w:t>2169.53</w:t>
      </w:r>
      <w:r>
        <w:rPr>
          <w:rFonts w:hint="eastAsia" w:ascii="仿宋" w:hAnsi="仿宋" w:eastAsia="仿宋" w:cs="仿宋"/>
          <w:sz w:val="32"/>
          <w:szCs w:val="32"/>
          <w:highlight w:val="none"/>
        </w:rPr>
        <w:t>万元，项目支出</w:t>
      </w:r>
      <w:r>
        <w:rPr>
          <w:rFonts w:ascii="仿宋" w:hAnsi="仿宋" w:eastAsia="仿宋" w:cs="仿宋"/>
          <w:sz w:val="32"/>
          <w:u w:color="auto"/>
        </w:rPr>
        <w:t>79.55</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环江毛南族自治县明伦镇中心小学2022 年度一般公共预算财政拨款支出年初预算为</w:t>
      </w:r>
      <w:r>
        <w:rPr>
          <w:rFonts w:ascii="仿宋" w:hAnsi="仿宋" w:eastAsia="仿宋" w:cs="仿宋"/>
          <w:sz w:val="32"/>
          <w:u w:color="auto"/>
        </w:rPr>
        <w:t>1574.82</w:t>
      </w:r>
      <w:r>
        <w:rPr>
          <w:rFonts w:hint="eastAsia" w:ascii="仿宋" w:hAnsi="仿宋" w:eastAsia="仿宋" w:cs="仿宋"/>
          <w:sz w:val="32"/>
          <w:szCs w:val="32"/>
          <w:highlight w:val="none"/>
        </w:rPr>
        <w:t>万元，支出决算为</w:t>
      </w:r>
      <w:r>
        <w:rPr>
          <w:rFonts w:ascii="仿宋" w:hAnsi="仿宋" w:eastAsia="仿宋" w:cs="仿宋"/>
          <w:sz w:val="32"/>
          <w:u w:color="auto"/>
        </w:rPr>
        <w:t>2249.08</w:t>
      </w:r>
      <w:r>
        <w:rPr>
          <w:rFonts w:hint="eastAsia" w:ascii="仿宋" w:hAnsi="仿宋" w:eastAsia="仿宋" w:cs="仿宋"/>
          <w:sz w:val="32"/>
          <w:szCs w:val="32"/>
          <w:highlight w:val="none"/>
        </w:rPr>
        <w:t>万元，完成年初预算的</w:t>
      </w:r>
      <w:r>
        <w:rPr>
          <w:rFonts w:ascii="仿宋" w:hAnsi="仿宋" w:eastAsia="仿宋" w:cs="仿宋"/>
          <w:sz w:val="32"/>
          <w:u w:color="auto"/>
        </w:rPr>
        <w:t>142.82%</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22.00</w:t>
      </w:r>
      <w:r>
        <w:rPr>
          <w:rFonts w:hint="eastAsia" w:ascii="仿宋" w:hAnsi="仿宋" w:eastAsia="仿宋"/>
          <w:sz w:val="32"/>
          <w:szCs w:val="32"/>
          <w:highlight w:val="none"/>
        </w:rPr>
        <w:t>万元，支出决算为</w:t>
      </w:r>
      <w:r>
        <w:rPr>
          <w:rFonts w:ascii="仿宋" w:hAnsi="仿宋" w:eastAsia="仿宋"/>
          <w:sz w:val="32"/>
          <w:szCs w:val="32"/>
          <w:highlight w:val="none"/>
        </w:rPr>
        <w:t>22.00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无差异</w:t>
      </w:r>
      <w:r>
        <w:rPr>
          <w:rFonts w:hint="eastAsia" w:ascii="仿宋" w:hAnsi="仿宋" w:eastAsia="仿宋"/>
          <w:color w:val="000000" w:themeColor="text1"/>
          <w:sz w:val="32"/>
          <w:szCs w:val="32"/>
          <w:highlight w:val="none"/>
          <w14:textFill>
            <w14:solidFill>
              <w14:schemeClr w14:val="tx1"/>
            </w14:solidFill>
          </w14:textFill>
        </w:rPr>
        <w:t>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lang w:val="en-US" w:eastAsia="zh-CN"/>
                <w14:textFill>
                  <w14:solidFill>
                    <w14:schemeClr w14:val="tx1"/>
                  </w14:solidFill>
                </w14:textFill>
              </w:rPr>
              <w:t>用于工会活动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lang w:val="en-US" w:eastAsia="zh-CN"/>
                <w14:textFill>
                  <w14:solidFill>
                    <w14:schemeClr w14:val="tx1"/>
                  </w14:solidFill>
                </w14:textFill>
              </w:rPr>
              <w:t>无偏差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22.00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lang w:val="en-US" w:eastAsia="zh-CN"/>
                <w14:textFill>
                  <w14:solidFill>
                    <w14:schemeClr w14:val="tx1"/>
                  </w14:solidFill>
                </w14:textFill>
              </w:rPr>
              <w:t>用于工会活动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lang w:val="en-US" w:eastAsia="zh-CN"/>
                <w14:textFill>
                  <w14:solidFill>
                    <w14:schemeClr w14:val="tx1"/>
                  </w14:solidFill>
                </w14:textFill>
              </w:rPr>
              <w:t>无偏差</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1244.84</w:t>
      </w:r>
      <w:r>
        <w:rPr>
          <w:rFonts w:hint="eastAsia" w:ascii="仿宋" w:hAnsi="仿宋" w:eastAsia="仿宋"/>
          <w:sz w:val="32"/>
          <w:szCs w:val="32"/>
          <w:highlight w:val="none"/>
        </w:rPr>
        <w:t>万元，支出决算为</w:t>
      </w:r>
      <w:r>
        <w:rPr>
          <w:rFonts w:ascii="仿宋" w:hAnsi="仿宋" w:eastAsia="仿宋"/>
          <w:sz w:val="32"/>
          <w:szCs w:val="32"/>
          <w:highlight w:val="none"/>
        </w:rPr>
        <w:t>1667.81</w:t>
      </w:r>
      <w:r>
        <w:rPr>
          <w:rFonts w:hint="eastAsia" w:ascii="仿宋" w:hAnsi="仿宋" w:eastAsia="仿宋"/>
          <w:sz w:val="32"/>
          <w:szCs w:val="32"/>
          <w:highlight w:val="none"/>
        </w:rPr>
        <w:t>万元，完成年初预算的</w:t>
      </w:r>
      <w:r>
        <w:rPr>
          <w:rFonts w:ascii="仿宋" w:hAnsi="仿宋" w:eastAsia="仿宋"/>
          <w:sz w:val="32"/>
          <w:szCs w:val="32"/>
          <w:highlight w:val="none"/>
        </w:rPr>
        <w:t>133.98%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p>
    <w:p>
      <w:pPr>
        <w:keepNext w:val="0"/>
        <w:keepLines w:val="0"/>
        <w:widowControl w:val="0"/>
        <w:numPr>
          <w:ilvl w:val="0"/>
          <w:numId w:val="0"/>
        </w:numPr>
        <w:suppressLineNumbers w:val="0"/>
        <w:spacing w:before="0" w:beforeAutospacing="0" w:after="0" w:afterAutospacing="0"/>
        <w:ind w:left="210" w:leftChars="0" w:right="0" w:right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本单位在职人员岗位工资、薪级工资等福利上调，2022年新聘用教师2名，特岗转岗3名。</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1244.84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1593.66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128.02%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lang w:val="en-US" w:eastAsia="zh-CN"/>
                <w14:textFill>
                  <w14:solidFill>
                    <w14:schemeClr w14:val="tx1"/>
                  </w14:solidFill>
                </w14:textFill>
              </w:rPr>
              <w:t>人员工资及为开展教育教学活动的支出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lang w:val="en-US" w:eastAsia="zh-CN"/>
                <w14:textFill>
                  <w14:solidFill>
                    <w14:schemeClr w14:val="tx1"/>
                  </w14:solidFill>
                </w14:textFill>
              </w:rPr>
              <w:t>职人员岗位工资、薪级工资等福利上调，2022年新聘用教师2名，特岗转岗3名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用于学校公用支出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年中调整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0.54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w:t>
            </w:r>
            <w:r>
              <w:rPr>
                <w:rFonts w:hint="eastAsia" w:ascii="仿宋" w:hAnsi="仿宋" w:eastAsia="仿宋" w:cs="仿宋"/>
                <w:color w:val="000000" w:themeColor="text1"/>
                <w:szCs w:val="21"/>
                <w:lang w:val="en-US" w:eastAsia="zh-CN"/>
                <w14:textFill>
                  <w14:solidFill>
                    <w14:schemeClr w14:val="tx1"/>
                  </w14:solidFill>
                </w14:textFill>
              </w:rPr>
              <w:t>校园安全保卫经费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年中预算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1244.84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1667.81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lang w:val="en-US" w:eastAsia="zh-CN"/>
                <w14:textFill>
                  <w14:solidFill>
                    <w14:schemeClr w14:val="tx1"/>
                  </w14:solidFill>
                </w14:textFill>
              </w:rPr>
              <w:t>人员工资及为开展教育教学活动的支出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FF0000"/>
                <w:sz w:val="18"/>
                <w:szCs w:val="18"/>
                <w:highlight w:val="none"/>
                <w:lang w:val="en-US" w:eastAsia="zh-CN"/>
              </w:rPr>
              <w:t>人员变动；经费年中调整</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175.99</w:t>
      </w:r>
      <w:r>
        <w:rPr>
          <w:rFonts w:hint="eastAsia" w:ascii="仿宋" w:hAnsi="仿宋" w:eastAsia="仿宋"/>
          <w:sz w:val="32"/>
          <w:szCs w:val="32"/>
          <w:highlight w:val="none"/>
        </w:rPr>
        <w:t>万元，支出决算为</w:t>
      </w:r>
      <w:r>
        <w:rPr>
          <w:rFonts w:ascii="仿宋" w:hAnsi="仿宋" w:eastAsia="仿宋"/>
          <w:sz w:val="32"/>
          <w:szCs w:val="32"/>
          <w:highlight w:val="none"/>
        </w:rPr>
        <w:t>158.12</w:t>
      </w:r>
      <w:r>
        <w:rPr>
          <w:rFonts w:hint="eastAsia" w:ascii="仿宋" w:hAnsi="仿宋" w:eastAsia="仿宋"/>
          <w:sz w:val="32"/>
          <w:szCs w:val="32"/>
          <w:highlight w:val="none"/>
        </w:rPr>
        <w:t>万元，完成年初预算的</w:t>
      </w:r>
      <w:r>
        <w:rPr>
          <w:rFonts w:ascii="仿宋" w:hAnsi="仿宋" w:eastAsia="仿宋"/>
          <w:sz w:val="32"/>
          <w:szCs w:val="32"/>
          <w:highlight w:val="none"/>
        </w:rPr>
        <w:t>89.85%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原因是：单位人员因退休、调动发生减少。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175.99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158.12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89.85%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养老保险和社保</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2022年退休5人，调出2人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175.99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158.12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养老保险和社保</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2022年退休5人，调出2人</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131.99</w:t>
      </w:r>
      <w:r>
        <w:rPr>
          <w:rFonts w:hint="eastAsia" w:ascii="仿宋" w:hAnsi="仿宋" w:eastAsia="仿宋"/>
          <w:sz w:val="32"/>
          <w:szCs w:val="32"/>
          <w:highlight w:val="none"/>
        </w:rPr>
        <w:t>万元，支出决算为</w:t>
      </w:r>
      <w:r>
        <w:rPr>
          <w:rFonts w:ascii="仿宋" w:hAnsi="仿宋" w:eastAsia="仿宋"/>
          <w:sz w:val="32"/>
          <w:szCs w:val="32"/>
          <w:highlight w:val="none"/>
        </w:rPr>
        <w:t>119.44</w:t>
      </w:r>
      <w:r>
        <w:rPr>
          <w:rFonts w:hint="eastAsia" w:ascii="仿宋" w:hAnsi="仿宋" w:eastAsia="仿宋"/>
          <w:sz w:val="32"/>
          <w:szCs w:val="32"/>
          <w:highlight w:val="none"/>
        </w:rPr>
        <w:t>万元，完成年初预算的</w:t>
      </w:r>
      <w:r>
        <w:rPr>
          <w:rFonts w:ascii="仿宋" w:hAnsi="仿宋" w:eastAsia="仿宋"/>
          <w:sz w:val="32"/>
          <w:szCs w:val="32"/>
          <w:highlight w:val="none"/>
        </w:rPr>
        <w:t>90.49%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原因是：单位人员因退休、调动发生减少。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119.44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90.49%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Cs w:val="21"/>
                <w:lang w:val="en-US" w:eastAsia="zh-CN"/>
              </w:rPr>
              <w:t>人员</w:t>
            </w:r>
            <w:r>
              <w:rPr>
                <w:rFonts w:hint="eastAsia" w:ascii="仿宋" w:hAnsi="仿宋" w:eastAsia="仿宋" w:cs="仿宋"/>
                <w:color w:val="auto"/>
                <w:szCs w:val="21"/>
              </w:rPr>
              <w:t>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lang w:val="en-US" w:eastAsia="zh-CN"/>
              </w:rPr>
              <w:t>单位在职人员发生</w:t>
            </w:r>
            <w:r>
              <w:rPr>
                <w:rFonts w:hint="eastAsia" w:ascii="仿宋" w:hAnsi="仿宋" w:eastAsia="仿宋" w:cs="仿宋"/>
                <w:color w:val="auto"/>
                <w:sz w:val="18"/>
                <w:szCs w:val="18"/>
              </w:rPr>
              <w:t>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119.44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Cs w:val="21"/>
                <w:lang w:val="en-US" w:eastAsia="zh-CN"/>
              </w:rPr>
              <w:t>人员</w:t>
            </w:r>
            <w:r>
              <w:rPr>
                <w:rFonts w:hint="eastAsia" w:ascii="仿宋" w:hAnsi="仿宋" w:eastAsia="仿宋" w:cs="仿宋"/>
                <w:color w:val="auto"/>
                <w:szCs w:val="21"/>
              </w:rPr>
              <w:t>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lang w:val="en-US" w:eastAsia="zh-CN"/>
              </w:rPr>
              <w:t>单位在职人员发生</w:t>
            </w:r>
            <w:r>
              <w:rPr>
                <w:rFonts w:hint="eastAsia" w:ascii="仿宋" w:hAnsi="仿宋" w:eastAsia="仿宋" w:cs="仿宋"/>
                <w:color w:val="auto"/>
                <w:sz w:val="18"/>
                <w:szCs w:val="18"/>
              </w:rPr>
              <w:t>变动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210" w:leftChars="0" w:right="0" w:rightChars="0"/>
        <w:jc w:val="left"/>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281.71</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原因是：此为年中项目资金调整，未进行年初预算。</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highlight w:val="none"/>
          <w:lang w:val="en-US" w:eastAsia="zh-CN"/>
        </w:rPr>
      </w:pP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281.71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用于教师福利支出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年中预算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281.71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Cs w:val="21"/>
                <w14:textFill>
                  <w14:solidFill>
                    <w14:schemeClr w14:val="tx1"/>
                  </w14:solidFill>
                </w14:textFill>
              </w:rPr>
              <w:t>用于教师福利支出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14:textFill>
                  <w14:solidFill>
                    <w14:schemeClr w14:val="tx1"/>
                  </w14:solidFill>
                </w14:textFill>
              </w:rPr>
              <w:t>年中预算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环江毛南族自治县明伦镇中心小学2022年度一般公共预算财政拨款基本支出</w:t>
      </w:r>
      <w:r>
        <w:rPr>
          <w:rFonts w:ascii="仿宋" w:hAnsi="仿宋" w:eastAsia="仿宋" w:cs="仿宋"/>
          <w:sz w:val="32"/>
          <w:u w:color="auto"/>
        </w:rPr>
        <w:t>2169.53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2094.52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75.00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1732.40万元，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120.38%</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olor w:val="000000" w:themeColor="text1"/>
          <w:sz w:val="32"/>
          <w:szCs w:val="32"/>
          <w:highlight w:val="none"/>
          <w:lang w:val="en-US" w:eastAsia="zh-CN"/>
          <w14:textFill>
            <w14:solidFill>
              <w14:schemeClr w14:val="tx1"/>
            </w14:solidFill>
          </w14:textFill>
        </w:rPr>
        <w:t>在职人员岗位工资、薪级工资等福利上调，2022年新聘用教师2名，特岗转岗3名故工资福利支出增加，</w:t>
      </w:r>
      <w:r>
        <w:rPr>
          <w:rFonts w:hint="eastAsia" w:ascii="仿宋" w:hAnsi="仿宋" w:eastAsia="仿宋" w:cs="仿宋"/>
          <w:color w:val="auto"/>
          <w:kern w:val="2"/>
          <w:sz w:val="32"/>
          <w:szCs w:val="32"/>
          <w:highlight w:val="none"/>
          <w:lang w:val="en-US" w:eastAsia="zh-CN" w:bidi="ar"/>
        </w:rPr>
        <w:t>故</w:t>
      </w:r>
      <w:r>
        <w:rPr>
          <w:rFonts w:hint="default" w:ascii="仿宋" w:hAnsi="仿宋" w:eastAsia="仿宋" w:cs="仿宋"/>
          <w:color w:val="auto"/>
          <w:kern w:val="2"/>
          <w:sz w:val="32"/>
          <w:szCs w:val="32"/>
          <w:highlight w:val="none"/>
          <w:lang w:val="en-US" w:eastAsia="zh-CN" w:bidi="ar"/>
        </w:rPr>
        <w:t>年初预算</w:t>
      </w:r>
      <w:r>
        <w:rPr>
          <w:rFonts w:hint="eastAsia" w:ascii="仿宋" w:hAnsi="仿宋" w:eastAsia="仿宋" w:cs="仿宋"/>
          <w:color w:val="auto"/>
          <w:kern w:val="2"/>
          <w:sz w:val="32"/>
          <w:szCs w:val="32"/>
          <w:highlight w:val="none"/>
          <w:lang w:val="en-US" w:eastAsia="zh-CN" w:bidi="ar"/>
        </w:rPr>
        <w:t>完成率较高。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651.66万元，30102津贴补贴111.97万元，30103奖金330.66万元，30107绩效工资263.74万元，30108机关事业单位基本养老保险缴费158.12万元，30110职工基本医疗保险缴费77.91万元，30112其他社会保障缴费8.89万元，30113住房公积金119.44万元，30199其他工资福利支出10.01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商品和服务支出</w:t>
      </w:r>
      <w:r>
        <w:rPr>
          <w:rFonts w:ascii="仿宋" w:hAnsi="仿宋" w:eastAsia="仿宋" w:cs="仿宋"/>
          <w:sz w:val="32"/>
          <w:u w:color="auto"/>
        </w:rPr>
        <w:t>67.77万元，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308.05%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工会经费为年中调整，办公费、劳务费等有所增加，故</w:t>
      </w:r>
      <w:r>
        <w:rPr>
          <w:rFonts w:hint="default" w:ascii="仿宋" w:hAnsi="仿宋" w:eastAsia="仿宋" w:cs="仿宋"/>
          <w:color w:val="auto"/>
          <w:kern w:val="2"/>
          <w:sz w:val="32"/>
          <w:szCs w:val="32"/>
          <w:highlight w:val="none"/>
          <w:lang w:val="en-US" w:eastAsia="zh-CN" w:bidi="ar"/>
        </w:rPr>
        <w:t>年初预算</w:t>
      </w:r>
      <w:r>
        <w:rPr>
          <w:rFonts w:hint="eastAsia" w:ascii="仿宋" w:hAnsi="仿宋" w:eastAsia="仿宋" w:cs="仿宋"/>
          <w:color w:val="auto"/>
          <w:kern w:val="2"/>
          <w:sz w:val="32"/>
          <w:szCs w:val="32"/>
          <w:highlight w:val="none"/>
          <w:lang w:val="en-US" w:eastAsia="zh-CN" w:bidi="ar"/>
        </w:rPr>
        <w:t>完成率较高。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30201办公费19.39万元，30205水费3.16万元，30206电费4.79万元，30207邮电费3.05万元，30209物业管理费0.37万元，30211差旅费6.67万元，30213维修（护）费2.98万元，30226劳务费5.37万元，30228工会经费22.00万元。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sz w:val="32"/>
          <w:u w:color="auto"/>
          <w:lang w:val="en-US"/>
        </w:rPr>
      </w:pPr>
      <w:r>
        <w:rPr>
          <w:rFonts w:hint="eastAsia" w:ascii="仿宋" w:hAnsi="仿宋" w:eastAsia="仿宋" w:cs="仿宋"/>
          <w:sz w:val="32"/>
          <w:szCs w:val="32"/>
          <w:highlight w:val="none"/>
        </w:rPr>
        <w:t>对个人和家庭的补助</w:t>
      </w:r>
      <w:r>
        <w:rPr>
          <w:rFonts w:ascii="仿宋" w:hAnsi="仿宋" w:eastAsia="仿宋" w:cs="仿宋"/>
          <w:sz w:val="32"/>
          <w:u w:color="auto"/>
        </w:rPr>
        <w:t>362.13万元，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335.31%</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u w:color="auto"/>
          <w:lang w:val="en-US" w:eastAsia="zh-CN"/>
        </w:rPr>
        <w:t>：退休教师、抚恤人员等增加。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30304抚恤金51.20万元，30305生活补助110.24万元，30308助学金175.95万元，30399其他对个人和家庭的补助24.72万元。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本单位无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7812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7.23万元，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color w:val="auto"/>
          <w:kern w:val="2"/>
          <w:sz w:val="32"/>
          <w:szCs w:val="32"/>
          <w:highlight w:val="none"/>
          <w:lang w:val="en-US" w:eastAsia="zh-CN" w:bidi="ar"/>
        </w:rPr>
        <w:t>无差异。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31002办公设备购置4.87万元，31003专用设备购置0.86万元，31099其他资本性支出1.50万元。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584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本单位无</w:t>
      </w:r>
      <w:r>
        <w:rPr>
          <w:rFonts w:hint="eastAsia" w:ascii="仿宋" w:hAnsi="仿宋" w:eastAsia="仿宋" w:cs="仿宋"/>
          <w:sz w:val="32"/>
          <w:szCs w:val="32"/>
          <w:highlight w:val="none"/>
          <w:lang w:val="en-US" w:eastAsia="zh-CN"/>
        </w:rPr>
        <w:t>其他</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环江毛南族自治县明伦镇中心小学2022年度政府性基金支出</w:t>
      </w:r>
      <w:r>
        <w:rPr>
          <w:rFonts w:ascii="仿宋" w:hAnsi="仿宋" w:eastAsia="仿宋" w:cs="仿宋"/>
          <w:sz w:val="32"/>
          <w:szCs w:val="32"/>
          <w:highlight w:val="none"/>
        </w:rPr>
        <w:t>4.06</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增加2.54</w:t>
      </w:r>
      <w:r>
        <w:rPr>
          <w:rFonts w:hint="eastAsia" w:ascii="仿宋" w:hAnsi="仿宋" w:eastAsia="仿宋" w:cs="仿宋"/>
          <w:sz w:val="32"/>
          <w:szCs w:val="32"/>
          <w:highlight w:val="none"/>
        </w:rPr>
        <w:t>万元，</w:t>
      </w:r>
      <w:r>
        <w:rPr>
          <w:rFonts w:ascii="仿宋" w:hAnsi="仿宋" w:eastAsia="仿宋" w:cs="仿宋"/>
          <w:sz w:val="32"/>
          <w:szCs w:val="32"/>
          <w:highlight w:val="none"/>
        </w:rPr>
        <w:t>增长167.11%</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4.06</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环江毛南族自治县明伦镇中心小学2022年度政府性基金支出年初预算为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4.06</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0"/>
          <w:sz w:val="32"/>
          <w:szCs w:val="32"/>
          <w:lang w:val="en-US"/>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u w:color="auto"/>
        </w:rPr>
        <w:t>1)其他支出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 xml:space="preserve">  用于教育事业的彩票公益金支出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2296004</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万元，支出决算为</w:t>
      </w:r>
      <w:r>
        <w:rPr>
          <w:rFonts w:ascii="仿宋" w:hAnsi="仿宋" w:eastAsia="仿宋" w:cs="仿宋"/>
          <w:color w:val="000000"/>
          <w:sz w:val="32"/>
          <w:u w:color="auto"/>
        </w:rPr>
        <w:t>4.06</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u w:color="auto"/>
        </w:rPr>
        <w:t>100%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形成</w:t>
      </w:r>
      <w:r>
        <w:rPr>
          <w:rFonts w:hint="eastAsia" w:ascii="仿宋" w:hAnsi="仿宋" w:eastAsia="仿宋" w:cs="仿宋"/>
          <w:color w:val="000000" w:themeColor="text1"/>
          <w:sz w:val="32"/>
          <w:szCs w:val="32"/>
          <w:highlight w:val="none"/>
          <w14:textFill>
            <w14:solidFill>
              <w14:schemeClr w14:val="tx1"/>
            </w14:solidFill>
          </w14:textFill>
        </w:rPr>
        <w:t>预决算差异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该资金为年中预算资金，未进行年初预算。</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环江毛南族自治县明伦镇中心小学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环江毛南族自治县明伦镇中心小学2022年度国有资本经营预算支出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环江毛南族自治县明伦镇中心小学2022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环江毛南族自治县明伦镇中心小学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主要原因是：本单位为全额拨款事业单位，无“三公”经费支出。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rPr>
        <w:t>本部门无</w:t>
      </w:r>
      <w:r>
        <w:rPr>
          <w:rFonts w:hint="eastAsia" w:ascii="仿宋" w:hAnsi="仿宋" w:eastAsia="仿宋" w:cs="仿宋"/>
          <w:color w:val="auto"/>
          <w:sz w:val="32"/>
          <w:szCs w:val="32"/>
          <w:highlight w:val="none"/>
        </w:rPr>
        <w:t>因公出国</w:t>
      </w:r>
      <w:r>
        <w:rPr>
          <w:rFonts w:hint="eastAsia" w:ascii="仿宋" w:hAnsi="仿宋" w:eastAsia="仿宋" w:cs="仿宋"/>
          <w:sz w:val="32"/>
          <w:szCs w:val="32"/>
          <w:highlight w:val="none"/>
        </w:rPr>
        <w:t>（境）费支出</w:t>
      </w:r>
      <w:r>
        <w:rPr>
          <w:rFonts w:hint="eastAsia" w:ascii="仿宋" w:hAnsi="仿宋" w:eastAsia="仿宋" w:cs="仿宋"/>
          <w:sz w:val="32"/>
          <w:szCs w:val="32"/>
          <w:highlight w:val="none"/>
          <w:lang w:eastAsia="zh-CN"/>
        </w:rPr>
        <w:t>。</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sz w:val="32"/>
          <w:szCs w:val="32"/>
          <w:highlight w:val="none"/>
        </w:rPr>
        <w:t>（二）</w:t>
      </w:r>
      <w:r>
        <w:rPr>
          <w:rFonts w:hint="eastAsia" w:ascii="仿宋" w:hAnsi="仿宋" w:eastAsia="仿宋" w:cs="仿宋"/>
          <w:color w:val="auto"/>
          <w:sz w:val="32"/>
          <w:szCs w:val="32"/>
          <w:highlight w:val="none"/>
        </w:rPr>
        <w:t>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rPr>
        <w:t>本部门无公务用车</w:t>
      </w:r>
      <w:r>
        <w:rPr>
          <w:rFonts w:hint="eastAsia" w:ascii="仿宋" w:hAnsi="仿宋" w:eastAsia="仿宋" w:cs="仿宋"/>
          <w:color w:val="auto"/>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主要原因是：本</w:t>
      </w:r>
      <w:r>
        <w:rPr>
          <w:rFonts w:hint="eastAsia" w:ascii="仿宋" w:hAnsi="仿宋" w:eastAsia="仿宋" w:cs="仿宋"/>
          <w:color w:val="auto"/>
          <w:sz w:val="32"/>
          <w:szCs w:val="32"/>
        </w:rPr>
        <w:t>部门</w:t>
      </w:r>
      <w:r>
        <w:rPr>
          <w:rFonts w:hint="eastAsia" w:ascii="仿宋" w:hAnsi="仿宋" w:eastAsia="仿宋" w:cs="仿宋"/>
          <w:color w:val="auto"/>
          <w:kern w:val="2"/>
          <w:sz w:val="32"/>
          <w:szCs w:val="32"/>
          <w:highlight w:val="none"/>
          <w:lang w:val="en-US" w:eastAsia="zh-CN" w:bidi="ar"/>
        </w:rPr>
        <w:t>为事业单位，无</w:t>
      </w:r>
      <w:r>
        <w:rPr>
          <w:rFonts w:hint="eastAsia" w:ascii="仿宋" w:hAnsi="仿宋" w:eastAsia="仿宋" w:cs="仿宋"/>
          <w:color w:val="auto"/>
          <w:sz w:val="32"/>
          <w:szCs w:val="32"/>
          <w:highlight w:val="none"/>
        </w:rPr>
        <w:t>公务接待</w:t>
      </w:r>
      <w:r>
        <w:rPr>
          <w:rFonts w:hint="eastAsia" w:ascii="仿宋" w:hAnsi="仿宋" w:eastAsia="仿宋" w:cs="仿宋"/>
          <w:color w:val="auto"/>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Times New Roman" w:hAnsi="Times New Roman" w:eastAsia="仿宋_GB2312" w:cs="Times New Roman"/>
          <w:b w:val="0"/>
          <w:bCs w:val="0"/>
          <w:kern w:val="0"/>
          <w:sz w:val="32"/>
          <w:szCs w:val="32"/>
        </w:rPr>
        <w:t>原因是</w:t>
      </w:r>
      <w:r>
        <w:rPr>
          <w:rFonts w:hint="eastAsia" w:ascii="仿宋" w:hAnsi="仿宋" w:eastAsia="仿宋" w:cs="仿宋"/>
          <w:color w:val="auto"/>
          <w:kern w:val="2"/>
          <w:sz w:val="32"/>
          <w:szCs w:val="32"/>
          <w:highlight w:val="none"/>
          <w:lang w:val="en-US" w:eastAsia="zh-CN" w:bidi="ar"/>
        </w:rPr>
        <w:t>本</w:t>
      </w:r>
      <w:r>
        <w:rPr>
          <w:rFonts w:hint="eastAsia" w:ascii="仿宋" w:hAnsi="仿宋" w:eastAsia="仿宋" w:cs="仿宋"/>
          <w:color w:val="auto"/>
          <w:sz w:val="32"/>
          <w:szCs w:val="32"/>
        </w:rPr>
        <w:t>部门</w:t>
      </w:r>
      <w:r>
        <w:rPr>
          <w:rFonts w:hint="eastAsia" w:ascii="仿宋" w:hAnsi="仿宋" w:eastAsia="仿宋" w:cs="仿宋"/>
          <w:color w:val="auto"/>
          <w:kern w:val="2"/>
          <w:sz w:val="32"/>
          <w:szCs w:val="32"/>
          <w:highlight w:val="none"/>
          <w:lang w:val="en-US" w:eastAsia="zh-CN" w:bidi="ar"/>
        </w:rPr>
        <w:t>为事业单位</w:t>
      </w:r>
      <w:r>
        <w:rPr>
          <w:rFonts w:hint="default" w:ascii="Times New Roman" w:hAnsi="Times New Roman" w:eastAsia="仿宋_GB2312" w:cs="Times New Roman"/>
          <w:b w:val="0"/>
          <w:bCs w:val="0"/>
          <w:kern w:val="0"/>
          <w:sz w:val="32"/>
          <w:szCs w:val="32"/>
        </w:rPr>
        <w:t>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default" w:ascii="Times New Roman" w:hAnsi="Times New Roman" w:eastAsia="仿宋_GB2312" w:cs="Times New Roman"/>
          <w:b w:val="0"/>
          <w:bCs w:val="0"/>
          <w:i w:val="0"/>
          <w:iCs w:val="0"/>
          <w:kern w:val="0"/>
          <w:sz w:val="32"/>
          <w:szCs w:val="32"/>
        </w:rPr>
        <w:t>无政府采购支出</w:t>
      </w:r>
      <w:r>
        <w:rPr>
          <w:rFonts w:hint="eastAsia" w:ascii="Times New Roman" w:hAnsi="Times New Roman" w:eastAsia="仿宋_GB2312" w:cs="Times New Roman"/>
          <w:b w:val="0"/>
          <w:bCs w:val="0"/>
          <w:i w:val="0"/>
          <w:iCs w:val="0"/>
          <w:kern w:val="0"/>
          <w:sz w:val="32"/>
          <w:szCs w:val="32"/>
          <w:lang w:eastAsia="zh-CN"/>
        </w:rPr>
        <w:t>。</w:t>
      </w:r>
      <w:r>
        <w:rPr>
          <w:rFonts w:hint="eastAsia" w:ascii="仿宋" w:hAnsi="仿宋" w:eastAsia="仿宋" w:cs="仿宋"/>
          <w:sz w:val="32"/>
          <w:szCs w:val="32"/>
          <w:highlight w:val="none"/>
        </w:rPr>
        <w:t>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w:t>
      </w:r>
      <w:r>
        <w:rPr>
          <w:rFonts w:hint="eastAsia" w:ascii="仿宋" w:hAnsi="仿宋" w:eastAsia="仿宋" w:cs="仿宋"/>
          <w:color w:val="auto"/>
          <w:sz w:val="32"/>
          <w:szCs w:val="32"/>
        </w:rPr>
        <w:t>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w:t>
      </w:r>
      <w:r>
        <w:rPr>
          <w:rFonts w:hint="eastAsia" w:ascii="仿宋" w:hAnsi="仿宋" w:eastAsia="仿宋" w:cs="仿宋"/>
          <w:color w:val="auto"/>
          <w:sz w:val="32"/>
          <w:szCs w:val="32"/>
          <w:lang w:val="en-US" w:eastAsia="zh-CN"/>
        </w:rPr>
        <w:t>三等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共涉及资金</w:t>
      </w:r>
      <w:r>
        <w:rPr>
          <w:rFonts w:hint="eastAsia" w:ascii="仿宋" w:hAnsi="仿宋" w:eastAsia="仿宋" w:cs="仿宋"/>
          <w:color w:val="auto"/>
          <w:sz w:val="32"/>
          <w:szCs w:val="32"/>
          <w:lang w:val="en-US" w:eastAsia="zh-CN"/>
        </w:rPr>
        <w:t>483.02</w:t>
      </w:r>
      <w:r>
        <w:rPr>
          <w:rFonts w:hint="eastAsia" w:ascii="仿宋" w:hAnsi="仿宋" w:eastAsia="仿宋" w:cs="仿宋"/>
          <w:color w:val="auto"/>
          <w:sz w:val="32"/>
          <w:szCs w:val="32"/>
        </w:rPr>
        <w:t>万元。组织对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中央专项彩票公益金支持乡村学校少年宫经费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政府性基金预算项目支出开展绩效自评，共涉及资金</w:t>
      </w:r>
      <w:r>
        <w:rPr>
          <w:rFonts w:hint="eastAsia" w:ascii="仿宋" w:hAnsi="仿宋" w:eastAsia="仿宋" w:cs="仿宋"/>
          <w:color w:val="auto"/>
          <w:sz w:val="32"/>
          <w:szCs w:val="32"/>
          <w:lang w:val="en-US" w:eastAsia="zh-CN"/>
        </w:rPr>
        <w:t>1.25</w:t>
      </w:r>
      <w:r>
        <w:rPr>
          <w:rFonts w:hint="eastAsia" w:ascii="仿宋" w:hAnsi="仿宋" w:eastAsia="仿宋" w:cs="仿宋"/>
          <w:color w:val="auto"/>
          <w:sz w:val="32"/>
          <w:szCs w:val="32"/>
        </w:rPr>
        <w:t>万元。本</w:t>
      </w:r>
      <w:r>
        <w:rPr>
          <w:rFonts w:hint="eastAsia" w:ascii="仿宋" w:hAnsi="仿宋" w:eastAsia="仿宋" w:cs="仿宋"/>
          <w:color w:val="auto"/>
          <w:sz w:val="32"/>
          <w:szCs w:val="32"/>
          <w:lang w:val="en-US" w:eastAsia="zh-CN"/>
        </w:rPr>
        <w:t>单位无</w:t>
      </w:r>
      <w:r>
        <w:rPr>
          <w:rFonts w:hint="eastAsia" w:ascii="仿宋" w:hAnsi="仿宋" w:eastAsia="仿宋" w:cs="仿宋"/>
          <w:color w:val="auto"/>
          <w:sz w:val="32"/>
          <w:szCs w:val="32"/>
        </w:rPr>
        <w:t>国有资本经营预算项目</w:t>
      </w:r>
      <w:r>
        <w:rPr>
          <w:rFonts w:hint="eastAsia" w:ascii="仿宋" w:hAnsi="仿宋" w:eastAsia="仿宋" w:cs="仿宋"/>
          <w:color w:val="auto"/>
          <w:sz w:val="32"/>
          <w:szCs w:val="32"/>
          <w:lang w:eastAsia="zh-CN"/>
        </w:rPr>
        <w:t>，</w:t>
      </w:r>
      <w:r>
        <w:rPr>
          <w:rFonts w:hint="eastAsia" w:ascii="仿宋" w:hAnsi="仿宋" w:eastAsia="仿宋" w:cs="仿宋"/>
          <w:color w:val="000000" w:themeColor="text1"/>
          <w:sz w:val="32"/>
          <w:szCs w:val="32"/>
          <w:lang w:val="en-US" w:eastAsia="zh-CN"/>
          <w14:textFill>
            <w14:solidFill>
              <w14:schemeClr w14:val="tx1"/>
            </w14:solidFill>
          </w14:textFill>
        </w:rPr>
        <w:t>故未</w:t>
      </w:r>
      <w:r>
        <w:rPr>
          <w:rFonts w:hint="eastAsia" w:ascii="仿宋" w:hAnsi="仿宋" w:eastAsia="仿宋" w:cs="仿宋"/>
          <w:color w:val="000000" w:themeColor="text1"/>
          <w:sz w:val="32"/>
          <w:szCs w:val="32"/>
          <w14:textFill>
            <w14:solidFill>
              <w14:schemeClr w14:val="tx1"/>
            </w14:solidFill>
          </w14:textFill>
        </w:rPr>
        <w:t>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度有资本经营预算项目支出开展绩效自评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组织对“全县校园安全保卫经费”等</w:t>
      </w:r>
      <w:r>
        <w:rPr>
          <w:rFonts w:hint="eastAsia" w:ascii="仿宋" w:hAnsi="仿宋" w:eastAsia="仿宋" w:cs="仿宋"/>
          <w:color w:val="000000" w:themeColor="text1"/>
          <w:sz w:val="32"/>
          <w:szCs w:val="32"/>
          <w:lang w:val="en-US" w:eastAsia="zh-CN"/>
          <w14:textFill>
            <w14:solidFill>
              <w14:schemeClr w14:val="tx1"/>
            </w14:solidFill>
          </w14:textFill>
        </w:rPr>
        <w:t>19</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483.02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1.25</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sz w:val="32"/>
          <w:szCs w:val="32"/>
          <w:lang w:val="en-US" w:eastAsia="zh-CN"/>
        </w:rPr>
        <w:t>项目立项较为规范，绩效目标明确，预算编制合理，管理科学规范，资金到位及时。但个别项目如班主任津贴等由于材料整理不及时未能按时支出。总体完成情况较好，基本达到预期绩效目标。</w:t>
      </w:r>
      <w:bookmarkStart w:id="6" w:name="_GoBack"/>
      <w:bookmarkEnd w:id="6"/>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万元。本单位为二级</w:t>
      </w:r>
      <w:r>
        <w:rPr>
          <w:rFonts w:hint="eastAsia" w:ascii="仿宋" w:hAnsi="仿宋" w:eastAsia="仿宋" w:cs="仿宋"/>
          <w:color w:val="000000" w:themeColor="text1"/>
          <w:sz w:val="32"/>
          <w:szCs w:val="32"/>
          <w:lang w:val="en-US" w:eastAsia="zh-CN"/>
          <w14:textFill>
            <w14:solidFill>
              <w14:schemeClr w14:val="tx1"/>
            </w14:solidFill>
          </w14:textFill>
        </w:rPr>
        <w:t>预算</w:t>
      </w:r>
      <w:r>
        <w:rPr>
          <w:rFonts w:hint="eastAsia" w:ascii="仿宋" w:hAnsi="仿宋" w:eastAsia="仿宋" w:cs="仿宋"/>
          <w:color w:val="000000" w:themeColor="text1"/>
          <w:sz w:val="32"/>
          <w:szCs w:val="32"/>
          <w14:textFill>
            <w14:solidFill>
              <w14:schemeClr w14:val="tx1"/>
            </w14:solidFill>
          </w14:textFill>
        </w:rPr>
        <w:t>单位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不开展整体绩效评价。</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我部门根据年初设定的绩效目标，班主任津贴项目自评得分为</w:t>
      </w:r>
      <w:r>
        <w:rPr>
          <w:rFonts w:hint="eastAsia" w:ascii="仿宋" w:hAnsi="仿宋" w:eastAsia="仿宋" w:cs="仿宋"/>
          <w:color w:val="auto"/>
          <w:sz w:val="32"/>
          <w:szCs w:val="32"/>
          <w:lang w:val="en-US" w:eastAsia="zh-CN"/>
        </w:rPr>
        <w:t>76.04</w:t>
      </w:r>
      <w:r>
        <w:rPr>
          <w:rFonts w:hint="eastAsia" w:ascii="仿宋" w:hAnsi="仿宋" w:eastAsia="仿宋" w:cs="仿宋"/>
          <w:color w:val="auto"/>
          <w:sz w:val="32"/>
          <w:szCs w:val="32"/>
        </w:rPr>
        <w:t>分。发现的主要问题及原因：一是执行率小；二是因为疫情提前放假没有及时支付。下一步改进措施：一是按时支付，不跨年；二是把握财务制度流程，规范执行。</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自治区公用经费项目自评得分为</w:t>
      </w:r>
      <w:r>
        <w:rPr>
          <w:rFonts w:hint="eastAsia" w:ascii="仿宋" w:hAnsi="仿宋" w:eastAsia="仿宋" w:cs="仿宋"/>
          <w:color w:val="auto"/>
          <w:sz w:val="32"/>
          <w:szCs w:val="32"/>
          <w:lang w:val="en-US" w:eastAsia="zh-CN"/>
        </w:rPr>
        <w:t>89.12</w:t>
      </w:r>
      <w:r>
        <w:rPr>
          <w:rFonts w:hint="eastAsia" w:ascii="仿宋" w:hAnsi="仿宋" w:eastAsia="仿宋" w:cs="仿宋"/>
          <w:color w:val="auto"/>
          <w:sz w:val="32"/>
          <w:szCs w:val="32"/>
        </w:rPr>
        <w:t>分。发现的主要问题及原因：一是执行率低；二是没有协调好年初预算。下一步改进措施：一是做好年初预算；二是充分实施项目，提高执行率。</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义务教育中央公用经费项目自评得分为</w:t>
      </w:r>
      <w:r>
        <w:rPr>
          <w:rFonts w:hint="eastAsia" w:ascii="仿宋" w:hAnsi="仿宋" w:eastAsia="仿宋" w:cs="仿宋"/>
          <w:color w:val="auto"/>
          <w:sz w:val="32"/>
          <w:szCs w:val="32"/>
          <w:lang w:val="en-US" w:eastAsia="zh-CN"/>
        </w:rPr>
        <w:t>86.46</w:t>
      </w:r>
      <w:r>
        <w:rPr>
          <w:rFonts w:hint="eastAsia" w:ascii="仿宋" w:hAnsi="仿宋" w:eastAsia="仿宋" w:cs="仿宋"/>
          <w:color w:val="auto"/>
          <w:sz w:val="32"/>
          <w:szCs w:val="32"/>
        </w:rPr>
        <w:t>分。发现的主要问题及原因：一是执行率偏低；二是疫情提前放假。下一步改进措施：一是利用好项目资金规划；二是发展需要的办公活动。</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六一儿童节慰问金项目自评得分为</w:t>
      </w:r>
      <w:r>
        <w:rPr>
          <w:rFonts w:hint="eastAsia" w:ascii="仿宋" w:hAnsi="仿宋" w:eastAsia="仿宋" w:cs="仿宋"/>
          <w:color w:val="auto"/>
          <w:sz w:val="32"/>
          <w:szCs w:val="32"/>
          <w:lang w:val="en-US" w:eastAsia="zh-CN"/>
        </w:rPr>
        <w:t>80</w:t>
      </w:r>
      <w:r>
        <w:rPr>
          <w:rFonts w:hint="eastAsia" w:ascii="仿宋" w:hAnsi="仿宋" w:eastAsia="仿宋" w:cs="仿宋"/>
          <w:color w:val="auto"/>
          <w:sz w:val="32"/>
          <w:szCs w:val="32"/>
        </w:rPr>
        <w:t>分。发现的主要问题及原因：一是执行率偏低。下一步改进措施：一是利用好项目资金规划；二是发展需要的办公活动。</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一次性抚恤金项目自评得分为</w:t>
      </w:r>
      <w:r>
        <w:rPr>
          <w:rFonts w:hint="eastAsia" w:ascii="仿宋" w:hAnsi="仿宋" w:eastAsia="仿宋" w:cs="仿宋"/>
          <w:color w:val="auto"/>
          <w:sz w:val="32"/>
          <w:szCs w:val="32"/>
          <w:lang w:val="en-US" w:eastAsia="zh-CN"/>
        </w:rPr>
        <w:t>95.25</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eastAsia="zh-CN"/>
        </w:rPr>
        <w:t>2022年下达该项目446897.1元，项目成本不仅含本年度数额，</w:t>
      </w:r>
      <w:r>
        <w:rPr>
          <w:rFonts w:hint="eastAsia" w:ascii="仿宋" w:hAnsi="仿宋" w:eastAsia="仿宋" w:cs="仿宋"/>
          <w:color w:val="auto"/>
          <w:sz w:val="32"/>
          <w:szCs w:val="32"/>
          <w:lang w:val="en-US" w:eastAsia="zh-CN"/>
        </w:rPr>
        <w:t>预算数过高。</w:t>
      </w:r>
      <w:r>
        <w:rPr>
          <w:rFonts w:hint="eastAsia" w:ascii="仿宋" w:hAnsi="仿宋" w:eastAsia="仿宋" w:cs="仿宋"/>
          <w:color w:val="auto"/>
          <w:sz w:val="32"/>
          <w:szCs w:val="32"/>
        </w:rPr>
        <w:t>下一步改进措施：一是做好年初预算；二是充分实施项目，提高执行率。</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奖励性补贴项目自评得分为</w:t>
      </w:r>
      <w:r>
        <w:rPr>
          <w:rFonts w:hint="eastAsia" w:ascii="仿宋" w:hAnsi="仿宋" w:eastAsia="仿宋" w:cs="仿宋"/>
          <w:color w:val="auto"/>
          <w:sz w:val="32"/>
          <w:szCs w:val="32"/>
          <w:lang w:val="en-US" w:eastAsia="zh-CN"/>
        </w:rPr>
        <w:t>99.81</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因退休、特岗合同到期人员发生变动，年初预算高于实际支出。</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提前做好人员退休、合同到期预测，提高年初预算准确性。</w:t>
      </w:r>
    </w:p>
    <w:p>
      <w:pPr>
        <w:ind w:firstLine="640" w:firstLineChars="200"/>
        <w:jc w:val="left"/>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食堂钟点工补贴资金</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96.58</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年初预算高于实际支出。</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利用好项目资金规划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提高年初预算准确性。</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伙食补助</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96.58</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执行率100%，无问题。</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自治区级乡村教师生活补助</w:t>
      </w:r>
      <w:r>
        <w:rPr>
          <w:rFonts w:hint="eastAsia" w:ascii="仿宋" w:hAnsi="仿宋" w:eastAsia="仿宋" w:cs="仿宋"/>
          <w:color w:val="auto"/>
          <w:sz w:val="32"/>
          <w:szCs w:val="32"/>
        </w:rPr>
        <w:t>自评得分为</w:t>
      </w:r>
      <w:r>
        <w:rPr>
          <w:rFonts w:hint="eastAsia" w:ascii="仿宋" w:hAnsi="仿宋" w:eastAsia="仿宋" w:cs="仿宋"/>
          <w:color w:val="auto"/>
          <w:sz w:val="32"/>
          <w:szCs w:val="32"/>
          <w:lang w:val="en-US" w:eastAsia="zh-CN"/>
        </w:rPr>
        <w:t>98.58</w:t>
      </w:r>
      <w:r>
        <w:rPr>
          <w:rFonts w:hint="eastAsia" w:ascii="仿宋" w:hAnsi="仿宋" w:eastAsia="仿宋" w:cs="仿宋"/>
          <w:color w:val="auto"/>
          <w:sz w:val="32"/>
          <w:szCs w:val="32"/>
        </w:rPr>
        <w:t>分</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学校该项目还有上年度指标结转，从而优先使用上年度结转指标支付。</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无措施。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营养改善计划膳食补助资金项目自评得分为</w:t>
      </w:r>
      <w:r>
        <w:rPr>
          <w:rFonts w:hint="eastAsia" w:ascii="仿宋" w:hAnsi="仿宋" w:eastAsia="仿宋" w:cs="仿宋"/>
          <w:color w:val="auto"/>
          <w:sz w:val="32"/>
          <w:szCs w:val="32"/>
          <w:lang w:val="en-US" w:eastAsia="zh-CN"/>
        </w:rPr>
        <w:t>98.91</w:t>
      </w:r>
      <w:r>
        <w:rPr>
          <w:rFonts w:hint="eastAsia" w:ascii="仿宋" w:hAnsi="仿宋" w:eastAsia="仿宋" w:cs="仿宋"/>
          <w:color w:val="auto"/>
          <w:sz w:val="32"/>
          <w:szCs w:val="32"/>
        </w:rPr>
        <w:t>分。发现的主要问题及原因：一是学生人数不稳定；二是学生人数减少。下一步改进措施：一是做好年中调整；二是把握学生人数。</w:t>
      </w:r>
    </w:p>
    <w:p>
      <w:pPr>
        <w:ind w:firstLine="640" w:firstLineChars="200"/>
        <w:jc w:val="left"/>
        <w:rPr>
          <w:rFonts w:hint="eastAsia" w:ascii="仿宋" w:hAnsi="仿宋" w:eastAsia="仿宋" w:cs="仿宋"/>
          <w:color w:val="auto"/>
          <w:sz w:val="32"/>
          <w:szCs w:val="32"/>
        </w:rPr>
      </w:pPr>
      <w:r>
        <w:rPr>
          <w:rFonts w:hint="default" w:ascii="仿宋" w:hAnsi="仿宋" w:eastAsia="仿宋" w:cs="仿宋"/>
          <w:color w:val="auto"/>
          <w:sz w:val="32"/>
          <w:szCs w:val="32"/>
          <w:lang w:val="en-US" w:eastAsia="zh-CN"/>
        </w:rPr>
        <w:t>中央专项彩票公益金支持乡村学校少年宫经费</w:t>
      </w:r>
      <w:r>
        <w:rPr>
          <w:rFonts w:hint="eastAsia" w:ascii="仿宋" w:hAnsi="仿宋" w:eastAsia="仿宋" w:cs="仿宋"/>
          <w:color w:val="auto"/>
          <w:sz w:val="32"/>
          <w:szCs w:val="32"/>
        </w:rPr>
        <w:t>自评得分为</w:t>
      </w:r>
      <w:r>
        <w:rPr>
          <w:rFonts w:hint="eastAsia" w:ascii="仿宋" w:hAnsi="仿宋" w:eastAsia="仿宋" w:cs="仿宋"/>
          <w:color w:val="auto"/>
          <w:sz w:val="32"/>
          <w:szCs w:val="32"/>
          <w:lang w:val="en-US" w:eastAsia="zh-CN"/>
        </w:rPr>
        <w:t>94.96</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未能及时整理材料，及时支付。</w:t>
      </w:r>
      <w:r>
        <w:rPr>
          <w:rFonts w:hint="eastAsia" w:ascii="仿宋" w:hAnsi="仿宋" w:eastAsia="仿宋" w:cs="仿宋"/>
          <w:color w:val="auto"/>
          <w:sz w:val="32"/>
          <w:szCs w:val="32"/>
        </w:rPr>
        <w:t>下一步改进措施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一是</w:t>
      </w:r>
      <w:r>
        <w:rPr>
          <w:rFonts w:hint="eastAsia" w:ascii="仿宋" w:hAnsi="仿宋" w:eastAsia="仿宋" w:cs="仿宋"/>
          <w:color w:val="auto"/>
          <w:sz w:val="32"/>
          <w:szCs w:val="32"/>
          <w:lang w:val="en-US" w:eastAsia="zh-CN"/>
        </w:rPr>
        <w:t>持续关注项目进度，</w:t>
      </w:r>
      <w:r>
        <w:rPr>
          <w:rFonts w:hint="eastAsia" w:ascii="仿宋" w:hAnsi="仿宋" w:eastAsia="仿宋" w:cs="仿宋"/>
          <w:color w:val="auto"/>
          <w:sz w:val="32"/>
          <w:szCs w:val="32"/>
        </w:rPr>
        <w:t>按时支付；二是把握财务制度流程，规范执行。</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auto"/>
          <w:sz w:val="32"/>
          <w:szCs w:val="32"/>
          <w:lang w:val="en-US" w:eastAsia="zh-CN"/>
        </w:rPr>
        <w:t>全县校园安全保卫经费</w:t>
      </w:r>
      <w:r>
        <w:rPr>
          <w:rFonts w:hint="eastAsia" w:ascii="仿宋" w:hAnsi="仿宋" w:eastAsia="仿宋" w:cs="仿宋"/>
          <w:color w:val="auto"/>
          <w:sz w:val="32"/>
          <w:szCs w:val="32"/>
        </w:rPr>
        <w:t>项目自评得分为</w:t>
      </w:r>
      <w:r>
        <w:rPr>
          <w:rFonts w:hint="eastAsia" w:ascii="仿宋" w:hAnsi="仿宋" w:eastAsia="仿宋" w:cs="仿宋"/>
          <w:color w:val="auto"/>
          <w:sz w:val="32"/>
          <w:szCs w:val="32"/>
          <w:lang w:val="en-US" w:eastAsia="zh-CN"/>
        </w:rPr>
        <w:t>93.33</w:t>
      </w:r>
      <w:r>
        <w:rPr>
          <w:rFonts w:hint="eastAsia" w:ascii="仿宋" w:hAnsi="仿宋" w:eastAsia="仿宋" w:cs="仿宋"/>
          <w:color w:val="auto"/>
          <w:sz w:val="32"/>
          <w:szCs w:val="32"/>
        </w:rPr>
        <w:t>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发现的主要问题及原因：</w:t>
      </w:r>
      <w:r>
        <w:rPr>
          <w:rFonts w:hint="eastAsia" w:ascii="仿宋" w:hAnsi="仿宋" w:eastAsia="仿宋" w:cs="仿宋"/>
          <w:color w:val="auto"/>
          <w:sz w:val="32"/>
          <w:szCs w:val="32"/>
          <w:lang w:val="en-US" w:eastAsia="zh-CN"/>
        </w:rPr>
        <w:t>年初预算发放10个月工资，实际按在职月数发放，执行率未达目标。</w:t>
      </w:r>
      <w:r>
        <w:rPr>
          <w:rFonts w:hint="eastAsia" w:ascii="仿宋" w:hAnsi="仿宋" w:eastAsia="仿宋" w:cs="仿宋"/>
          <w:color w:val="auto"/>
          <w:sz w:val="32"/>
          <w:szCs w:val="32"/>
        </w:rPr>
        <w:t>下一步改进措施：</w:t>
      </w:r>
      <w:r>
        <w:rPr>
          <w:rFonts w:hint="eastAsia" w:ascii="仿宋" w:hAnsi="仿宋" w:eastAsia="仿宋" w:cs="仿宋"/>
          <w:color w:val="000000" w:themeColor="text1"/>
          <w:sz w:val="32"/>
          <w:szCs w:val="32"/>
          <w14:textFill>
            <w14:solidFill>
              <w14:schemeClr w14:val="tx1"/>
            </w14:solidFill>
          </w14:textFill>
        </w:rPr>
        <w:t>一是做好年中调整；</w:t>
      </w:r>
      <w:r>
        <w:rPr>
          <w:rFonts w:hint="eastAsia" w:ascii="仿宋" w:hAnsi="仿宋" w:eastAsia="仿宋" w:cs="仿宋"/>
          <w:color w:val="000000" w:themeColor="text1"/>
          <w:sz w:val="32"/>
          <w:szCs w:val="32"/>
          <w:lang w:val="en-US" w:eastAsia="zh-CN"/>
          <w14:textFill>
            <w14:solidFill>
              <w14:schemeClr w14:val="tx1"/>
            </w14:solidFill>
          </w14:textFill>
        </w:rPr>
        <w:t>二是完善资金管理制度，充分使用资金。</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default" w:ascii="仿宋" w:hAnsi="仿宋" w:eastAsia="仿宋" w:cs="仿宋"/>
          <w:color w:val="000000" w:themeColor="text1"/>
          <w:sz w:val="32"/>
          <w:szCs w:val="32"/>
          <w:lang w:val="en-US" w:eastAsia="zh-CN"/>
          <w14:textFill>
            <w14:solidFill>
              <w14:schemeClr w14:val="tx1"/>
            </w14:solidFill>
          </w14:textFill>
        </w:rPr>
        <w:t>明伦镇中心小学2021年预算经费(门面租金)(2021年底收回指标)</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93.76</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发现的主要问题及原因：一是</w:t>
      </w:r>
      <w:r>
        <w:rPr>
          <w:rFonts w:hint="eastAsia" w:ascii="仿宋" w:hAnsi="仿宋" w:eastAsia="仿宋" w:cs="仿宋"/>
          <w:color w:val="000000" w:themeColor="text1"/>
          <w:sz w:val="32"/>
          <w:szCs w:val="32"/>
          <w:lang w:val="en-US" w:eastAsia="zh-CN"/>
          <w14:textFill>
            <w14:solidFill>
              <w14:schemeClr w14:val="tx1"/>
            </w14:solidFill>
          </w14:textFill>
        </w:rPr>
        <w:t>资金未充分使用</w:t>
      </w:r>
      <w:r>
        <w:rPr>
          <w:rFonts w:hint="eastAsia" w:ascii="仿宋" w:hAnsi="仿宋" w:eastAsia="仿宋" w:cs="仿宋"/>
          <w:color w:val="000000" w:themeColor="text1"/>
          <w:sz w:val="32"/>
          <w:szCs w:val="32"/>
          <w14:textFill>
            <w14:solidFill>
              <w14:schemeClr w14:val="tx1"/>
            </w14:solidFill>
          </w14:textFill>
        </w:rPr>
        <w:t>；二是预算和执行偏差。下一步改进措施：</w:t>
      </w:r>
      <w:r>
        <w:rPr>
          <w:rFonts w:hint="eastAsia" w:ascii="仿宋" w:hAnsi="仿宋" w:eastAsia="仿宋" w:cs="仿宋"/>
          <w:color w:val="000000" w:themeColor="text1"/>
          <w:sz w:val="32"/>
          <w:szCs w:val="32"/>
          <w:lang w:val="en-US" w:eastAsia="zh-CN"/>
          <w14:textFill>
            <w14:solidFill>
              <w14:schemeClr w14:val="tx1"/>
            </w14:solidFill>
          </w14:textFill>
        </w:rPr>
        <w:t>持续跟进项目进度，</w:t>
      </w:r>
      <w:r>
        <w:rPr>
          <w:rFonts w:hint="eastAsia" w:ascii="仿宋" w:hAnsi="仿宋" w:eastAsia="仿宋" w:cs="仿宋"/>
          <w:color w:val="000000" w:themeColor="text1"/>
          <w:sz w:val="32"/>
          <w:szCs w:val="32"/>
          <w14:textFill>
            <w14:solidFill>
              <w14:schemeClr w14:val="tx1"/>
            </w14:solidFill>
          </w14:textFill>
        </w:rPr>
        <w:t>做好项目调整。</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color w:val="000000" w:themeColor="text1"/>
          <w:sz w:val="32"/>
          <w:szCs w:val="32"/>
          <w14:textFill>
            <w14:solidFill>
              <w14:schemeClr w14:val="tx1"/>
            </w14:solidFill>
          </w14:textFill>
        </w:rPr>
        <w:t>全县校长绩效工资项目自评得分为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明伦小学蒙万英一次性抚恤金项目自评得分为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；特岗教师工资</w:t>
      </w:r>
      <w:r>
        <w:rPr>
          <w:rFonts w:hint="eastAsia" w:ascii="仿宋" w:hAnsi="仿宋" w:eastAsia="仿宋" w:cs="仿宋"/>
          <w:color w:val="000000" w:themeColor="text1"/>
          <w:sz w:val="32"/>
          <w:szCs w:val="32"/>
          <w14:textFill>
            <w14:solidFill>
              <w14:schemeClr w14:val="tx1"/>
            </w14:solidFill>
          </w14:textFill>
        </w:rPr>
        <w:t>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；教师节经费</w:t>
      </w:r>
      <w:r>
        <w:rPr>
          <w:rFonts w:hint="eastAsia" w:ascii="仿宋" w:hAnsi="仿宋" w:eastAsia="仿宋" w:cs="仿宋"/>
          <w:color w:val="000000" w:themeColor="text1"/>
          <w:sz w:val="32"/>
          <w:szCs w:val="32"/>
          <w14:textFill>
            <w14:solidFill>
              <w14:schemeClr w14:val="tx1"/>
            </w14:solidFill>
          </w14:textFill>
        </w:rPr>
        <w:t>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；义务教育阶段家庭经济困难学生生活中央补助资金</w:t>
      </w:r>
      <w:r>
        <w:rPr>
          <w:rFonts w:hint="eastAsia" w:ascii="仿宋" w:hAnsi="仿宋" w:eastAsia="仿宋" w:cs="仿宋"/>
          <w:color w:val="000000" w:themeColor="text1"/>
          <w:sz w:val="32"/>
          <w:szCs w:val="32"/>
          <w14:textFill>
            <w14:solidFill>
              <w14:schemeClr w14:val="tx1"/>
            </w14:solidFill>
          </w14:textFill>
        </w:rPr>
        <w:t>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；明伦镇中心小学2022年年初预算经费(门面租金)</w:t>
      </w:r>
      <w:r>
        <w:rPr>
          <w:rFonts w:hint="eastAsia" w:ascii="仿宋" w:hAnsi="仿宋" w:eastAsia="仿宋" w:cs="仿宋"/>
          <w:color w:val="000000" w:themeColor="text1"/>
          <w:sz w:val="32"/>
          <w:szCs w:val="32"/>
          <w14:textFill>
            <w14:solidFill>
              <w14:schemeClr w14:val="tx1"/>
            </w14:solidFill>
          </w14:textFill>
        </w:rPr>
        <w:t>项目自评得分为</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以上几个项目完成情况良好，无问题。</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3501C900"/>
    <w:multiLevelType w:val="singleLevel"/>
    <w:tmpl w:val="3501C900"/>
    <w:lvl w:ilvl="0" w:tentative="0">
      <w:start w:val="1"/>
      <w:numFmt w:val="chineseCounting"/>
      <w:suff w:val="nothing"/>
      <w:lvlText w:val="（%1）"/>
      <w:lvlJc w:val="left"/>
      <w:rPr>
        <w:rFonts w:hint="eastAsia"/>
        <w:color w:val="auto"/>
      </w:rPr>
    </w:lvl>
  </w:abstractNum>
  <w:abstractNum w:abstractNumId="3">
    <w:nsid w:val="39BF7DB9"/>
    <w:multiLevelType w:val="singleLevel"/>
    <w:tmpl w:val="39BF7DB9"/>
    <w:lvl w:ilvl="0" w:tentative="0">
      <w:start w:val="5"/>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NmExNGVlZWYzNGFmMjM5OTM1YTUzMGE1M2Q0OW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991"/>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A7CA7"/>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2F92D08"/>
    <w:rsid w:val="03C52BEB"/>
    <w:rsid w:val="04E54546"/>
    <w:rsid w:val="05992762"/>
    <w:rsid w:val="05F652DD"/>
    <w:rsid w:val="07B0770E"/>
    <w:rsid w:val="08CE2541"/>
    <w:rsid w:val="0942143F"/>
    <w:rsid w:val="0AB17A25"/>
    <w:rsid w:val="0D100297"/>
    <w:rsid w:val="0D202B45"/>
    <w:rsid w:val="0DED346A"/>
    <w:rsid w:val="0F8D4C87"/>
    <w:rsid w:val="10505FAA"/>
    <w:rsid w:val="105F7E7E"/>
    <w:rsid w:val="11423ACC"/>
    <w:rsid w:val="11E56B5B"/>
    <w:rsid w:val="125C77AB"/>
    <w:rsid w:val="14CB726E"/>
    <w:rsid w:val="14E153AA"/>
    <w:rsid w:val="16465E0D"/>
    <w:rsid w:val="17E92249"/>
    <w:rsid w:val="18D304F1"/>
    <w:rsid w:val="19F32577"/>
    <w:rsid w:val="19F45B80"/>
    <w:rsid w:val="1B0C078D"/>
    <w:rsid w:val="1B100ADA"/>
    <w:rsid w:val="1B2B31E2"/>
    <w:rsid w:val="1B4C295A"/>
    <w:rsid w:val="1B973C63"/>
    <w:rsid w:val="1BA1001E"/>
    <w:rsid w:val="1BAA4748"/>
    <w:rsid w:val="1BCA6B98"/>
    <w:rsid w:val="1D317259"/>
    <w:rsid w:val="1E664F5B"/>
    <w:rsid w:val="1EB34BE1"/>
    <w:rsid w:val="1F1C2FBB"/>
    <w:rsid w:val="20D02EA3"/>
    <w:rsid w:val="2120725A"/>
    <w:rsid w:val="215E639F"/>
    <w:rsid w:val="21EC3183"/>
    <w:rsid w:val="225E72CD"/>
    <w:rsid w:val="226F2247"/>
    <w:rsid w:val="229972C4"/>
    <w:rsid w:val="246E2F77"/>
    <w:rsid w:val="254B4E2B"/>
    <w:rsid w:val="27CF46D7"/>
    <w:rsid w:val="283D7C94"/>
    <w:rsid w:val="29480E03"/>
    <w:rsid w:val="2983634D"/>
    <w:rsid w:val="2BB02055"/>
    <w:rsid w:val="2C575A56"/>
    <w:rsid w:val="2F257714"/>
    <w:rsid w:val="2F3275E5"/>
    <w:rsid w:val="2FEA0CDC"/>
    <w:rsid w:val="30AA08EF"/>
    <w:rsid w:val="30D23D1C"/>
    <w:rsid w:val="30D77936"/>
    <w:rsid w:val="31221CF5"/>
    <w:rsid w:val="31400178"/>
    <w:rsid w:val="31772EC7"/>
    <w:rsid w:val="318B6972"/>
    <w:rsid w:val="31AD0696"/>
    <w:rsid w:val="31E22A36"/>
    <w:rsid w:val="321E3342"/>
    <w:rsid w:val="327759C8"/>
    <w:rsid w:val="33185FE3"/>
    <w:rsid w:val="338960F7"/>
    <w:rsid w:val="34EE2E36"/>
    <w:rsid w:val="36777241"/>
    <w:rsid w:val="371E78D5"/>
    <w:rsid w:val="37FE1C4C"/>
    <w:rsid w:val="3821593A"/>
    <w:rsid w:val="38A951DB"/>
    <w:rsid w:val="38B31605"/>
    <w:rsid w:val="39003F4F"/>
    <w:rsid w:val="39817331"/>
    <w:rsid w:val="3AAF547F"/>
    <w:rsid w:val="3C07002B"/>
    <w:rsid w:val="3D0B24FE"/>
    <w:rsid w:val="3D0D152A"/>
    <w:rsid w:val="3D406863"/>
    <w:rsid w:val="3DD82F3F"/>
    <w:rsid w:val="3DF62756"/>
    <w:rsid w:val="3E5F18CE"/>
    <w:rsid w:val="3F1B7587"/>
    <w:rsid w:val="3F2301EA"/>
    <w:rsid w:val="3FE536F1"/>
    <w:rsid w:val="40A50BC6"/>
    <w:rsid w:val="41E57B4F"/>
    <w:rsid w:val="429F402B"/>
    <w:rsid w:val="43160791"/>
    <w:rsid w:val="432F26F6"/>
    <w:rsid w:val="433429C6"/>
    <w:rsid w:val="43880F63"/>
    <w:rsid w:val="441C5A6F"/>
    <w:rsid w:val="44C44FCC"/>
    <w:rsid w:val="44CC7369"/>
    <w:rsid w:val="457F5108"/>
    <w:rsid w:val="45ED74B3"/>
    <w:rsid w:val="46951B6B"/>
    <w:rsid w:val="49A34401"/>
    <w:rsid w:val="4A3E30AB"/>
    <w:rsid w:val="4AC14DAC"/>
    <w:rsid w:val="4D154C85"/>
    <w:rsid w:val="4D333CEE"/>
    <w:rsid w:val="4D785BA5"/>
    <w:rsid w:val="4EB35ECE"/>
    <w:rsid w:val="508F4E24"/>
    <w:rsid w:val="50A15412"/>
    <w:rsid w:val="51461E90"/>
    <w:rsid w:val="51463753"/>
    <w:rsid w:val="51B66C9C"/>
    <w:rsid w:val="52553A93"/>
    <w:rsid w:val="526B5CD8"/>
    <w:rsid w:val="53521F8B"/>
    <w:rsid w:val="53E22F47"/>
    <w:rsid w:val="54522FF8"/>
    <w:rsid w:val="54D17E9B"/>
    <w:rsid w:val="55450629"/>
    <w:rsid w:val="56692963"/>
    <w:rsid w:val="568B0F48"/>
    <w:rsid w:val="56EB73E7"/>
    <w:rsid w:val="571C1C97"/>
    <w:rsid w:val="5786217B"/>
    <w:rsid w:val="58B02697"/>
    <w:rsid w:val="58C93758"/>
    <w:rsid w:val="59337A15"/>
    <w:rsid w:val="59810274"/>
    <w:rsid w:val="5CA96A00"/>
    <w:rsid w:val="5CB73713"/>
    <w:rsid w:val="5CF730BC"/>
    <w:rsid w:val="5E5F0DCE"/>
    <w:rsid w:val="5F4E49B7"/>
    <w:rsid w:val="5FA40A7B"/>
    <w:rsid w:val="5FD56D29"/>
    <w:rsid w:val="5FEC7F3F"/>
    <w:rsid w:val="60F74BC3"/>
    <w:rsid w:val="617D3BF8"/>
    <w:rsid w:val="61841F6A"/>
    <w:rsid w:val="623007A9"/>
    <w:rsid w:val="63133F4E"/>
    <w:rsid w:val="637D7558"/>
    <w:rsid w:val="644F19AC"/>
    <w:rsid w:val="65AA4920"/>
    <w:rsid w:val="65E31D0B"/>
    <w:rsid w:val="66F347C2"/>
    <w:rsid w:val="67694F1E"/>
    <w:rsid w:val="69597934"/>
    <w:rsid w:val="6B964DDC"/>
    <w:rsid w:val="6C783074"/>
    <w:rsid w:val="6C9A7610"/>
    <w:rsid w:val="6D9E65C6"/>
    <w:rsid w:val="6DA81947"/>
    <w:rsid w:val="6DC20A4A"/>
    <w:rsid w:val="6EB66DE2"/>
    <w:rsid w:val="6ED3075F"/>
    <w:rsid w:val="6F2614AD"/>
    <w:rsid w:val="6F2A2D4B"/>
    <w:rsid w:val="6F8A0C1E"/>
    <w:rsid w:val="703F45D4"/>
    <w:rsid w:val="704E4817"/>
    <w:rsid w:val="715D6546"/>
    <w:rsid w:val="71BE069E"/>
    <w:rsid w:val="727D3192"/>
    <w:rsid w:val="73953409"/>
    <w:rsid w:val="73E069A3"/>
    <w:rsid w:val="75133BF1"/>
    <w:rsid w:val="78104AA8"/>
    <w:rsid w:val="78E257C5"/>
    <w:rsid w:val="794B35BE"/>
    <w:rsid w:val="7969B6BE"/>
    <w:rsid w:val="7B0A3A31"/>
    <w:rsid w:val="7B3360ED"/>
    <w:rsid w:val="7BDF037E"/>
    <w:rsid w:val="7BF50948"/>
    <w:rsid w:val="7CE66A78"/>
    <w:rsid w:val="7D23564C"/>
    <w:rsid w:val="7D5E062D"/>
    <w:rsid w:val="7DF76CD8"/>
    <w:rsid w:val="7F594F87"/>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8.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9.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2249.08</c:v>
                </c:pt>
                <c:pt idx="1">
                  <c:v>4.06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51.2</c:v>
                </c:pt>
                <c:pt idx="4">
                  <c:v>110.24</c:v>
                </c:pt>
                <c:pt idx="5">
                  <c:v>0</c:v>
                </c:pt>
                <c:pt idx="6">
                  <c:v>0</c:v>
                </c:pt>
                <c:pt idx="7">
                  <c:v>175.95</c:v>
                </c:pt>
                <c:pt idx="8">
                  <c:v>0</c:v>
                </c:pt>
                <c:pt idx="9">
                  <c:v>0</c:v>
                </c:pt>
                <c:pt idx="10">
                  <c:v>0</c:v>
                </c:pt>
                <c:pt idx="11">
                  <c:v>24.72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4.87</c:v>
                </c:pt>
                <c:pt idx="2">
                  <c:v>0.86</c:v>
                </c:pt>
                <c:pt idx="3">
                  <c:v>0</c:v>
                </c:pt>
                <c:pt idx="4">
                  <c:v>0</c:v>
                </c:pt>
                <c:pt idx="5">
                  <c:v>0</c:v>
                </c:pt>
                <c:pt idx="6">
                  <c:v>0</c:v>
                </c:pt>
                <c:pt idx="7">
                  <c:v>0</c:v>
                </c:pt>
                <c:pt idx="8">
                  <c:v>0</c:v>
                </c:pt>
                <c:pt idx="9">
                  <c:v>0</c:v>
                </c:pt>
                <c:pt idx="10">
                  <c:v>0</c:v>
                </c:pt>
                <c:pt idx="11">
                  <c:v>0</c:v>
                </c:pt>
                <c:pt idx="12">
                  <c:v>0</c:v>
                </c:pt>
                <c:pt idx="13">
                  <c:v>0</c:v>
                </c:pt>
                <c:pt idx="14">
                  <c:v>0</c:v>
                </c:pt>
                <c:pt idx="15">
                  <c:v>1.5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2009.95</c:v>
                </c:pt>
                <c:pt idx="2">
                  <c:v>379.56</c:v>
                </c:pt>
                <c:pt idx="3">
                  <c:v>94.01</c:v>
                </c:pt>
                <c:pt idx="4">
                  <c:v>487.81</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22</c:v>
                </c:pt>
                <c:pt idx="1">
                  <c:v>1667.81</c:v>
                </c:pt>
                <c:pt idx="2">
                  <c:v>158.12</c:v>
                </c:pt>
                <c:pt idx="3">
                  <c:v>119.44</c:v>
                </c:pt>
                <c:pt idx="4">
                  <c:v>285.77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22</c:v>
                </c:pt>
                <c:pt idx="1">
                  <c:v>22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2050202</c:v>
                </c:pt>
                <c:pt idx="1">
                  <c:v>2050299</c:v>
                </c:pt>
                <c:pt idx="2">
                  <c:v>2050999</c:v>
                </c:pt>
                <c:pt idx="3">
                  <c:v>205x</c:v>
                </c:pt>
              </c:strCache>
            </c:strRef>
          </c:cat>
          <c:val>
            <c:numRef>
              <c:f>Sheet1!$B$2:$B$5</c:f>
              <c:numCache>
                <c:formatCode>General</c:formatCode>
                <c:ptCount val="4"/>
                <c:pt idx="0">
                  <c:v>1593.66</c:v>
                </c:pt>
                <c:pt idx="1">
                  <c:v>73.61</c:v>
                </c:pt>
                <c:pt idx="2">
                  <c:v>0.54</c:v>
                </c:pt>
                <c:pt idx="3">
                  <c:v>1667.81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158.12</c:v>
                </c:pt>
                <c:pt idx="1">
                  <c:v>158.12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119.44</c:v>
                </c:pt>
                <c:pt idx="1">
                  <c:v>119.44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281.71</c:v>
                </c:pt>
                <c:pt idx="1">
                  <c:v>281.71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651.66</c:v>
                </c:pt>
                <c:pt idx="1">
                  <c:v>111.97</c:v>
                </c:pt>
                <c:pt idx="2">
                  <c:v>330.66</c:v>
                </c:pt>
                <c:pt idx="3">
                  <c:v>0</c:v>
                </c:pt>
                <c:pt idx="4">
                  <c:v>263.74</c:v>
                </c:pt>
                <c:pt idx="5">
                  <c:v>158.12</c:v>
                </c:pt>
                <c:pt idx="6">
                  <c:v>0</c:v>
                </c:pt>
                <c:pt idx="7">
                  <c:v>77.91</c:v>
                </c:pt>
                <c:pt idx="8">
                  <c:v>0</c:v>
                </c:pt>
                <c:pt idx="9">
                  <c:v>8.89</c:v>
                </c:pt>
                <c:pt idx="10">
                  <c:v>119.44</c:v>
                </c:pt>
                <c:pt idx="11">
                  <c:v>0</c:v>
                </c:pt>
                <c:pt idx="12">
                  <c:v>10.01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19.39</c:v>
                </c:pt>
                <c:pt idx="1">
                  <c:v>0</c:v>
                </c:pt>
                <c:pt idx="2">
                  <c:v>0</c:v>
                </c:pt>
                <c:pt idx="3">
                  <c:v>0</c:v>
                </c:pt>
                <c:pt idx="4">
                  <c:v>3.16</c:v>
                </c:pt>
                <c:pt idx="5">
                  <c:v>4.79</c:v>
                </c:pt>
                <c:pt idx="6">
                  <c:v>3.05</c:v>
                </c:pt>
                <c:pt idx="7">
                  <c:v>0</c:v>
                </c:pt>
                <c:pt idx="8">
                  <c:v>0.37</c:v>
                </c:pt>
                <c:pt idx="9">
                  <c:v>6.67</c:v>
                </c:pt>
                <c:pt idx="10">
                  <c:v>0</c:v>
                </c:pt>
                <c:pt idx="11">
                  <c:v>2.98</c:v>
                </c:pt>
                <c:pt idx="12">
                  <c:v>0</c:v>
                </c:pt>
                <c:pt idx="13">
                  <c:v>0</c:v>
                </c:pt>
                <c:pt idx="14">
                  <c:v>0</c:v>
                </c:pt>
                <c:pt idx="15">
                  <c:v>0</c:v>
                </c:pt>
                <c:pt idx="16">
                  <c:v>0</c:v>
                </c:pt>
                <c:pt idx="17">
                  <c:v>0</c:v>
                </c:pt>
                <c:pt idx="18">
                  <c:v>0</c:v>
                </c:pt>
                <c:pt idx="19">
                  <c:v>5.37</c:v>
                </c:pt>
                <c:pt idx="20">
                  <c:v>0</c:v>
                </c:pt>
                <c:pt idx="21">
                  <c:v>22</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2023-11-29T01:45:04Z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8503EFE0FE7E4B58893D79BF3744617C_13</vt:lpwstr>
  </property>
</Properties>
</file>