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环江毛南族自治县东兴镇中心幼儿园2022年度部门决算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640" w:firstLineChars="600"/>
        <w:jc w:val="left"/>
        <w:rPr>
          <w:rFonts w:hint="default"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单位负责人：欧杏兹</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center"/>
        <w:rPr>
          <w:rFonts w:ascii="黑体" w:hAnsi="黑体" w:eastAsia="黑体" w:cs="黑体"/>
          <w:b/>
          <w:bCs/>
          <w:sz w:val="36"/>
          <w:szCs w:val="36"/>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环江毛南族自治县东兴镇中心幼儿园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hint="eastAsia" w:ascii="仿宋" w:hAnsi="仿宋" w:eastAsia="仿宋" w:cs="仿宋"/>
          <w:color w:val="FF0000"/>
          <w:sz w:val="32"/>
          <w:szCs w:val="32"/>
          <w:lang w:val="en-US" w:eastAsia="zh-CN"/>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184.48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184.48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184.48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54.27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130.21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166.04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184.48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184.48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184.48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184.48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54.27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130.21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环江毛南族自治县东兴镇中心幼儿园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184.48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w:t>
      </w:r>
      <w:r>
        <w:rPr>
          <w:rFonts w:hint="eastAsia" w:ascii="仿宋" w:hAnsi="仿宋" w:eastAsia="仿宋" w:cs="仿宋"/>
          <w:sz w:val="32"/>
          <w:szCs w:val="32"/>
          <w:highlight w:val="none"/>
        </w:rPr>
        <w:t>万元，</w:t>
      </w:r>
      <w:r>
        <w:rPr>
          <w:rFonts w:ascii="仿宋" w:hAnsi="仿宋" w:eastAsia="仿宋" w:cs="仿宋"/>
          <w:sz w:val="32"/>
          <w:u w:color="auto"/>
        </w:rPr>
        <w:t>增长23.44%</w:t>
      </w:r>
      <w:r>
        <w:rPr>
          <w:rFonts w:hint="eastAsia" w:ascii="仿宋" w:hAnsi="仿宋" w:eastAsia="仿宋" w:cs="仿宋"/>
          <w:sz w:val="32"/>
          <w:szCs w:val="32"/>
          <w:highlight w:val="none"/>
        </w:rPr>
        <w:t>，其中本年收入</w:t>
      </w:r>
      <w:r>
        <w:rPr>
          <w:rFonts w:ascii="仿宋" w:hAnsi="仿宋" w:eastAsia="仿宋" w:cs="仿宋"/>
          <w:sz w:val="32"/>
          <w:u w:color="auto"/>
        </w:rPr>
        <w:t>184.48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184.48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增加38.81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增长26.64%</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主要原因：本部门2022年度新增6名公招教师控制数，2022年度调整工资标准。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减少3.78</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2420620"/>
            <wp:effectExtent l="4445" t="4445" r="20955" b="1333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184.48</w:t>
      </w:r>
      <w:r>
        <w:rPr>
          <w:rFonts w:hint="eastAsia" w:ascii="仿宋" w:hAnsi="仿宋" w:eastAsia="仿宋" w:cs="仿宋"/>
          <w:color w:val="auto"/>
          <w:sz w:val="32"/>
          <w:szCs w:val="32"/>
          <w:highlight w:val="none"/>
        </w:rPr>
        <w:t>万元，其中本年</w:t>
      </w:r>
      <w:r>
        <w:rPr>
          <w:rFonts w:hint="eastAsia" w:ascii="仿宋" w:hAnsi="仿宋" w:eastAsia="仿宋" w:cs="仿宋"/>
          <w:sz w:val="32"/>
          <w:szCs w:val="32"/>
          <w:highlight w:val="none"/>
        </w:rPr>
        <w:t>支出</w:t>
      </w:r>
      <w:r>
        <w:rPr>
          <w:rFonts w:ascii="仿宋" w:hAnsi="仿宋" w:eastAsia="仿宋" w:cs="仿宋"/>
          <w:sz w:val="32"/>
          <w:u w:color="auto"/>
        </w:rPr>
        <w:t>184.48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w:t>
      </w:r>
      <w:r>
        <w:rPr>
          <w:rFonts w:hint="eastAsia" w:ascii="仿宋" w:hAnsi="仿宋" w:eastAsia="仿宋" w:cs="仿宋"/>
          <w:sz w:val="32"/>
          <w:szCs w:val="32"/>
          <w:highlight w:val="none"/>
        </w:rPr>
        <w:t>万元，</w:t>
      </w:r>
      <w:r>
        <w:rPr>
          <w:rFonts w:ascii="仿宋" w:hAnsi="仿宋" w:eastAsia="仿宋" w:cs="仿宋"/>
          <w:sz w:val="32"/>
          <w:u w:color="auto"/>
        </w:rPr>
        <w:t>增长23.44%</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群众团体事务</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主要原因是：本部门2022年度新增6名公招教师控制数</w:t>
      </w:r>
      <w:r>
        <w:rPr>
          <w:rFonts w:hint="eastAsia" w:ascii="仿宋" w:hAnsi="仿宋" w:eastAsia="仿宋" w:cs="仿宋"/>
          <w:color w:val="FF0000"/>
          <w:kern w:val="2"/>
          <w:sz w:val="32"/>
          <w:szCs w:val="32"/>
          <w:highlight w:val="none"/>
          <w:lang w:val="en-US" w:eastAsia="zh-CN" w:bidi="ar"/>
        </w:rPr>
        <w:t>。</w:t>
      </w:r>
    </w:p>
    <w:p>
      <w:pPr>
        <w:autoSpaceDE w:val="0"/>
        <w:autoSpaceDN w:val="0"/>
        <w:adjustRightInd w:val="0"/>
        <w:spacing w:line="560" w:lineRule="exact"/>
        <w:ind w:firstLine="640" w:firstLineChars="200"/>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166.04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增长20.07%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主要原因是：本部门2022年度新增6名公招教师控制数；2022年度调整工资标准</w:t>
      </w:r>
      <w:r>
        <w:rPr>
          <w:rFonts w:hint="eastAsia" w:ascii="Times New Roman" w:hAnsi="Times New Roman" w:eastAsia="仿宋_GB2312" w:cs="Times New Roman"/>
          <w:kern w:val="0"/>
          <w:sz w:val="32"/>
          <w:szCs w:val="32"/>
          <w:lang w:eastAsia="zh-CN"/>
        </w:rPr>
        <w:t>。</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增长17.43%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主要原因是：本部门2022年度新增6名公招教师控制数；2022年度调整缴费基数</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增长79.39%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主要原因是：本部门2022年度新增6名公招教师控制数；2022年度调整缴费基数</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7.88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增长103.09%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人</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color w:val="FF0000"/>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环江毛南族自治县东兴镇中心幼儿园</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184.48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w:t>
      </w:r>
      <w:r>
        <w:rPr>
          <w:rFonts w:hint="eastAsia" w:ascii="仿宋" w:hAnsi="仿宋" w:eastAsia="仿宋" w:cs="仿宋"/>
          <w:sz w:val="32"/>
          <w:szCs w:val="32"/>
          <w:highlight w:val="none"/>
        </w:rPr>
        <w:t>万元，</w:t>
      </w:r>
      <w:r>
        <w:rPr>
          <w:rFonts w:ascii="仿宋" w:hAnsi="仿宋" w:eastAsia="仿宋" w:cs="仿宋"/>
          <w:sz w:val="32"/>
          <w:u w:color="auto"/>
        </w:rPr>
        <w:t>增长23.44%</w:t>
      </w:r>
      <w:r>
        <w:rPr>
          <w:rFonts w:hint="eastAsia" w:ascii="仿宋" w:hAnsi="仿宋" w:eastAsia="仿宋" w:cs="仿宋"/>
          <w:sz w:val="32"/>
          <w:szCs w:val="32"/>
          <w:highlight w:val="none"/>
        </w:rPr>
        <w:t>。其中：基本支出</w:t>
      </w:r>
      <w:r>
        <w:rPr>
          <w:rFonts w:ascii="仿宋" w:hAnsi="仿宋" w:eastAsia="仿宋" w:cs="仿宋"/>
          <w:sz w:val="32"/>
          <w:u w:color="auto"/>
        </w:rPr>
        <w:t>54.27</w:t>
      </w:r>
      <w:r>
        <w:rPr>
          <w:rFonts w:hint="eastAsia" w:ascii="仿宋" w:hAnsi="仿宋" w:eastAsia="仿宋" w:cs="仿宋"/>
          <w:sz w:val="32"/>
          <w:szCs w:val="32"/>
          <w:highlight w:val="none"/>
        </w:rPr>
        <w:t>万元，项目支出</w:t>
      </w:r>
      <w:r>
        <w:rPr>
          <w:rFonts w:ascii="仿宋" w:hAnsi="仿宋" w:eastAsia="仿宋" w:cs="仿宋"/>
          <w:sz w:val="32"/>
          <w:u w:color="auto"/>
        </w:rPr>
        <w:t>130.21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环江毛南族自治县东兴镇中心幼儿园</w:t>
      </w:r>
      <w:r>
        <w:rPr>
          <w:rFonts w:hint="eastAsia" w:ascii="仿宋" w:hAnsi="仿宋" w:eastAsia="仿宋" w:cs="仿宋"/>
          <w:sz w:val="32"/>
          <w:szCs w:val="32"/>
          <w:highlight w:val="none"/>
        </w:rPr>
        <w:t>2022 年度一般公共预算财政拨款支出年初预算为</w:t>
      </w:r>
      <w:r>
        <w:rPr>
          <w:rFonts w:ascii="仿宋" w:hAnsi="仿宋" w:eastAsia="仿宋" w:cs="仿宋"/>
          <w:sz w:val="32"/>
          <w:u w:color="auto"/>
        </w:rPr>
        <w:t>190.97</w:t>
      </w:r>
      <w:r>
        <w:rPr>
          <w:rFonts w:hint="eastAsia" w:ascii="仿宋" w:hAnsi="仿宋" w:eastAsia="仿宋" w:cs="仿宋"/>
          <w:sz w:val="32"/>
          <w:szCs w:val="32"/>
          <w:highlight w:val="none"/>
        </w:rPr>
        <w:t>万元，支出决算为</w:t>
      </w:r>
      <w:r>
        <w:rPr>
          <w:rFonts w:ascii="仿宋" w:hAnsi="仿宋" w:eastAsia="仿宋" w:cs="仿宋"/>
          <w:sz w:val="32"/>
          <w:u w:color="auto"/>
        </w:rPr>
        <w:t>184.48</w:t>
      </w:r>
      <w:r>
        <w:rPr>
          <w:rFonts w:hint="eastAsia" w:ascii="仿宋" w:hAnsi="仿宋" w:eastAsia="仿宋" w:cs="仿宋"/>
          <w:sz w:val="32"/>
          <w:szCs w:val="32"/>
          <w:highlight w:val="none"/>
        </w:rPr>
        <w:t>万元，完成年初预算的</w:t>
      </w:r>
      <w:r>
        <w:rPr>
          <w:rFonts w:ascii="仿宋" w:hAnsi="仿宋" w:eastAsia="仿宋" w:cs="仿宋"/>
          <w:sz w:val="32"/>
          <w:u w:color="auto"/>
        </w:rPr>
        <w:t>96.60%</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0.61</w:t>
      </w:r>
      <w:r>
        <w:rPr>
          <w:rFonts w:hint="eastAsia" w:ascii="仿宋" w:hAnsi="仿宋" w:eastAsia="仿宋"/>
          <w:sz w:val="32"/>
          <w:szCs w:val="32"/>
          <w:highlight w:val="none"/>
        </w:rPr>
        <w:t>万元，支出决算为</w:t>
      </w:r>
      <w:r>
        <w:rPr>
          <w:rFonts w:ascii="仿宋" w:hAnsi="仿宋" w:eastAsia="仿宋"/>
          <w:sz w:val="32"/>
          <w:szCs w:val="32"/>
          <w:highlight w:val="none"/>
        </w:rPr>
        <w:t>0.61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工会经费</w:t>
      </w:r>
      <w:r>
        <w:rPr>
          <w:rFonts w:hint="eastAsia" w:ascii="仿宋" w:hAnsi="仿宋" w:eastAsia="仿宋" w:cs="仿宋"/>
          <w:color w:val="FF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181.82</w:t>
      </w:r>
      <w:r>
        <w:rPr>
          <w:rFonts w:hint="eastAsia" w:ascii="仿宋" w:hAnsi="仿宋" w:eastAsia="仿宋"/>
          <w:sz w:val="32"/>
          <w:szCs w:val="32"/>
          <w:highlight w:val="none"/>
        </w:rPr>
        <w:t>万元，支出决算为</w:t>
      </w:r>
      <w:r>
        <w:rPr>
          <w:rFonts w:ascii="仿宋" w:hAnsi="仿宋" w:eastAsia="仿宋"/>
          <w:sz w:val="32"/>
          <w:szCs w:val="32"/>
          <w:highlight w:val="none"/>
        </w:rPr>
        <w:t>166.04</w:t>
      </w:r>
      <w:r>
        <w:rPr>
          <w:rFonts w:hint="eastAsia" w:ascii="仿宋" w:hAnsi="仿宋" w:eastAsia="仿宋"/>
          <w:sz w:val="32"/>
          <w:szCs w:val="32"/>
          <w:highlight w:val="none"/>
        </w:rPr>
        <w:t>万元，完成年初预算的</w:t>
      </w:r>
      <w:r>
        <w:rPr>
          <w:rFonts w:ascii="仿宋" w:hAnsi="仿宋" w:eastAsia="仿宋"/>
          <w:sz w:val="32"/>
          <w:szCs w:val="32"/>
          <w:highlight w:val="none"/>
        </w:rPr>
        <w:t>91.32%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lang w:val="en-US" w:eastAsia="zh-CN"/>
        </w:rPr>
        <w:t>人员增加，调整工资标准</w:t>
      </w:r>
      <w:r>
        <w:rPr>
          <w:rFonts w:hint="eastAsia" w:ascii="仿宋" w:hAnsi="仿宋" w:eastAsia="仿宋" w:cs="仿宋"/>
          <w:color w:val="FF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4.88</w:t>
      </w:r>
      <w:r>
        <w:rPr>
          <w:rFonts w:hint="eastAsia" w:ascii="仿宋" w:hAnsi="仿宋" w:eastAsia="仿宋"/>
          <w:sz w:val="32"/>
          <w:szCs w:val="32"/>
          <w:highlight w:val="none"/>
        </w:rPr>
        <w:t>万元，支出决算为</w:t>
      </w:r>
      <w:r>
        <w:rPr>
          <w:rFonts w:ascii="仿宋" w:hAnsi="仿宋" w:eastAsia="仿宋"/>
          <w:sz w:val="32"/>
          <w:szCs w:val="32"/>
          <w:highlight w:val="none"/>
        </w:rPr>
        <w:t>5.86</w:t>
      </w:r>
      <w:r>
        <w:rPr>
          <w:rFonts w:hint="eastAsia" w:ascii="仿宋" w:hAnsi="仿宋" w:eastAsia="仿宋"/>
          <w:sz w:val="32"/>
          <w:szCs w:val="32"/>
          <w:highlight w:val="none"/>
        </w:rPr>
        <w:t>万元，完成年初预算的</w:t>
      </w:r>
      <w:r>
        <w:rPr>
          <w:rFonts w:ascii="仿宋" w:hAnsi="仿宋" w:eastAsia="仿宋"/>
          <w:sz w:val="32"/>
          <w:szCs w:val="32"/>
          <w:highlight w:val="none"/>
        </w:rPr>
        <w:t>120.08%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8</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3.66</w:t>
      </w:r>
      <w:r>
        <w:rPr>
          <w:rFonts w:hint="eastAsia" w:ascii="仿宋" w:hAnsi="仿宋" w:eastAsia="仿宋"/>
          <w:sz w:val="32"/>
          <w:szCs w:val="32"/>
          <w:highlight w:val="none"/>
        </w:rPr>
        <w:t>万元，支出决算为</w:t>
      </w:r>
      <w:r>
        <w:rPr>
          <w:rFonts w:ascii="仿宋" w:hAnsi="仿宋" w:eastAsia="仿宋"/>
          <w:sz w:val="32"/>
          <w:szCs w:val="32"/>
          <w:highlight w:val="none"/>
        </w:rPr>
        <w:t>4.09</w:t>
      </w:r>
      <w:r>
        <w:rPr>
          <w:rFonts w:hint="eastAsia" w:ascii="仿宋" w:hAnsi="仿宋" w:eastAsia="仿宋"/>
          <w:sz w:val="32"/>
          <w:szCs w:val="32"/>
          <w:highlight w:val="none"/>
        </w:rPr>
        <w:t>万元，完成年初预算的</w:t>
      </w:r>
      <w:r>
        <w:rPr>
          <w:rFonts w:ascii="仿宋" w:hAnsi="仿宋" w:eastAsia="仿宋"/>
          <w:sz w:val="32"/>
          <w:szCs w:val="32"/>
          <w:highlight w:val="none"/>
        </w:rPr>
        <w:t>111.75%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8</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114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7.88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8</w:t>
      </w:r>
      <w:r>
        <w:rPr>
          <w:rFonts w:hint="eastAsia" w:ascii="Times New Roman" w:hAnsi="Times New Roman" w:eastAsia="仿宋_GB2312" w:cs="Times New Roman"/>
          <w:bCs/>
          <w:kern w:val="0"/>
          <w:sz w:val="32"/>
          <w:szCs w:val="32"/>
        </w:rPr>
        <w:t>人，主要用于人员工资福利。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环江毛南族自治县东兴镇中心幼儿园2022年度一般公共预算财政拨款基本支出</w:t>
      </w:r>
      <w:r>
        <w:rPr>
          <w:rFonts w:ascii="仿宋" w:hAnsi="仿宋" w:eastAsia="仿宋" w:cs="仿宋"/>
          <w:sz w:val="32"/>
          <w:u w:color="auto"/>
        </w:rPr>
        <w:t>54.27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53.66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0.61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53.66万元，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132.95%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8</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23.70万元，30102津贴补贴4.54万元，30103奖金3.40万元，30107绩效工资8.94万元，30108机关事业单位基本养老保险缴费5.86万元，30110职工基本医疗保险缴费2.82万元，30112其他社会保障缴费0.29万元，30113住房公积金4.09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0.61万元，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30228工会经费0.61万元。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环江毛南族自治县东兴镇中心幼儿园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环江毛南族自治县东兴镇中心幼儿园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本部门202</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年度没有“三公”经费资金收入，也没有“三公”经费资金安排的支出。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3"/>
        </w:numPr>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ascii="黑体" w:hAnsi="黑体" w:eastAsia="黑体" w:cs="黑体"/>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机关运行经费</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（二）政府采购支出情况说明</w:t>
      </w: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本部门已于 2023年4月份完成 2022年部门项目支出绩效自评工作，整体综合评价结果良好</w:t>
      </w:r>
      <w:r>
        <w:rPr>
          <w:rFonts w:hint="eastAsia" w:ascii="Times New Roman" w:hAnsi="Times New Roman" w:eastAsia="仿宋_GB2312" w:cs="Times New Roman"/>
          <w:kern w:val="0"/>
          <w:sz w:val="32"/>
          <w:szCs w:val="32"/>
          <w:lang w:eastAsia="zh-CN"/>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widowControl/>
        <w:spacing w:line="560" w:lineRule="exact"/>
        <w:ind w:firstLine="640"/>
        <w:rPr>
          <w:rFonts w:ascii="Times New Roman" w:hAnsi="Times New Roman" w:eastAsia="仿宋_GB2312" w:cs="Times New Roman"/>
          <w:kern w:val="0"/>
          <w:sz w:val="32"/>
          <w:szCs w:val="32"/>
        </w:rPr>
      </w:pPr>
      <w:r>
        <w:rPr>
          <w:rFonts w:hint="eastAsia" w:ascii="仿宋" w:hAnsi="仿宋" w:eastAsia="仿宋" w:cs="仿宋"/>
          <w:color w:val="000000" w:themeColor="text1"/>
          <w:sz w:val="32"/>
          <w:szCs w:val="32"/>
          <w14:textFill>
            <w14:solidFill>
              <w14:schemeClr w14:val="tx1"/>
            </w14:solidFill>
          </w14:textFill>
        </w:rPr>
        <w:t>部门决算中项目绩效自评</w:t>
      </w:r>
      <w:r>
        <w:rPr>
          <w:rFonts w:hint="eastAsia" w:ascii="仿宋" w:hAnsi="仿宋" w:eastAsia="仿宋" w:cs="仿宋"/>
          <w:color w:val="000000" w:themeColor="text1"/>
          <w:sz w:val="32"/>
          <w:szCs w:val="32"/>
          <w:lang w:val="en-US" w:eastAsia="zh-CN"/>
          <w14:textFill>
            <w14:solidFill>
              <w14:schemeClr w14:val="tx1"/>
            </w14:solidFill>
          </w14:textFill>
        </w:rPr>
        <w:t>良好，</w:t>
      </w:r>
      <w:r>
        <w:rPr>
          <w:rFonts w:hint="eastAsia" w:ascii="Times New Roman" w:hAnsi="Times New Roman" w:eastAsia="仿宋_GB2312" w:cs="Times New Roman"/>
          <w:kern w:val="0"/>
          <w:sz w:val="32"/>
          <w:szCs w:val="32"/>
        </w:rPr>
        <w:t>达到预期绩效目标。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right"/>
        <w:rPr>
          <w:rFonts w:hint="default" w:ascii="仿宋" w:hAnsi="仿宋" w:eastAsia="仿宋" w:cs="仿宋"/>
          <w:sz w:val="32"/>
          <w:szCs w:val="32"/>
          <w:highlight w:val="none"/>
          <w:lang w:val="en-US" w:eastAsia="zh-CN"/>
        </w:rPr>
      </w:pPr>
      <w:bookmarkStart w:id="6" w:name="_GoBack"/>
      <w:bookmarkEnd w:id="6"/>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210" w:firstLine="420"/>
      </w:pPr>
      <w:rPr>
        <w:rFonts w:hint="eastAsia"/>
        <w:color w:val="auto"/>
        <w:sz w:val="32"/>
        <w:szCs w:val="32"/>
      </w:rPr>
    </w:lvl>
  </w:abstractNum>
  <w:abstractNum w:abstractNumId="1">
    <w:nsid w:val="C9DFEF34"/>
    <w:multiLevelType w:val="singleLevel"/>
    <w:tmpl w:val="C9DFEF34"/>
    <w:lvl w:ilvl="0" w:tentative="0">
      <w:start w:val="3"/>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N2U2ZWE2NTE3ZTk2MGQ2ODQ4M2JjYzJkZjlhMm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1F3000"/>
    <w:rsid w:val="1E664F5B"/>
    <w:rsid w:val="1EB34BE1"/>
    <w:rsid w:val="215E639F"/>
    <w:rsid w:val="21EC3183"/>
    <w:rsid w:val="225E72CD"/>
    <w:rsid w:val="246E2F77"/>
    <w:rsid w:val="254B4E2B"/>
    <w:rsid w:val="26AD0D18"/>
    <w:rsid w:val="283D7C94"/>
    <w:rsid w:val="29480E03"/>
    <w:rsid w:val="295B37F7"/>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8F93663"/>
    <w:rsid w:val="39003F4F"/>
    <w:rsid w:val="3C07002B"/>
    <w:rsid w:val="3D0D152A"/>
    <w:rsid w:val="3DF62756"/>
    <w:rsid w:val="3F1B7587"/>
    <w:rsid w:val="41E57B4F"/>
    <w:rsid w:val="432F26F6"/>
    <w:rsid w:val="43554139"/>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68B452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4FF0F2F"/>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184.48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138.29</c:v>
                </c:pt>
                <c:pt idx="2">
                  <c:v>4.99</c:v>
                </c:pt>
                <c:pt idx="3">
                  <c:v>2.28</c:v>
                </c:pt>
                <c:pt idx="4">
                  <c:v>3.88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0.61</c:v>
                </c:pt>
                <c:pt idx="1">
                  <c:v>166.04</c:v>
                </c:pt>
                <c:pt idx="2">
                  <c:v>5.86</c:v>
                </c:pt>
                <c:pt idx="3">
                  <c:v>4.09</c:v>
                </c:pt>
                <c:pt idx="4">
                  <c:v>7.88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0.61</c:v>
                </c:pt>
                <c:pt idx="1">
                  <c:v>0.61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162.61</c:v>
                </c:pt>
                <c:pt idx="1">
                  <c:v>3.43</c:v>
                </c:pt>
                <c:pt idx="2">
                  <c:v>166.04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5.86</c:v>
                </c:pt>
                <c:pt idx="1">
                  <c:v>5.86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4.09</c:v>
                </c:pt>
                <c:pt idx="1">
                  <c:v>4.09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7.88</c:v>
                </c:pt>
                <c:pt idx="1">
                  <c:v>7.88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23.7</c:v>
                </c:pt>
                <c:pt idx="1">
                  <c:v>4.54</c:v>
                </c:pt>
                <c:pt idx="2">
                  <c:v>3.4</c:v>
                </c:pt>
                <c:pt idx="3">
                  <c:v>0</c:v>
                </c:pt>
                <c:pt idx="4">
                  <c:v>8.94</c:v>
                </c:pt>
                <c:pt idx="5">
                  <c:v>5.86</c:v>
                </c:pt>
                <c:pt idx="6">
                  <c:v>0</c:v>
                </c:pt>
                <c:pt idx="7">
                  <c:v>2.82</c:v>
                </c:pt>
                <c:pt idx="8">
                  <c:v>0</c:v>
                </c:pt>
                <c:pt idx="9">
                  <c:v>0.29</c:v>
                </c:pt>
                <c:pt idx="10">
                  <c:v>4.09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0.61</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2023-11-29T02:22:38Z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