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hint="eastAsia" w:ascii="黑体" w:hAnsi="黑体" w:eastAsia="黑体" w:cs="黑体"/>
          <w:sz w:val="52"/>
          <w:szCs w:val="52"/>
        </w:rPr>
      </w:pPr>
    </w:p>
    <w:p>
      <w:pPr>
        <w:spacing w:line="560" w:lineRule="exact"/>
        <w:jc w:val="center"/>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环江毛南族自治县</w:t>
      </w:r>
      <w:r>
        <w:rPr>
          <w:rFonts w:hint="eastAsia" w:ascii="Times New Roman" w:hAnsi="Times New Roman" w:eastAsia="方正小标宋简体" w:cs="Times New Roman"/>
          <w:kern w:val="0"/>
          <w:sz w:val="48"/>
          <w:szCs w:val="48"/>
        </w:rPr>
        <w:t>驯乐苗族乡初级中学</w:t>
      </w:r>
      <w:r>
        <w:rPr>
          <w:rFonts w:ascii="Times New Roman" w:hAnsi="Times New Roman" w:eastAsia="方正小标宋简体" w:cs="Times New Roman"/>
          <w:kern w:val="0"/>
          <w:sz w:val="48"/>
          <w:szCs w:val="48"/>
        </w:rPr>
        <w:t>2022年度部门决算</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rPr>
          <w:rFonts w:ascii="Times New Roman" w:hAnsi="Times New Roman" w:eastAsia="方正小标宋简体" w:cs="Times New Roman"/>
          <w:kern w:val="0"/>
          <w:sz w:val="44"/>
          <w:szCs w:val="44"/>
        </w:rPr>
      </w:pPr>
    </w:p>
    <w:p>
      <w:pPr>
        <w:spacing w:line="560" w:lineRule="exact"/>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202</w:t>
      </w:r>
      <w:r>
        <w:rPr>
          <w:rFonts w:ascii="Times New Roman" w:hAnsi="Times New Roman" w:eastAsia="方正小标宋简体" w:cs="Times New Roman"/>
          <w:kern w:val="0"/>
          <w:sz w:val="44"/>
          <w:szCs w:val="44"/>
        </w:rPr>
        <w:t>3</w:t>
      </w:r>
      <w:r>
        <w:rPr>
          <w:rFonts w:hint="eastAsia" w:ascii="Times New Roman" w:hAnsi="Times New Roman" w:eastAsia="方正小标宋简体" w:cs="Times New Roman"/>
          <w:kern w:val="0"/>
          <w:sz w:val="44"/>
          <w:szCs w:val="44"/>
        </w:rPr>
        <w:t>年10月</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jc w:val="center"/>
        <w:rPr>
          <w:rFonts w:hint="eastAsia" w:ascii="黑体" w:hAnsi="黑体" w:eastAsia="黑体" w:cs="黑体"/>
          <w:b/>
          <w:bCs/>
          <w:sz w:val="36"/>
          <w:szCs w:val="36"/>
        </w:rPr>
      </w:pP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环江毛南族自治县驯乐苗族乡初级中学</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环江毛南族自治县驯乐苗族乡初级中学</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环江毛南族自治县驯乐苗族乡初级中学</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环江毛南族自治县驯乐苗族乡初级中学</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（一）宣传贯彻执行党和国家的教育方针、教育政策、教育法律和法规，贯彻执行上级教育行政部门门的各项规章制度。</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（二）在政府和上级教育主管部门的领导下，争取资金改善办学条件，为师生的学习和工作提供优美和谐的环境。</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根据县级人民政府制定的教育事业发展规划，结合实际制定并组织实施学校的教育事业发展规划。在政府的领导下，全面开展普及九年义务教育，组织教师动员适龄儿童、少年就近入学,扫除青壮年文盲，巩固提高“两基’成果。</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（四）积极办好初中教育，扶持民办教育，加强职业技术教育，促进各类教育协调发展。</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ascii="仿宋" w:hAnsi="仿宋" w:eastAsia="仿宋" w:cs="仿宋"/>
          <w:color w:val="000000" w:themeColor="text1"/>
          <w:sz w:val="32"/>
          <w:szCs w:val="32"/>
          <w14:textFill>
            <w14:solidFill>
              <w14:schemeClr w14:val="tx1"/>
            </w14:solidFill>
          </w14:textFill>
        </w:rPr>
      </w:pPr>
      <w:bookmarkStart w:id="0" w:name="_Hlk129624021"/>
      <w:r>
        <w:rPr>
          <w:rFonts w:hint="eastAsia" w:ascii="仿宋" w:hAnsi="仿宋" w:eastAsia="仿宋" w:cs="仿宋"/>
          <w:color w:val="000000" w:themeColor="text1"/>
          <w:sz w:val="32"/>
          <w:szCs w:val="32"/>
          <w14:textFill>
            <w14:solidFill>
              <w14:schemeClr w14:val="tx1"/>
            </w14:solidFill>
          </w14:textFill>
        </w:rPr>
        <w:t>（六）</w:t>
      </w:r>
      <w:bookmarkEnd w:id="0"/>
      <w:r>
        <w:rPr>
          <w:rFonts w:hint="eastAsia" w:ascii="仿宋" w:hAnsi="仿宋" w:eastAsia="仿宋" w:cs="仿宋"/>
          <w:color w:val="000000" w:themeColor="text1"/>
          <w:sz w:val="32"/>
          <w:szCs w:val="32"/>
          <w14:textFill>
            <w14:solidFill>
              <w14:schemeClr w14:val="tx1"/>
            </w14:solidFill>
          </w14:textFill>
        </w:rPr>
        <w:t>按照上级有关部门的规定，负责对学校的财务和项目建设进行管理，负责核算和发放教职工工资。</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（七）按照九年义务教育课程计划，开齐课程，开足课时，认真实施中学的教育教学管理，全面推进素质教育，全面提高教育教学质量。</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（八）组织开展学习的教育教学科研和教育教学改革，以科学的发展观和以人为本的管理理念注重学生的全面发展。</w:t>
      </w:r>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（一）部门内设机构（处室）的数量、名称、职能等；</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我校设有个9处室，分别为：行政办公室、党支部、政教处、教务处、语言文字办公室、工会办公室、资助办公室、财务室、总务处。</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（二）部门所属单位的数量、名称、单位性质、单位职能等。</w:t>
      </w:r>
    </w:p>
    <w:p>
      <w:pPr>
        <w:ind w:firstLine="640" w:firstLineChars="200"/>
        <w:jc w:val="left"/>
        <w:rPr>
          <w:rFonts w:ascii="仿宋" w:hAnsi="仿宋" w:eastAsia="仿宋" w:cs="仿宋"/>
          <w:b/>
          <w:color w:val="000000" w:themeColor="text1"/>
          <w:sz w:val="32"/>
          <w:szCs w:val="32"/>
          <w14:textFill>
            <w14:solidFill>
              <w14:schemeClr w14:val="tx1"/>
            </w14:solidFill>
          </w14:textFill>
        </w:rPr>
      </w:pPr>
      <w:bookmarkStart w:id="1" w:name="_Hlk129682095"/>
      <w:r>
        <w:rPr>
          <w:rFonts w:hint="eastAsia" w:ascii="仿宋" w:hAnsi="仿宋" w:eastAsia="仿宋" w:cs="仿宋"/>
          <w:color w:val="000000" w:themeColor="text1"/>
          <w:sz w:val="32"/>
          <w:szCs w:val="32"/>
          <w14:textFill>
            <w14:solidFill>
              <w14:schemeClr w14:val="tx1"/>
            </w14:solidFill>
          </w14:textFill>
        </w:rPr>
        <w:t>我校有</w:t>
      </w:r>
      <w:bookmarkEnd w:id="1"/>
      <w:r>
        <w:rPr>
          <w:rFonts w:hint="eastAsia" w:ascii="仿宋" w:hAnsi="仿宋" w:eastAsia="仿宋" w:cs="仿宋"/>
          <w:color w:val="000000" w:themeColor="text1"/>
          <w:sz w:val="32"/>
          <w:szCs w:val="32"/>
          <w14:textFill>
            <w14:solidFill>
              <w14:schemeClr w14:val="tx1"/>
            </w14:solidFill>
          </w14:textFill>
        </w:rPr>
        <w:t>6个教研组，</w:t>
      </w:r>
      <w:bookmarkStart w:id="2" w:name="_Hlk129682113"/>
      <w:r>
        <w:rPr>
          <w:rFonts w:hint="eastAsia" w:ascii="仿宋" w:hAnsi="仿宋" w:eastAsia="仿宋" w:cs="仿宋"/>
          <w:color w:val="000000" w:themeColor="text1"/>
          <w:sz w:val="32"/>
          <w:szCs w:val="32"/>
          <w14:textFill>
            <w14:solidFill>
              <w14:schemeClr w14:val="tx1"/>
            </w14:solidFill>
          </w14:textFill>
        </w:rPr>
        <w:t>分别为：</w:t>
      </w:r>
      <w:bookmarkEnd w:id="2"/>
      <w:r>
        <w:rPr>
          <w:rFonts w:hint="eastAsia" w:ascii="仿宋" w:hAnsi="仿宋" w:eastAsia="仿宋" w:cs="仿宋"/>
          <w:color w:val="000000" w:themeColor="text1"/>
          <w:sz w:val="32"/>
          <w:szCs w:val="32"/>
          <w14:textFill>
            <w14:solidFill>
              <w14:schemeClr w14:val="tx1"/>
            </w14:solidFill>
          </w14:textFill>
        </w:rPr>
        <w:t>语文教研组、数学教研组、英语教研组、综合教研组、理化教研组、图音体教研组。</w:t>
      </w:r>
    </w:p>
    <w:p>
      <w:pPr>
        <w:jc w:val="center"/>
        <w:rPr>
          <w:rFonts w:ascii="黑体" w:hAnsi="黑体" w:eastAsia="黑体" w:cs="黑体"/>
          <w:sz w:val="32"/>
          <w:szCs w:val="32"/>
        </w:rPr>
        <w:sectPr>
          <w:footerReference r:id="rId5" w:type="default"/>
          <w:pgSz w:w="11906" w:h="16838"/>
          <w:pgMar w:top="1440" w:right="1800" w:bottom="1440" w:left="1800" w:header="851" w:footer="992" w:gutter="0"/>
          <w:pgNumType w:start="0"/>
          <w:cols w:space="425" w:num="1"/>
          <w:titlePg/>
          <w:docGrid w:type="lines" w:linePitch="312" w:charSpace="0"/>
        </w:sectPr>
      </w:pPr>
    </w:p>
    <w:p>
      <w:pPr>
        <w:ind w:firstLine="1600" w:firstLineChars="500"/>
        <w:jc w:val="both"/>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环江毛南族自治县驯乐苗族乡初级中学</w:t>
      </w:r>
      <w:r>
        <w:rPr>
          <w:rFonts w:hint="eastAsia" w:ascii="黑体" w:hAnsi="黑体" w:eastAsia="黑体" w:cs="黑体"/>
          <w:sz w:val="32"/>
          <w:szCs w:val="32"/>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561.01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其他收入</w:t>
            </w:r>
          </w:p>
        </w:tc>
      </w:tr>
      <w:tr>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740.77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740.77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561.01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561.01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559.66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559.66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478.72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478.72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79.31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79.31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740.77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685.92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54.85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561.01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506.16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559.66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504.81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478.72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445.08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33.64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79.31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58.10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21.21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6"/>
        <w:tblW w:w="4966" w:type="pct"/>
        <w:tblInd w:w="0" w:type="dxa"/>
        <w:tblLayout w:type="fixed"/>
        <w:tblCellMar>
          <w:top w:w="0" w:type="dxa"/>
          <w:left w:w="108" w:type="dxa"/>
          <w:bottom w:w="0" w:type="dxa"/>
          <w:right w:w="108" w:type="dxa"/>
        </w:tblCellMar>
      </w:tblPr>
      <w:tblGrid>
        <w:gridCol w:w="2214"/>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561.01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561.01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87.19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87.19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740.77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740.77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740.77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740.77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685.92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54.85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561.01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506.16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54.85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559.66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504.81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54.85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478.72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445.08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33.64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79.31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58.10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21.21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527.32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190.62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43.98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104.49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57.83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0.83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61.81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25.27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131.20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89.52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bookmarkStart w:id="3" w:name="OLE_LINK3"/>
            <w:bookmarkEnd w:id="3"/>
            <w:bookmarkStart w:id="4" w:name="OLE_LINK4"/>
            <w:bookmarkEnd w:id="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658.52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27.40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pPr>
              <w:rPr>
                <w:color w:val="000000" w:themeColor="text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年度没有政府性基金预算财政拨款收入，也没有政府性基金预算财政拨款安排的支出，故本表无数据。</w:t>
            </w:r>
            <w:r>
              <w:rPr>
                <w:rFonts w:hint="eastAsia" w:ascii="Times New Roman" w:hAnsi="Times New Roman" w:eastAsia="宋体" w:cs="Times New Roman"/>
                <w:color w:val="000000" w:themeColor="text1"/>
                <w:szCs w:val="21"/>
                <w:lang w:bidi="ar"/>
                <w14:textFill>
                  <w14:solidFill>
                    <w14:schemeClr w14:val="tx1"/>
                  </w14:solidFill>
                </w14:textFill>
              </w:rPr>
              <w:t xml:space="preserve"> </w:t>
            </w:r>
          </w:p>
          <w:p>
            <w:pPr>
              <w:widowControl/>
              <w:jc w:val="left"/>
              <w:textAlignment w:val="center"/>
              <w:rPr>
                <w:rFonts w:ascii="宋体" w:hAnsi="宋体" w:eastAsia="宋体" w:cs="宋体"/>
                <w:color w:val="000000"/>
                <w:kern w:val="0"/>
                <w:sz w:val="22"/>
                <w:szCs w:val="22"/>
                <w:lang w:bidi="ar"/>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广西河池市环江毛南族自治县驯乐苗族乡初级中学</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 xml:space="preserve">年度没有财政拨款“三公”经费收入，也没有财政拨款“三公”经费安排的支出，故本表无数据。 </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环江毛南族自治县驯乐苗族乡初级中学</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740.77</w:t>
      </w:r>
      <w:r>
        <w:rPr>
          <w:rFonts w:hint="eastAsia" w:ascii="仿宋" w:hAnsi="仿宋" w:eastAsia="仿宋" w:cs="仿宋"/>
          <w:sz w:val="32"/>
          <w:szCs w:val="32"/>
        </w:rPr>
        <w:t>万元，较2021年度决算数</w:t>
      </w:r>
      <w:r>
        <w:rPr>
          <w:rFonts w:ascii="仿宋" w:hAnsi="仿宋" w:eastAsia="仿宋" w:cs="仿宋"/>
          <w:sz w:val="32"/>
        </w:rPr>
        <w:t>减少154.57</w:t>
      </w:r>
      <w:r>
        <w:rPr>
          <w:rFonts w:hint="eastAsia" w:ascii="仿宋" w:hAnsi="仿宋" w:eastAsia="仿宋" w:cs="仿宋"/>
          <w:sz w:val="32"/>
          <w:szCs w:val="32"/>
        </w:rPr>
        <w:t>万元，</w:t>
      </w:r>
      <w:r>
        <w:rPr>
          <w:rFonts w:ascii="仿宋" w:hAnsi="仿宋" w:eastAsia="仿宋" w:cs="仿宋"/>
          <w:sz w:val="32"/>
        </w:rPr>
        <w:t>下降17.26%</w:t>
      </w:r>
      <w:r>
        <w:rPr>
          <w:rFonts w:hint="eastAsia" w:ascii="仿宋" w:hAnsi="仿宋" w:eastAsia="仿宋" w:cs="仿宋"/>
          <w:sz w:val="32"/>
          <w:szCs w:val="32"/>
        </w:rPr>
        <w:t>，其中本年收入</w:t>
      </w:r>
      <w:r>
        <w:rPr>
          <w:rFonts w:ascii="仿宋" w:hAnsi="仿宋" w:eastAsia="仿宋" w:cs="仿宋"/>
          <w:sz w:val="32"/>
        </w:rPr>
        <w:t>740.77</w:t>
      </w:r>
      <w:r>
        <w:rPr>
          <w:rFonts w:hint="eastAsia" w:ascii="仿宋" w:hAnsi="仿宋" w:eastAsia="仿宋" w:cs="仿宋"/>
          <w:sz w:val="32"/>
          <w:szCs w:val="32"/>
        </w:rPr>
        <w:t>万元。收入具体情况如下。</w:t>
      </w:r>
    </w:p>
    <w:p>
      <w:pPr>
        <w:ind w:firstLine="640" w:firstLineChars="200"/>
        <w:jc w:val="left"/>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sz w:val="32"/>
          <w:szCs w:val="32"/>
          <w:lang w:bidi="ar"/>
        </w:rPr>
        <w:t>1.一般公共预算财政拨款收入</w:t>
      </w:r>
      <w:r>
        <w:rPr>
          <w:rFonts w:ascii="仿宋" w:hAnsi="仿宋" w:eastAsia="仿宋" w:cs="仿宋"/>
          <w:sz w:val="32"/>
        </w:rPr>
        <w:t>740.77</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减少61.41</w:t>
      </w:r>
      <w:r>
        <w:rPr>
          <w:rFonts w:hint="eastAsia" w:ascii="仿宋" w:hAnsi="仿宋" w:eastAsia="仿宋" w:cs="仿宋"/>
          <w:sz w:val="32"/>
          <w:szCs w:val="32"/>
          <w:lang w:bidi="ar"/>
        </w:rPr>
        <w:t>万元，</w:t>
      </w:r>
      <w:r>
        <w:rPr>
          <w:rFonts w:ascii="仿宋" w:hAnsi="仿宋" w:eastAsia="仿宋" w:cs="仿宋"/>
          <w:sz w:val="32"/>
        </w:rPr>
        <w:t>下降7.66%</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主要原因：2</w:t>
      </w:r>
      <w:r>
        <w:rPr>
          <w:rFonts w:ascii="仿宋" w:hAnsi="仿宋" w:eastAsia="仿宋" w:cs="仿宋"/>
          <w:color w:val="000000" w:themeColor="text1"/>
          <w:sz w:val="32"/>
          <w:szCs w:val="32"/>
          <w:lang w:bidi="ar"/>
          <w14:textFill>
            <w14:solidFill>
              <w14:schemeClr w14:val="tx1"/>
            </w14:solidFill>
          </w14:textFill>
        </w:rPr>
        <w:t>022</w:t>
      </w:r>
      <w:r>
        <w:rPr>
          <w:rFonts w:hint="eastAsia" w:ascii="仿宋" w:hAnsi="仿宋" w:eastAsia="仿宋" w:cs="仿宋"/>
          <w:color w:val="000000" w:themeColor="text1"/>
          <w:sz w:val="32"/>
          <w:szCs w:val="32"/>
          <w:lang w:bidi="ar"/>
          <w14:textFill>
            <w14:solidFill>
              <w14:schemeClr w14:val="tx1"/>
            </w14:solidFill>
          </w14:textFill>
        </w:rPr>
        <w:t>年底因为疫情提前放假，有十多万公用经费未支付，2</w:t>
      </w:r>
      <w:r>
        <w:rPr>
          <w:rFonts w:ascii="仿宋" w:hAnsi="仿宋" w:eastAsia="仿宋" w:cs="仿宋"/>
          <w:color w:val="000000" w:themeColor="text1"/>
          <w:sz w:val="32"/>
          <w:szCs w:val="32"/>
          <w:lang w:bidi="ar"/>
          <w14:textFill>
            <w14:solidFill>
              <w14:schemeClr w14:val="tx1"/>
            </w14:solidFill>
          </w14:textFill>
        </w:rPr>
        <w:t>022</w:t>
      </w:r>
      <w:r>
        <w:rPr>
          <w:rFonts w:hint="eastAsia" w:ascii="仿宋" w:hAnsi="仿宋" w:eastAsia="仿宋" w:cs="仿宋"/>
          <w:color w:val="000000" w:themeColor="text1"/>
          <w:sz w:val="32"/>
          <w:szCs w:val="32"/>
          <w:lang w:bidi="ar"/>
          <w14:textFill>
            <w14:solidFill>
              <w14:schemeClr w14:val="tx1"/>
            </w14:solidFill>
          </w14:textFill>
        </w:rPr>
        <w:t>年大部分教师调出到县城学校。</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主要原因是：本单位没有国有资本经营预算财政拨款收入。</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主要原因是：本单位没有上级补助收入。</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主要原因是：本单位没有事业收入。</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主要原因是：本单位无附属单位上缴收入。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主要原因是：本单位没有其他收入。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主要原因是：本单位没有非财政拨款结余。</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万元，为以前年度支出预算因客观条件变化未执行完毕、结转到本年度按有关规定继续使用的资金。较2021年度决算数</w:t>
      </w:r>
      <w:r>
        <w:rPr>
          <w:rFonts w:ascii="仿宋" w:hAnsi="仿宋" w:eastAsia="仿宋" w:cs="仿宋"/>
          <w:sz w:val="32"/>
        </w:rPr>
        <w:t>减少93.16</w:t>
      </w:r>
      <w:r>
        <w:rPr>
          <w:rFonts w:hint="eastAsia" w:ascii="仿宋" w:hAnsi="仿宋" w:eastAsia="仿宋" w:cs="仿宋"/>
          <w:sz w:val="32"/>
          <w:szCs w:val="32"/>
          <w:lang w:bidi="ar"/>
        </w:rPr>
        <w:t>万元，</w:t>
      </w:r>
      <w:r>
        <w:rPr>
          <w:rFonts w:ascii="仿宋" w:hAnsi="仿宋" w:eastAsia="仿宋" w:cs="仿宋"/>
          <w:sz w:val="32"/>
        </w:rPr>
        <w:t>下降100.00%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bookmarkStart w:id="5" w:name="_Hlk151050578"/>
      <w:r>
        <w:rPr>
          <w:rFonts w:hint="eastAsia" w:ascii="仿宋" w:hAnsi="仿宋" w:eastAsia="仿宋" w:cs="仿宋"/>
          <w:color w:val="000000" w:themeColor="text1"/>
          <w:sz w:val="32"/>
          <w:szCs w:val="32"/>
          <w:lang w:bidi="ar"/>
          <w14:textFill>
            <w14:solidFill>
              <w14:schemeClr w14:val="tx1"/>
            </w14:solidFill>
          </w14:textFill>
        </w:rPr>
        <w:t>部分项目已在本年执行完毕，不需要结转至下年继续执行。</w:t>
      </w:r>
      <w:bookmarkEnd w:id="5"/>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740.77</w:t>
      </w:r>
      <w:r>
        <w:rPr>
          <w:rFonts w:hint="eastAsia" w:ascii="仿宋" w:hAnsi="仿宋" w:eastAsia="仿宋" w:cs="仿宋"/>
          <w:sz w:val="32"/>
          <w:szCs w:val="32"/>
        </w:rPr>
        <w:t>万元，其中本年支出</w:t>
      </w:r>
      <w:r>
        <w:rPr>
          <w:rFonts w:ascii="仿宋" w:hAnsi="仿宋" w:eastAsia="仿宋" w:cs="仿宋"/>
          <w:sz w:val="32"/>
        </w:rPr>
        <w:t>740.77</w:t>
      </w:r>
      <w:r>
        <w:rPr>
          <w:rFonts w:hint="eastAsia" w:ascii="仿宋" w:hAnsi="仿宋" w:eastAsia="仿宋" w:cs="仿宋"/>
          <w:sz w:val="32"/>
          <w:szCs w:val="32"/>
        </w:rPr>
        <w:t>万元，较2021年度决算数</w:t>
      </w:r>
      <w:r>
        <w:rPr>
          <w:rFonts w:ascii="仿宋" w:hAnsi="仿宋" w:eastAsia="仿宋" w:cs="仿宋"/>
          <w:sz w:val="32"/>
        </w:rPr>
        <w:t>减少154.57</w:t>
      </w:r>
      <w:r>
        <w:rPr>
          <w:rFonts w:hint="eastAsia" w:ascii="仿宋" w:hAnsi="仿宋" w:eastAsia="仿宋" w:cs="仿宋"/>
          <w:sz w:val="32"/>
          <w:szCs w:val="32"/>
        </w:rPr>
        <w:t>万元，</w:t>
      </w:r>
      <w:r>
        <w:rPr>
          <w:rFonts w:ascii="仿宋" w:hAnsi="仿宋" w:eastAsia="仿宋" w:cs="仿宋"/>
          <w:sz w:val="32"/>
        </w:rPr>
        <w:t>下降17.26%</w:t>
      </w:r>
      <w:r>
        <w:rPr>
          <w:rFonts w:hint="eastAsia" w:ascii="仿宋" w:hAnsi="仿宋" w:eastAsia="仿宋" w:cs="仿宋"/>
          <w:sz w:val="32"/>
          <w:szCs w:val="32"/>
        </w:rPr>
        <w:t>。支出具体情况如下：</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w:t>
      </w:r>
      <w:r>
        <w:rPr>
          <w:rFonts w:hint="eastAsia" w:ascii="仿宋" w:hAnsi="仿宋" w:eastAsia="仿宋" w:cs="仿宋"/>
          <w:sz w:val="32"/>
          <w:szCs w:val="32"/>
        </w:rPr>
        <w:t>（</w:t>
      </w:r>
      <w:r>
        <w:rPr>
          <w:rFonts w:hint="eastAsia" w:ascii="仿宋" w:hAnsi="仿宋" w:eastAsia="仿宋" w:cs="仿宋"/>
          <w:sz w:val="32"/>
          <w:szCs w:val="32"/>
          <w:lang w:bidi="ar"/>
        </w:rPr>
        <w:t>201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6.89</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主要用于：教师工会经费活动支出。</w:t>
      </w:r>
      <w:r>
        <w:rPr>
          <w:rFonts w:hint="eastAsia" w:ascii="仿宋" w:hAnsi="仿宋" w:eastAsia="仿宋" w:cs="仿宋"/>
          <w:sz w:val="32"/>
          <w:szCs w:val="32"/>
        </w:rPr>
        <w:t>较2021年度决算数</w:t>
      </w:r>
      <w:r>
        <w:rPr>
          <w:rFonts w:hint="eastAsia" w:ascii="仿宋" w:hAnsi="仿宋" w:eastAsia="仿宋" w:cs="仿宋"/>
          <w:sz w:val="32"/>
          <w:szCs w:val="32"/>
          <w:lang w:bidi="ar"/>
        </w:rPr>
        <w:t>增加6.89</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学生数减少，部分教师调出到县城学校。</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561.01</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主要用于：人员基本工资，商品服务支出。</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减少166.15</w:t>
      </w:r>
      <w:r>
        <w:rPr>
          <w:rFonts w:hint="eastAsia" w:ascii="仿宋" w:hAnsi="仿宋" w:eastAsia="仿宋" w:cs="仿宋"/>
          <w:sz w:val="32"/>
          <w:szCs w:val="32"/>
        </w:rPr>
        <w:t>万元，</w:t>
      </w:r>
      <w:r>
        <w:rPr>
          <w:rFonts w:hint="eastAsia" w:ascii="仿宋" w:hAnsi="仿宋" w:eastAsia="仿宋" w:cs="仿宋"/>
          <w:sz w:val="32"/>
          <w:szCs w:val="32"/>
          <w:lang w:bidi="ar"/>
        </w:rPr>
        <w:t>下降22.85%</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主要原因是：部分教师调出到县城学校。</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48.60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主要用于：单位基本养老缴费和社保费。</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减少26.82</w:t>
      </w:r>
      <w:r>
        <w:rPr>
          <w:rFonts w:hint="eastAsia" w:ascii="仿宋" w:hAnsi="仿宋" w:eastAsia="仿宋" w:cs="仿宋"/>
          <w:sz w:val="32"/>
          <w:szCs w:val="32"/>
        </w:rPr>
        <w:t>万元，</w:t>
      </w:r>
      <w:r>
        <w:rPr>
          <w:rFonts w:hint="eastAsia" w:ascii="仿宋" w:hAnsi="仿宋" w:eastAsia="仿宋" w:cs="仿宋"/>
          <w:sz w:val="32"/>
          <w:szCs w:val="32"/>
          <w:lang w:bidi="ar"/>
        </w:rPr>
        <w:t>下降35.56%</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bookmarkStart w:id="6" w:name="_Hlk151050303"/>
      <w:r>
        <w:rPr>
          <w:rFonts w:hint="eastAsia" w:ascii="仿宋" w:hAnsi="仿宋" w:eastAsia="仿宋" w:cs="仿宋"/>
          <w:color w:val="000000" w:themeColor="text1"/>
          <w:sz w:val="32"/>
          <w:szCs w:val="32"/>
          <w:lang w:bidi="ar"/>
          <w14:textFill>
            <w14:solidFill>
              <w14:schemeClr w14:val="tx1"/>
            </w14:solidFill>
          </w14:textFill>
        </w:rPr>
        <w:t>中年教师调出到县城学校，特岗教师基数少。</w:t>
      </w:r>
      <w:bookmarkEnd w:id="6"/>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37.08</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主要用于：住房公积金缴费。</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减少10.44</w:t>
      </w:r>
      <w:r>
        <w:rPr>
          <w:rFonts w:hint="eastAsia" w:ascii="仿宋" w:hAnsi="仿宋" w:eastAsia="仿宋" w:cs="仿宋"/>
          <w:sz w:val="32"/>
          <w:szCs w:val="32"/>
        </w:rPr>
        <w:t>万元，</w:t>
      </w:r>
      <w:r>
        <w:rPr>
          <w:rFonts w:hint="eastAsia" w:ascii="仿宋" w:hAnsi="仿宋" w:eastAsia="仿宋" w:cs="仿宋"/>
          <w:sz w:val="32"/>
          <w:szCs w:val="32"/>
          <w:lang w:bidi="ar"/>
        </w:rPr>
        <w:t>下降21.97%</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主要原因是：中年教师调出到县城学校，特岗教师基数少。</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87.19</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color w:val="000000" w:themeColor="text1"/>
          <w:sz w:val="32"/>
          <w:szCs w:val="32"/>
          <w:lang w:bidi="ar"/>
          <w14:textFill>
            <w14:solidFill>
              <w14:schemeClr w14:val="tx1"/>
            </w14:solidFill>
          </w14:textFill>
        </w:rPr>
        <w:t>主要用于人员工资福利。</w:t>
      </w:r>
      <w:r>
        <w:rPr>
          <w:rFonts w:hint="eastAsia" w:ascii="仿宋" w:hAnsi="仿宋" w:eastAsia="仿宋" w:cs="仿宋"/>
          <w:sz w:val="32"/>
          <w:szCs w:val="32"/>
        </w:rPr>
        <w:t>较2021年度决算数</w:t>
      </w:r>
      <w:r>
        <w:rPr>
          <w:rFonts w:hint="eastAsia" w:ascii="仿宋" w:hAnsi="仿宋" w:eastAsia="仿宋" w:cs="仿宋"/>
          <w:sz w:val="32"/>
          <w:szCs w:val="32"/>
          <w:lang w:bidi="ar"/>
        </w:rPr>
        <w:t>增加41.95</w:t>
      </w:r>
      <w:r>
        <w:rPr>
          <w:rFonts w:hint="eastAsia" w:ascii="仿宋" w:hAnsi="仿宋" w:eastAsia="仿宋" w:cs="仿宋"/>
          <w:sz w:val="32"/>
          <w:szCs w:val="32"/>
        </w:rPr>
        <w:t>万元，</w:t>
      </w:r>
      <w:r>
        <w:rPr>
          <w:rFonts w:hint="eastAsia" w:ascii="仿宋" w:hAnsi="仿宋" w:eastAsia="仿宋" w:cs="仿宋"/>
          <w:sz w:val="32"/>
          <w:szCs w:val="32"/>
          <w:lang w:bidi="ar"/>
        </w:rPr>
        <w:t>增长92.73%</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主要原因是：2</w:t>
      </w:r>
      <w:r>
        <w:rPr>
          <w:rFonts w:ascii="仿宋" w:hAnsi="仿宋" w:eastAsia="仿宋" w:cs="仿宋"/>
          <w:color w:val="000000" w:themeColor="text1"/>
          <w:sz w:val="32"/>
          <w:szCs w:val="32"/>
          <w:lang w:bidi="ar"/>
          <w14:textFill>
            <w14:solidFill>
              <w14:schemeClr w14:val="tx1"/>
            </w14:solidFill>
          </w14:textFill>
        </w:rPr>
        <w:t>021</w:t>
      </w:r>
      <w:r>
        <w:rPr>
          <w:rFonts w:hint="eastAsia" w:ascii="仿宋" w:hAnsi="仿宋" w:eastAsia="仿宋" w:cs="仿宋"/>
          <w:color w:val="000000" w:themeColor="text1"/>
          <w:sz w:val="32"/>
          <w:szCs w:val="32"/>
          <w:lang w:bidi="ar"/>
          <w14:textFill>
            <w14:solidFill>
              <w14:schemeClr w14:val="tx1"/>
            </w14:solidFill>
          </w14:textFill>
        </w:rPr>
        <w:t>年奖励性绩效在2</w:t>
      </w:r>
      <w:r>
        <w:rPr>
          <w:rFonts w:ascii="仿宋" w:hAnsi="仿宋" w:eastAsia="仿宋" w:cs="仿宋"/>
          <w:color w:val="000000" w:themeColor="text1"/>
          <w:sz w:val="32"/>
          <w:szCs w:val="32"/>
          <w:lang w:bidi="ar"/>
          <w14:textFill>
            <w14:solidFill>
              <w14:schemeClr w14:val="tx1"/>
            </w14:solidFill>
          </w14:textFill>
        </w:rPr>
        <w:t>022</w:t>
      </w:r>
      <w:r>
        <w:rPr>
          <w:rFonts w:hint="eastAsia" w:ascii="仿宋" w:hAnsi="仿宋" w:eastAsia="仿宋" w:cs="仿宋"/>
          <w:color w:val="000000" w:themeColor="text1"/>
          <w:sz w:val="32"/>
          <w:szCs w:val="32"/>
          <w:lang w:bidi="ar"/>
          <w14:textFill>
            <w14:solidFill>
              <w14:schemeClr w14:val="tx1"/>
            </w14:solidFill>
          </w14:textFill>
        </w:rPr>
        <w:t>年发放。</w:t>
      </w:r>
    </w:p>
    <w:p>
      <w:pPr>
        <w:ind w:firstLine="620" w:firstLineChars="200"/>
        <w:jc w:val="left"/>
        <w:rPr>
          <w:rFonts w:ascii="仿宋" w:hAnsi="仿宋" w:eastAsia="仿宋" w:cs="仿宋"/>
          <w:color w:val="000000" w:themeColor="text1"/>
          <w:sz w:val="32"/>
          <w:szCs w:val="32"/>
          <w:lang w:bidi="ar"/>
          <w14:textFill>
            <w14:solidFill>
              <w14:schemeClr w14:val="tx1"/>
            </w14:solidFill>
          </w14:textFill>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1</w:t>
      </w:r>
      <w:r>
        <w:rPr>
          <w:rFonts w:ascii="仿宋_GB2312" w:hAnsi="微软雅黑" w:eastAsia="仿宋_GB2312" w:cs="仿宋_GB2312"/>
          <w:color w:val="000000"/>
          <w:sz w:val="31"/>
          <w:szCs w:val="31"/>
          <w:shd w:val="clear" w:color="auto" w:fill="FFFFFF"/>
        </w:rPr>
        <w:t>年决算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ascii="仿宋_GB2312" w:hAnsi="微软雅黑" w:eastAsia="仿宋_GB2312" w:cs="仿宋_GB2312"/>
          <w:color w:val="000000"/>
          <w:sz w:val="31"/>
          <w:szCs w:val="31"/>
          <w:shd w:val="clear" w:color="auto" w:fill="FFFFFF"/>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：部分项目</w:t>
      </w:r>
      <w:bookmarkStart w:id="7"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7"/>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主要原因是：已在本年执行完毕，不需要结转至下年继续执行。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二、2022年度</w:t>
      </w:r>
      <w:bookmarkStart w:id="8" w:name="OLE_LINK1"/>
      <w:r>
        <w:rPr>
          <w:rFonts w:hint="eastAsia" w:ascii="黑体" w:hAnsi="黑体" w:eastAsia="黑体" w:cs="黑体"/>
          <w:sz w:val="32"/>
          <w:szCs w:val="32"/>
        </w:rPr>
        <w:t>一般公共预算财政拨款支出决算情况</w:t>
      </w:r>
      <w:bookmarkEnd w:id="8"/>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环江毛南族自治县驯乐苗族乡初级中学2022年度一般公共预算财政拨款支出</w:t>
      </w:r>
      <w:r>
        <w:rPr>
          <w:rFonts w:ascii="仿宋" w:hAnsi="仿宋" w:eastAsia="仿宋" w:cs="仿宋"/>
          <w:sz w:val="32"/>
        </w:rPr>
        <w:t>740.77</w:t>
      </w:r>
      <w:r>
        <w:rPr>
          <w:rFonts w:hint="eastAsia" w:ascii="仿宋" w:hAnsi="仿宋" w:eastAsia="仿宋" w:cs="仿宋"/>
          <w:sz w:val="32"/>
          <w:szCs w:val="32"/>
        </w:rPr>
        <w:t>万元，较2021年度决算数</w:t>
      </w:r>
      <w:r>
        <w:rPr>
          <w:rFonts w:ascii="仿宋" w:hAnsi="仿宋" w:eastAsia="仿宋" w:cs="仿宋"/>
          <w:sz w:val="32"/>
        </w:rPr>
        <w:t>减少154.57</w:t>
      </w:r>
      <w:r>
        <w:rPr>
          <w:rFonts w:hint="eastAsia" w:ascii="仿宋" w:hAnsi="仿宋" w:eastAsia="仿宋" w:cs="仿宋"/>
          <w:sz w:val="32"/>
          <w:szCs w:val="32"/>
        </w:rPr>
        <w:t>万元，</w:t>
      </w:r>
      <w:r>
        <w:rPr>
          <w:rFonts w:ascii="仿宋" w:hAnsi="仿宋" w:eastAsia="仿宋" w:cs="仿宋"/>
          <w:sz w:val="32"/>
        </w:rPr>
        <w:t>下降17.26%</w:t>
      </w:r>
      <w:r>
        <w:rPr>
          <w:rFonts w:hint="eastAsia" w:ascii="仿宋" w:hAnsi="仿宋" w:eastAsia="仿宋" w:cs="仿宋"/>
          <w:sz w:val="32"/>
          <w:szCs w:val="32"/>
        </w:rPr>
        <w:t>。其中：基本支出</w:t>
      </w:r>
      <w:r>
        <w:rPr>
          <w:rFonts w:ascii="仿宋" w:hAnsi="仿宋" w:eastAsia="仿宋" w:cs="仿宋"/>
          <w:sz w:val="32"/>
        </w:rPr>
        <w:t>685.92</w:t>
      </w:r>
      <w:r>
        <w:rPr>
          <w:rFonts w:hint="eastAsia" w:ascii="仿宋" w:hAnsi="仿宋" w:eastAsia="仿宋" w:cs="仿宋"/>
          <w:sz w:val="32"/>
          <w:szCs w:val="32"/>
        </w:rPr>
        <w:t>万元，项目支出</w:t>
      </w:r>
      <w:r>
        <w:rPr>
          <w:rFonts w:ascii="仿宋" w:hAnsi="仿宋" w:eastAsia="仿宋" w:cs="仿宋"/>
          <w:sz w:val="32"/>
        </w:rPr>
        <w:t>54.85</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环江毛南族自治县驯乐苗族乡初级中学2022 年度一般公共预算财政拨款支出年初预算为</w:t>
      </w:r>
      <w:r>
        <w:rPr>
          <w:rFonts w:ascii="仿宋" w:hAnsi="仿宋" w:eastAsia="仿宋" w:cs="仿宋"/>
          <w:sz w:val="32"/>
        </w:rPr>
        <w:t>485.01</w:t>
      </w:r>
      <w:r>
        <w:rPr>
          <w:rFonts w:hint="eastAsia" w:ascii="仿宋" w:hAnsi="仿宋" w:eastAsia="仿宋" w:cs="仿宋"/>
          <w:sz w:val="32"/>
          <w:szCs w:val="32"/>
        </w:rPr>
        <w:t>万元，支出决算为</w:t>
      </w:r>
      <w:r>
        <w:rPr>
          <w:rFonts w:ascii="仿宋" w:hAnsi="仿宋" w:eastAsia="仿宋" w:cs="仿宋"/>
          <w:sz w:val="32"/>
        </w:rPr>
        <w:t>740.77</w:t>
      </w:r>
      <w:r>
        <w:rPr>
          <w:rFonts w:hint="eastAsia" w:ascii="仿宋" w:hAnsi="仿宋" w:eastAsia="仿宋" w:cs="仿宋"/>
          <w:sz w:val="32"/>
          <w:szCs w:val="32"/>
        </w:rPr>
        <w:t>万元，完成年初预算的</w:t>
      </w:r>
      <w:r>
        <w:rPr>
          <w:rFonts w:ascii="仿宋" w:hAnsi="仿宋" w:eastAsia="仿宋" w:cs="仿宋"/>
          <w:sz w:val="32"/>
        </w:rPr>
        <w:t>152.73%</w:t>
      </w:r>
      <w:r>
        <w:rPr>
          <w:rFonts w:hint="eastAsia" w:ascii="仿宋" w:hAnsi="仿宋" w:eastAsia="仿宋" w:cs="仿宋"/>
          <w:sz w:val="32"/>
          <w:szCs w:val="32"/>
        </w:rPr>
        <w:t>。</w:t>
      </w:r>
      <w:bookmarkStart w:id="9" w:name="OLE_LINK2"/>
      <w:bookmarkEnd w:id="9"/>
    </w:p>
    <w:p>
      <w:pPr>
        <w:numPr>
          <w:ilvl w:val="0"/>
          <w:numId w:val="1"/>
        </w:numPr>
        <w:jc w:val="left"/>
        <w:rPr>
          <w:rFonts w:eastAsia="仿宋"/>
          <w:color w:val="000000" w:themeColor="text1"/>
          <w14:textFill>
            <w14:solidFill>
              <w14:schemeClr w14:val="tx1"/>
            </w14:solidFill>
          </w14:textFill>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6.88</w:t>
      </w:r>
      <w:r>
        <w:rPr>
          <w:rFonts w:hint="eastAsia" w:ascii="仿宋" w:hAnsi="仿宋" w:eastAsia="仿宋"/>
          <w:sz w:val="32"/>
          <w:szCs w:val="32"/>
        </w:rPr>
        <w:t>万元，支出决算为</w:t>
      </w:r>
      <w:r>
        <w:rPr>
          <w:rFonts w:ascii="仿宋" w:hAnsi="仿宋" w:eastAsia="仿宋"/>
          <w:sz w:val="32"/>
          <w:szCs w:val="32"/>
        </w:rPr>
        <w:t>6.89</w:t>
      </w:r>
      <w:r>
        <w:rPr>
          <w:rFonts w:hint="eastAsia" w:ascii="仿宋" w:hAnsi="仿宋" w:eastAsia="仿宋"/>
          <w:sz w:val="32"/>
          <w:szCs w:val="32"/>
        </w:rPr>
        <w:t>万元，完成年初预算的</w:t>
      </w:r>
      <w:r>
        <w:rPr>
          <w:rFonts w:ascii="仿宋" w:hAnsi="仿宋" w:eastAsia="仿宋"/>
          <w:sz w:val="32"/>
          <w:szCs w:val="32"/>
        </w:rPr>
        <w:t>100.15%</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资金充足。</w:t>
      </w:r>
    </w:p>
    <w:p>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bookmarkStart w:id="10" w:name="_Hlk151631303"/>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按指标完成</w:t>
            </w:r>
          </w:p>
        </w:tc>
      </w:tr>
      <w:bookmarkEnd w:id="10"/>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color w:val="000000" w:themeColor="text1"/>
                <w:szCs w:val="21"/>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color w:val="000000" w:themeColor="text1"/>
                <w:sz w:val="18"/>
                <w:szCs w:val="18"/>
                <w14:textFill>
                  <w14:solidFill>
                    <w14:schemeClr w14:val="tx1"/>
                  </w14:solidFill>
                </w14:textFill>
              </w:rPr>
              <w:t>按指标完成</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color w:val="FF0000"/>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381.74</w:t>
      </w:r>
      <w:r>
        <w:rPr>
          <w:rFonts w:hint="eastAsia" w:ascii="仿宋" w:hAnsi="仿宋" w:eastAsia="仿宋"/>
          <w:sz w:val="32"/>
          <w:szCs w:val="32"/>
        </w:rPr>
        <w:t>万元，支出决算为</w:t>
      </w:r>
      <w:r>
        <w:rPr>
          <w:rFonts w:ascii="仿宋" w:hAnsi="仿宋" w:eastAsia="仿宋"/>
          <w:sz w:val="32"/>
          <w:szCs w:val="32"/>
        </w:rPr>
        <w:t>561.01</w:t>
      </w:r>
      <w:r>
        <w:rPr>
          <w:rFonts w:hint="eastAsia" w:ascii="仿宋" w:hAnsi="仿宋" w:eastAsia="仿宋"/>
          <w:sz w:val="32"/>
          <w:szCs w:val="32"/>
        </w:rPr>
        <w:t>万元，完成年初预算的</w:t>
      </w:r>
      <w:r>
        <w:rPr>
          <w:rFonts w:ascii="仿宋" w:hAnsi="仿宋" w:eastAsia="仿宋"/>
          <w:sz w:val="32"/>
          <w:szCs w:val="32"/>
        </w:rPr>
        <w:t>146.96%</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2022年有6名特岗教师进入。</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年中调整</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381.74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478.72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125.40%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工资等发放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增加6名特岗教师</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79.31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用于教师工作福利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经费不足</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用于教师福利支出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年中预算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381.74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561.01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学校支出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教师变动</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55.08</w:t>
      </w:r>
      <w:r>
        <w:rPr>
          <w:rFonts w:hint="eastAsia" w:ascii="仿宋" w:hAnsi="仿宋" w:eastAsia="仿宋"/>
          <w:sz w:val="32"/>
          <w:szCs w:val="32"/>
        </w:rPr>
        <w:t>万元，支出决算为</w:t>
      </w:r>
      <w:r>
        <w:rPr>
          <w:rFonts w:ascii="仿宋" w:hAnsi="仿宋" w:eastAsia="仿宋"/>
          <w:sz w:val="32"/>
          <w:szCs w:val="32"/>
        </w:rPr>
        <w:t>48.60</w:t>
      </w:r>
      <w:r>
        <w:rPr>
          <w:rFonts w:hint="eastAsia" w:ascii="仿宋" w:hAnsi="仿宋" w:eastAsia="仿宋"/>
          <w:sz w:val="32"/>
          <w:szCs w:val="32"/>
        </w:rPr>
        <w:t>万元，完成年初预算的</w:t>
      </w:r>
      <w:r>
        <w:rPr>
          <w:rFonts w:ascii="仿宋" w:hAnsi="仿宋" w:eastAsia="仿宋"/>
          <w:sz w:val="32"/>
          <w:szCs w:val="32"/>
        </w:rPr>
        <w:t>88.24%</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特岗教师基数小，中年教师调出到县城。</w:t>
      </w:r>
    </w:p>
    <w:p>
      <w:p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55.08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88.24%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养老保险和社保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中年教师调出县城</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55.08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用于教师保障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教师变动</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778760"/>
            <wp:effectExtent l="4445" t="4445" r="16510" b="1714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jc w:val="left"/>
        <w:rPr>
          <w:rFonts w:eastAsia="仿宋"/>
          <w:color w:val="FF0000"/>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41.31</w:t>
      </w:r>
      <w:r>
        <w:rPr>
          <w:rFonts w:hint="eastAsia" w:ascii="仿宋" w:hAnsi="仿宋" w:eastAsia="仿宋"/>
          <w:sz w:val="32"/>
          <w:szCs w:val="32"/>
        </w:rPr>
        <w:t>万元，支出决算为</w:t>
      </w:r>
      <w:r>
        <w:rPr>
          <w:rFonts w:ascii="仿宋" w:hAnsi="仿宋" w:eastAsia="仿宋"/>
          <w:sz w:val="32"/>
          <w:szCs w:val="32"/>
        </w:rPr>
        <w:t>37.08</w:t>
      </w:r>
      <w:r>
        <w:rPr>
          <w:rFonts w:hint="eastAsia" w:ascii="仿宋" w:hAnsi="仿宋" w:eastAsia="仿宋"/>
          <w:sz w:val="32"/>
          <w:szCs w:val="32"/>
        </w:rPr>
        <w:t>万元，完成年初预算的</w:t>
      </w:r>
      <w:r>
        <w:rPr>
          <w:rFonts w:ascii="仿宋" w:hAnsi="仿宋" w:eastAsia="仿宋"/>
          <w:sz w:val="32"/>
          <w:szCs w:val="32"/>
        </w:rPr>
        <w:t>89.76%</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教师调出，新进特岗教师基数少。</w:t>
      </w:r>
    </w:p>
    <w:p>
      <w:pPr>
        <w:ind w:firstLine="640" w:firstLineChars="200"/>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89.76%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教师年中变动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教师变动</w:t>
            </w:r>
          </w:p>
        </w:tc>
      </w:tr>
    </w:tbl>
    <w:p>
      <w:pPr>
        <w:jc w:val="both"/>
        <w:rPr>
          <w:rFonts w:ascii="仿宋" w:hAnsi="仿宋" w:eastAsia="仿宋"/>
          <w:sz w:val="32"/>
          <w:szCs w:val="32"/>
        </w:rPr>
      </w:pPr>
      <w:r>
        <w:rPr>
          <w:rFonts w:hint="eastAsia" w:ascii="仿宋" w:hAnsi="仿宋" w:eastAsia="仿宋" w:cs="仿宋"/>
          <w:sz w:val="32"/>
          <w:szCs w:val="32"/>
        </w:rPr>
        <w:drawing>
          <wp:inline distT="0" distB="0" distL="114300" distR="114300">
            <wp:extent cx="4474845" cy="2843530"/>
            <wp:effectExtent l="4445" t="4445" r="16510" b="952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1"/>
        </w:numPr>
        <w:jc w:val="left"/>
        <w:rPr>
          <w:rFonts w:eastAsia="仿宋"/>
          <w:color w:val="FF0000"/>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87.19</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年初没有需要确定支出的项目。</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87.19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用于教师奖励性绩效和伙食补助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教师年中变动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87.19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用于教师奖励</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教师变动</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环江毛南族自治县驯乐苗族乡初级中学2022年度一般公共预算财政拨款基本支出</w:t>
      </w:r>
      <w:r>
        <w:rPr>
          <w:rFonts w:ascii="仿宋" w:hAnsi="仿宋" w:eastAsia="仿宋" w:cs="仿宋"/>
          <w:sz w:val="32"/>
        </w:rPr>
        <w:t>685.92</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658.52</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27.40</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工资福利支出</w:t>
      </w:r>
      <w:r>
        <w:rPr>
          <w:rFonts w:ascii="仿宋" w:hAnsi="仿宋" w:eastAsia="仿宋" w:cs="仿宋"/>
          <w:sz w:val="32"/>
        </w:rPr>
        <w:t>527.32万元，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115.23%</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主要原因是：新进特岗教师6名。</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190.62万元，30102津贴补贴43.98万元，30103奖金104.49万元，30107绩效工资57.83万元，30108机关事业单位基本养老保险缴费61.81万元，30110职工基本医疗保险缴费25.27万元，30112其他社会保障缴费2.84万元，30113住房公积金37.08万元，30199其他工资福利支出3.39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27.40万元，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398.26%</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主要原因是：差旅费和电费超支。</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：30201办公费2.78万元，30205水费0.83万元，30206电费4.16万元，30207邮电费3.55万元，30211差旅费5.72万元，30213维修（护）费0.12万元，30226劳务费3.36万元，30228工会经费6.89万元。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131.20万元，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2389.8%</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主要原因是：抚恤金没有年初预算。</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：30304抚恤金7.80万元，30305生活补助6.46万元，30308助学金89.52万元，30399其他对个人和家庭的补助27.42万元。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主要原因是：本单位无债务利息及费用支出。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主要原因是：本单位无资本性支出。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7876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主要原因是：本单位无其他支出。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环江毛南族自治县驯乐苗族乡初级中学</w:t>
      </w:r>
      <w:r>
        <w:rPr>
          <w:rFonts w:ascii="仿宋_GB2312" w:hAnsi="仿宋_GB2312" w:eastAsia="仿宋_GB2312" w:cs="仿宋_GB2312"/>
          <w:color w:val="000000" w:themeColor="text1"/>
          <w:sz w:val="32"/>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14:textFill>
            <w14:solidFill>
              <w14:schemeClr w14:val="tx1"/>
            </w14:solidFill>
          </w14:textFill>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环江毛南族自治县驯乐苗族乡初级中学2022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bookmarkStart w:id="11" w:name="_Hlk151632136"/>
      <w:bookmarkStart w:id="12"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环江毛南族自治县驯乐苗族乡初级中学</w:t>
      </w:r>
      <w:bookmarkEnd w:id="11"/>
      <w:r>
        <w:rPr>
          <w:rFonts w:ascii="仿宋_GB2312" w:hAnsi="仿宋_GB2312" w:eastAsia="仿宋_GB2312" w:cs="仿宋_GB2312"/>
          <w:color w:val="000000" w:themeColor="text1"/>
          <w:sz w:val="32"/>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12"/>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w:t>
      </w:r>
      <w:r>
        <w:rPr>
          <w:rFonts w:hint="eastAsia" w:ascii="仿宋" w:hAnsi="仿宋" w:eastAsia="仿宋" w:cs="仿宋"/>
          <w:color w:val="000000" w:themeColor="text1"/>
          <w:sz w:val="32"/>
          <w:szCs w:val="32"/>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本单位无出国（境）费支出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w:t>
      </w:r>
      <w:r>
        <w:rPr>
          <w:rFonts w:hint="eastAsia" w:ascii="仿宋" w:hAnsi="仿宋" w:eastAsia="仿宋" w:cs="仿宋"/>
          <w:color w:val="000000" w:themeColor="text1"/>
          <w:sz w:val="32"/>
          <w:szCs w:val="32"/>
          <w14:textFill>
            <w14:solidFill>
              <w14:schemeClr w14:val="tx1"/>
            </w14:solidFill>
          </w14:textFill>
        </w:rPr>
        <w:t>。</w:t>
      </w:r>
      <w:bookmarkStart w:id="13"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13"/>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主要原因是：本单位无公务车运行维护支出。</w:t>
      </w:r>
      <w:r>
        <w:rPr>
          <w:rFonts w:hint="eastAsia" w:ascii="仿宋" w:hAnsi="仿宋" w:eastAsia="仿宋" w:cs="仿宋"/>
          <w:sz w:val="32"/>
          <w:szCs w:val="32"/>
        </w:rPr>
        <w:t>2022年，</w:t>
      </w:r>
      <w:r>
        <w:rPr>
          <w:rFonts w:ascii="仿宋" w:hAnsi="仿宋" w:eastAsia="仿宋" w:cs="仿宋"/>
          <w:sz w:val="32"/>
        </w:rPr>
        <w:t>环江毛南族自治县驯乐苗族乡初级中学</w:t>
      </w:r>
      <w:r>
        <w:rPr>
          <w:rFonts w:hint="eastAsia" w:ascii="仿宋" w:hAnsi="仿宋" w:eastAsia="仿宋" w:cs="仿宋"/>
          <w:sz w:val="32"/>
          <w:szCs w:val="32"/>
        </w:rPr>
        <w:t>及</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ascii="仿宋" w:hAnsi="仿宋" w:eastAsia="仿宋" w:cs="仿宋"/>
          <w:color w:val="000000" w:themeColor="text1"/>
          <w:sz w:val="32"/>
          <w:szCs w:val="32"/>
          <w:u w:val="single"/>
          <w14:textFill>
            <w14:solidFill>
              <w14:schemeClr w14:val="tx1"/>
            </w14:solidFill>
          </w14:textFill>
        </w:rPr>
        <w:t>0</w:t>
      </w:r>
      <w:r>
        <w:rPr>
          <w:rFonts w:hint="eastAsia" w:ascii="仿宋" w:hAnsi="仿宋" w:eastAsia="仿宋" w:cs="仿宋"/>
          <w:color w:val="000000" w:themeColor="text1"/>
          <w:sz w:val="32"/>
          <w:szCs w:val="32"/>
          <w:u w:val="single"/>
          <w14:textFill>
            <w14:solidFill>
              <w14:schemeClr w14:val="tx1"/>
            </w14:solidFill>
          </w14:textFill>
        </w:rPr>
        <w:t>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w:t>
      </w:r>
      <w:r>
        <w:rPr>
          <w:rFonts w:ascii="仿宋" w:hAnsi="仿宋" w:eastAsia="仿宋" w:cs="仿宋"/>
          <w:sz w:val="32"/>
          <w:szCs w:val="32"/>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主要原因是：本单位无公务接待费支出。</w:t>
      </w:r>
      <w:r>
        <w:rPr>
          <w:rFonts w:hint="eastAsia" w:ascii="仿宋" w:hAnsi="仿宋" w:eastAsia="仿宋" w:cs="仿宋"/>
          <w:color w:val="000000" w:themeColor="text1"/>
          <w:sz w:val="32"/>
          <w:szCs w:val="32"/>
          <w14:textFill>
            <w14:solidFill>
              <w14:schemeClr w14:val="tx1"/>
            </w14:solidFill>
          </w14:textFill>
        </w:rPr>
        <w:t>国内公务接待批次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hint="eastAsia" w:ascii="黑体" w:hAnsi="黑体" w:eastAsia="黑体" w:cs="黑体"/>
          <w:sz w:val="32"/>
          <w:szCs w:val="32"/>
        </w:rPr>
      </w:pPr>
      <w:r>
        <w:rPr>
          <w:rFonts w:hint="eastAsia" w:ascii="黑体" w:hAnsi="黑体" w:eastAsia="黑体" w:cs="黑体"/>
          <w:sz w:val="32"/>
          <w:szCs w:val="32"/>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color w:val="FF0000"/>
          <w:sz w:val="32"/>
          <w:szCs w:val="32"/>
        </w:rPr>
      </w:pPr>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default" w:ascii="仿宋" w:hAnsi="仿宋" w:eastAsia="仿宋" w:cs="仿宋"/>
          <w:sz w:val="32"/>
          <w:szCs w:val="32"/>
          <w:lang w:val="en"/>
        </w:rPr>
        <w:t>0.00</w:t>
      </w:r>
      <w:r>
        <w:rPr>
          <w:rFonts w:hint="eastAsia" w:ascii="仿宋" w:hAnsi="仿宋" w:eastAsia="仿宋" w:cs="仿宋"/>
          <w:sz w:val="32"/>
          <w:szCs w:val="32"/>
        </w:rPr>
        <w:t>万元，</w:t>
      </w:r>
      <w:r>
        <w:rPr>
          <w:rFonts w:ascii="仿宋" w:hAnsi="仿宋" w:eastAsia="仿宋" w:cs="仿宋"/>
          <w:sz w:val="32"/>
          <w:szCs w:val="32"/>
        </w:rPr>
        <w:t>下降</w:t>
      </w:r>
      <w:r>
        <w:rPr>
          <w:rFonts w:hint="default" w:ascii="仿宋" w:hAnsi="仿宋" w:eastAsia="仿宋" w:cs="仿宋"/>
          <w:sz w:val="32"/>
          <w:szCs w:val="32"/>
          <w:lang w:val="en"/>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原因是：本单位无机关运行经费支出。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根据财政预算管理要求，本部门组织对2022年度一般公共预算项目支出全面开展绩效自评。其中，一等项目</w:t>
      </w:r>
      <w:r>
        <w:rPr>
          <w:rFonts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个，二等项目</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ascii="仿宋" w:hAnsi="仿宋" w:eastAsia="仿宋" w:cs="仿宋"/>
          <w:color w:val="000000" w:themeColor="text1"/>
          <w:sz w:val="32"/>
          <w:szCs w:val="32"/>
          <w14:textFill>
            <w14:solidFill>
              <w14:schemeClr w14:val="tx1"/>
            </w14:solidFill>
          </w14:textFill>
        </w:rPr>
        <w:t>250.13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ascii="仿宋" w:hAnsi="仿宋" w:eastAsia="仿宋" w:cs="仿宋"/>
          <w:color w:val="000000" w:themeColor="text1"/>
          <w:sz w:val="32"/>
          <w:szCs w:val="32"/>
          <w14:textFill>
            <w14:solidFill>
              <w14:schemeClr w14:val="tx1"/>
            </w14:solidFill>
          </w14:textFill>
        </w:rPr>
        <w:t>33.77</w:t>
      </w:r>
      <w:r>
        <w:rPr>
          <w:rFonts w:hint="eastAsia" w:ascii="仿宋" w:hAnsi="仿宋" w:eastAsia="仿宋" w:cs="仿宋"/>
          <w:color w:val="000000" w:themeColor="text1"/>
          <w:sz w:val="32"/>
          <w:szCs w:val="32"/>
          <w14:textFill>
            <w14:solidFill>
              <w14:schemeClr w14:val="tx1"/>
            </w14:solidFill>
          </w14:textFill>
        </w:rPr>
        <w:t>%。组织对2022年度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%。组织对2022年度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ascii="仿宋" w:hAnsi="仿宋" w:eastAsia="仿宋" w:cs="仿宋"/>
          <w:color w:val="000000" w:themeColor="text1"/>
          <w:sz w:val="32"/>
          <w:szCs w:val="32"/>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ascii="仿宋" w:hAnsi="仿宋" w:eastAsia="仿宋" w:cs="仿宋"/>
          <w:color w:val="000000" w:themeColor="text1"/>
          <w:sz w:val="32"/>
          <w:szCs w:val="32"/>
          <w14:textFill>
            <w14:solidFill>
              <w14:schemeClr w14:val="tx1"/>
            </w14:solidFill>
          </w14:textFill>
        </w:rPr>
        <w:t>250.13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我部门根据年初设定的绩效目标，自治区公用经费项目自评得分为</w:t>
      </w:r>
      <w:r>
        <w:rPr>
          <w:rFonts w:ascii="仿宋" w:hAnsi="仿宋" w:eastAsia="仿宋" w:cs="仿宋"/>
          <w:color w:val="000000" w:themeColor="text1"/>
          <w:sz w:val="32"/>
          <w:szCs w:val="32"/>
          <w14:textFill>
            <w14:solidFill>
              <w14:schemeClr w14:val="tx1"/>
            </w14:solidFill>
          </w14:textFill>
        </w:rPr>
        <w:t>80.92</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分。发现的主要问题及原因：一是执行率低；二是没有协调好年初预算。下一步改进措施：一是做好年初预算；二是充分实施项目，提高执行率和效率。特岗教师工资项目自评得分为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分。发现的主要问题及原因：师资队伍不稳定。下一步改进措施：加大项目投入。义务教育阶段家庭经济困难学生生活自治区补助资金项目自评得分为</w:t>
      </w:r>
      <w:r>
        <w:rPr>
          <w:rFonts w:ascii="仿宋" w:hAnsi="仿宋" w:eastAsia="仿宋" w:cs="仿宋"/>
          <w:color w:val="000000" w:themeColor="text1"/>
          <w:sz w:val="32"/>
          <w:szCs w:val="32"/>
          <w14:textFill>
            <w14:solidFill>
              <w14:schemeClr w14:val="tx1"/>
            </w14:solidFill>
          </w14:textFill>
        </w:rPr>
        <w:t>99.88</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分。发现的主要问题及原因：一是学生人数不定；二是入学率低。下一步改进措施：一是做好年中调整；二是保障就读资源。自治区乡村教师生活补助项目自评得分为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分，没有问题。营养改善计划膳食补助资金项目自评得分为</w:t>
      </w:r>
      <w:r>
        <w:rPr>
          <w:rFonts w:ascii="仿宋" w:hAnsi="仿宋" w:eastAsia="仿宋" w:cs="仿宋"/>
          <w:color w:val="000000" w:themeColor="text1"/>
          <w:sz w:val="32"/>
          <w:szCs w:val="32"/>
          <w14:textFill>
            <w14:solidFill>
              <w14:schemeClr w14:val="tx1"/>
            </w14:solidFill>
          </w14:textFill>
        </w:rPr>
        <w:t>98.74</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分。发现的主要问题及原因：一是学生人数不稳定；二是学生人数减少。下一步改进措施：一是做好年中调整；二是把握学生人数。义务教育中央公用经费项目自评得分为</w:t>
      </w:r>
      <w:r>
        <w:rPr>
          <w:rFonts w:ascii="仿宋" w:hAnsi="仿宋" w:eastAsia="仿宋" w:cs="仿宋"/>
          <w:color w:val="000000" w:themeColor="text1"/>
          <w:sz w:val="32"/>
          <w:szCs w:val="32"/>
          <w14:textFill>
            <w14:solidFill>
              <w14:schemeClr w14:val="tx1"/>
            </w14:solidFill>
          </w14:textFill>
        </w:rPr>
        <w:t>93.20</w:t>
      </w:r>
      <w:r>
        <w:rPr>
          <w:rFonts w:hint="eastAsia" w:ascii="仿宋" w:hAnsi="仿宋" w:eastAsia="仿宋" w:cs="仿宋"/>
          <w:color w:val="000000" w:themeColor="text1"/>
          <w:sz w:val="32"/>
          <w:szCs w:val="32"/>
          <w14:textFill>
            <w14:solidFill>
              <w14:schemeClr w14:val="tx1"/>
            </w14:solidFill>
          </w14:textFill>
        </w:rPr>
        <w:t>分。发现的主要问题及原因：一是执行率偏低；二是疫情提前放假。下一步改进措施：一是利用好项目资金规划；二是发展需要的办公活动。教师节项目自评得分为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分，没有问题。顶岗教师工资项目自评得分为</w:t>
      </w:r>
      <w:r>
        <w:rPr>
          <w:rFonts w:ascii="仿宋" w:hAnsi="仿宋" w:eastAsia="仿宋" w:cs="仿宋"/>
          <w:color w:val="000000" w:themeColor="text1"/>
          <w:sz w:val="32"/>
          <w:szCs w:val="32"/>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t>分。发现的主要问题及原因：一是指标项目多个；二是执行率低。下一步改进措施：一是调整项目；二是做好预算。奖励性补贴项目自评得分为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分，无问题。城乡义务教育公用经费县级配套资金项目自评得分为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分，没有问题。一次性抚恤金项目自评得分为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分。伙食补助项目自评得分为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分。教师节表彰经费及临时顶岗教师工资项目自评得分为</w:t>
      </w:r>
      <w:r>
        <w:rPr>
          <w:rFonts w:ascii="仿宋" w:hAnsi="仿宋" w:eastAsia="仿宋" w:cs="仿宋"/>
          <w:color w:val="000000" w:themeColor="text1"/>
          <w:sz w:val="32"/>
          <w:szCs w:val="32"/>
          <w14:textFill>
            <w14:solidFill>
              <w14:schemeClr w14:val="tx1"/>
            </w14:solidFill>
          </w14:textFill>
        </w:rPr>
        <w:t>97.06</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分。发现的主要问题及原因：一是执行率低；二是项目名称混淆。下一步改进措施：一是归类好项目；二是加强年初预算。全县校园保卫经费项目自评得分为</w:t>
      </w:r>
      <w:r>
        <w:rPr>
          <w:rFonts w:ascii="仿宋" w:hAnsi="仿宋" w:eastAsia="仿宋" w:cs="仿宋"/>
          <w:color w:val="000000" w:themeColor="text1"/>
          <w:sz w:val="32"/>
          <w:szCs w:val="32"/>
          <w14:textFill>
            <w14:solidFill>
              <w14:schemeClr w14:val="tx1"/>
            </w14:solidFill>
          </w14:textFill>
        </w:rPr>
        <w:t>99.38</w:t>
      </w:r>
      <w:r>
        <w:rPr>
          <w:rFonts w:hint="eastAsia" w:ascii="仿宋" w:hAnsi="仿宋" w:eastAsia="仿宋" w:cs="仿宋"/>
          <w:color w:val="000000" w:themeColor="text1"/>
          <w:sz w:val="32"/>
          <w:szCs w:val="32"/>
          <w14:textFill>
            <w14:solidFill>
              <w14:schemeClr w14:val="tx1"/>
            </w14:solidFill>
          </w14:textFill>
        </w:rPr>
        <w:t>分。发现的主要问题及原因：一是没有完成年初预算。下一步改进措施：做好年中调整。环江县教育局2</w:t>
      </w:r>
      <w:r>
        <w:rPr>
          <w:rFonts w:ascii="仿宋" w:hAnsi="仿宋" w:eastAsia="仿宋" w:cs="仿宋"/>
          <w:color w:val="000000" w:themeColor="text1"/>
          <w:sz w:val="32"/>
          <w:szCs w:val="32"/>
          <w14:textFill>
            <w14:solidFill>
              <w14:schemeClr w14:val="tx1"/>
            </w14:solidFill>
          </w14:textFill>
        </w:rPr>
        <w:t>021-2022</w:t>
      </w:r>
      <w:r>
        <w:rPr>
          <w:rFonts w:hint="eastAsia" w:ascii="仿宋" w:hAnsi="仿宋" w:eastAsia="仿宋" w:cs="仿宋"/>
          <w:color w:val="000000" w:themeColor="text1"/>
          <w:sz w:val="32"/>
          <w:szCs w:val="32"/>
          <w14:textFill>
            <w14:solidFill>
              <w14:schemeClr w14:val="tx1"/>
            </w14:solidFill>
          </w14:textFill>
        </w:rPr>
        <w:t>学年度招聘初级中学顶岗教师经费（1</w:t>
      </w:r>
      <w:r>
        <w:rPr>
          <w:rFonts w:ascii="仿宋" w:hAnsi="仿宋" w:eastAsia="仿宋" w:cs="仿宋"/>
          <w:color w:val="000000" w:themeColor="text1"/>
          <w:sz w:val="32"/>
          <w:szCs w:val="32"/>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万）（2</w:t>
      </w:r>
      <w:r>
        <w:rPr>
          <w:rFonts w:ascii="仿宋" w:hAnsi="仿宋" w:eastAsia="仿宋" w:cs="仿宋"/>
          <w:color w:val="000000" w:themeColor="text1"/>
          <w:sz w:val="32"/>
          <w:szCs w:val="32"/>
          <w14:textFill>
            <w14:solidFill>
              <w14:schemeClr w14:val="tx1"/>
            </w14:solidFill>
          </w14:textFill>
        </w:rPr>
        <w:t>021</w:t>
      </w:r>
      <w:r>
        <w:rPr>
          <w:rFonts w:hint="eastAsia" w:ascii="仿宋" w:hAnsi="仿宋" w:eastAsia="仿宋" w:cs="仿宋"/>
          <w:color w:val="000000" w:themeColor="text1"/>
          <w:sz w:val="32"/>
          <w:szCs w:val="32"/>
          <w14:textFill>
            <w14:solidFill>
              <w14:schemeClr w14:val="tx1"/>
            </w14:solidFill>
          </w14:textFill>
        </w:rPr>
        <w:t>年底收回指标）项目自评得分为</w:t>
      </w:r>
      <w:r>
        <w:rPr>
          <w:rFonts w:ascii="仿宋" w:hAnsi="仿宋" w:eastAsia="仿宋" w:cs="仿宋"/>
          <w:color w:val="000000" w:themeColor="text1"/>
          <w:sz w:val="32"/>
          <w:szCs w:val="32"/>
          <w14:textFill>
            <w14:solidFill>
              <w14:schemeClr w14:val="tx1"/>
            </w14:solidFill>
          </w14:textFill>
        </w:rPr>
        <w:t>99.23</w:t>
      </w:r>
      <w:r>
        <w:rPr>
          <w:rFonts w:hint="eastAsia" w:ascii="仿宋" w:hAnsi="仿宋" w:eastAsia="仿宋" w:cs="仿宋"/>
          <w:color w:val="000000" w:themeColor="text1"/>
          <w:sz w:val="32"/>
          <w:szCs w:val="32"/>
          <w14:textFill>
            <w14:solidFill>
              <w14:schemeClr w14:val="tx1"/>
            </w14:solidFill>
          </w14:textFill>
        </w:rPr>
        <w:t>分。发现的主要问题及原因：一是类似项目多；二是预算和执行偏差。下一步改进措施：做好项目调整。驯乐乡中学2</w:t>
      </w:r>
      <w:r>
        <w:rPr>
          <w:rFonts w:ascii="仿宋" w:hAnsi="仿宋" w:eastAsia="仿宋" w:cs="仿宋"/>
          <w:color w:val="000000" w:themeColor="text1"/>
          <w:sz w:val="32"/>
          <w:szCs w:val="32"/>
          <w14:textFill>
            <w14:solidFill>
              <w14:schemeClr w14:val="tx1"/>
            </w14:solidFill>
          </w14:textFill>
        </w:rPr>
        <w:t>022</w:t>
      </w:r>
      <w:r>
        <w:rPr>
          <w:rFonts w:hint="eastAsia" w:ascii="仿宋" w:hAnsi="仿宋" w:eastAsia="仿宋" w:cs="仿宋"/>
          <w:color w:val="000000" w:themeColor="text1"/>
          <w:sz w:val="32"/>
          <w:szCs w:val="32"/>
          <w14:textFill>
            <w14:solidFill>
              <w14:schemeClr w14:val="tx1"/>
            </w14:solidFill>
          </w14:textFill>
        </w:rPr>
        <w:t>年初预算经费（经销店租金）项目自评得分为</w:t>
      </w:r>
      <w:r>
        <w:rPr>
          <w:rFonts w:ascii="仿宋" w:hAnsi="仿宋" w:eastAsia="仿宋" w:cs="仿宋"/>
          <w:color w:val="000000" w:themeColor="text1"/>
          <w:sz w:val="32"/>
          <w:szCs w:val="32"/>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分。发现的主要问题及原因：一是类似项目多条指标；二是年初预算偏多，年中学生数减少。下一步改进措施：一是把握学生的学习保障；二是做好年中调整。年初预算项目自评得分为</w:t>
      </w:r>
      <w:r>
        <w:rPr>
          <w:rFonts w:ascii="仿宋" w:hAnsi="仿宋" w:eastAsia="仿宋" w:cs="仿宋"/>
          <w:color w:val="000000" w:themeColor="text1"/>
          <w:sz w:val="32"/>
          <w:szCs w:val="32"/>
          <w14:textFill>
            <w14:solidFill>
              <w14:schemeClr w14:val="tx1"/>
            </w14:solidFill>
          </w14:textFill>
        </w:rPr>
        <w:t>93.01</w:t>
      </w:r>
      <w:r>
        <w:rPr>
          <w:rFonts w:hint="eastAsia" w:ascii="仿宋" w:hAnsi="仿宋" w:eastAsia="仿宋" w:cs="仿宋"/>
          <w:color w:val="000000" w:themeColor="text1"/>
          <w:sz w:val="32"/>
          <w:szCs w:val="32"/>
          <w14:textFill>
            <w14:solidFill>
              <w14:schemeClr w14:val="tx1"/>
            </w14:solidFill>
          </w14:textFill>
        </w:rPr>
        <w:t>分。发现的主要问题及原因：一是执行率少；二是类似项目指标多。下一步改进措施：一是及时上缴非税；二是做好项目调整。班主任津贴项目自评得分为</w:t>
      </w:r>
      <w:r>
        <w:rPr>
          <w:rFonts w:ascii="仿宋" w:hAnsi="仿宋" w:eastAsia="仿宋" w:cs="仿宋"/>
          <w:color w:val="000000" w:themeColor="text1"/>
          <w:sz w:val="32"/>
          <w:szCs w:val="32"/>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分。发现的主要问题及原因：一是执行率小；二是因为疫情提前放假没有及时支付。下一步改进措施：一是按时支付，不跨年；二是把握财务制度流程，规范执行。</w:t>
      </w: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rPr>
      </w:pPr>
      <w:bookmarkStart w:id="14" w:name="_GoBack"/>
      <w:bookmarkEnd w:id="14"/>
    </w:p>
    <w:p>
      <w:pPr>
        <w:ind w:firstLine="640" w:firstLineChars="200"/>
        <w:jc w:val="left"/>
        <w:rPr>
          <w:rFonts w:ascii="仿宋" w:hAnsi="仿宋" w:eastAsia="仿宋" w:cs="仿宋"/>
          <w:sz w:val="32"/>
          <w:szCs w:val="32"/>
        </w:rPr>
      </w:pPr>
    </w:p>
    <w:p>
      <w:pPr>
        <w:ind w:firstLine="640" w:firstLineChars="200"/>
        <w:jc w:val="left"/>
        <w:rPr>
          <w:rFonts w:hint="eastAsia" w:ascii="仿宋" w:hAnsi="仿宋" w:eastAsia="仿宋" w:cs="仿宋"/>
          <w:sz w:val="32"/>
          <w:szCs w:val="32"/>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571342977"/>
        <w:docPartObj>
          <w:docPartGallery w:val="autotext"/>
        </w:docPartObj>
      </w:sdtPr>
      <w:sdtEndPr>
        <w:rPr>
          <w:rFonts w:asciiTheme="minorEastAsia" w:hAnsiTheme="minorEastAsia"/>
          <w:sz w:val="28"/>
          <w:szCs w:val="28"/>
        </w:rPr>
      </w:sdtEndPr>
      <w:sdtContent>
        <w:sdt>
          <w:sdtPr>
            <w:rPr>
              <w:rFonts w:asciiTheme="minorEastAsia" w:hAnsiTheme="minorEastAsia"/>
              <w:sz w:val="28"/>
              <w:szCs w:val="28"/>
            </w:rPr>
            <w:id w:val="171357283"/>
            <w:docPartObj>
              <w:docPartGallery w:val="autotext"/>
            </w:docPartObj>
          </w:sdtPr>
          <w:sdtEndPr>
            <w:rPr>
              <w:rFonts w:asciiTheme="minorEastAsia" w:hAnsiTheme="minorEastAsia"/>
              <w:sz w:val="28"/>
              <w:szCs w:val="28"/>
            </w:rPr>
          </w:sdtEndPr>
          <w:sdtContent>
            <w:r>
              <w:rPr>
                <w:rFonts w:asciiTheme="minorEastAsia" w:hAnsiTheme="minorEastAsia"/>
                <w:sz w:val="28"/>
                <w:szCs w:val="28"/>
                <w:lang w:val="zh-CN"/>
              </w:rPr>
              <w:t xml:space="preserve"> </w:t>
            </w:r>
            <w:r>
              <w:rPr>
                <w:rFonts w:asciiTheme="minorEastAsia" w:hAnsiTheme="minorEastAsia"/>
                <w:b/>
                <w:sz w:val="28"/>
                <w:szCs w:val="28"/>
              </w:rPr>
              <w:fldChar w:fldCharType="begin"/>
            </w:r>
            <w:r>
              <w:rPr>
                <w:rFonts w:asciiTheme="minorEastAsia" w:hAnsiTheme="minorEastAsia"/>
                <w:b/>
                <w:sz w:val="28"/>
                <w:szCs w:val="28"/>
              </w:rPr>
              <w:instrText xml:space="preserve">PAGE</w:instrText>
            </w:r>
            <w:r>
              <w:rPr>
                <w:rFonts w:asciiTheme="minorEastAsia" w:hAnsiTheme="minorEastAsia"/>
                <w:b/>
                <w:sz w:val="28"/>
                <w:szCs w:val="28"/>
              </w:rPr>
              <w:fldChar w:fldCharType="separate"/>
            </w:r>
            <w:r>
              <w:rPr>
                <w:rFonts w:asciiTheme="minorEastAsia" w:hAnsiTheme="minorEastAsia"/>
                <w:b/>
                <w:sz w:val="28"/>
                <w:szCs w:val="28"/>
              </w:rPr>
              <w:t>1</w:t>
            </w:r>
            <w:r>
              <w:rPr>
                <w:rFonts w:asciiTheme="minorEastAsia" w:hAnsiTheme="minorEastAsia"/>
                <w:b/>
                <w:sz w:val="28"/>
                <w:szCs w:val="28"/>
              </w:rPr>
              <w:fldChar w:fldCharType="end"/>
            </w:r>
            <w:r>
              <w:rPr>
                <w:rFonts w:asciiTheme="minorEastAsia" w:hAnsiTheme="minorEastAsia"/>
                <w:sz w:val="28"/>
                <w:szCs w:val="28"/>
                <w:lang w:val="zh-CN"/>
              </w:rPr>
              <w:t xml:space="preserve"> -</w:t>
            </w:r>
          </w:sdtContent>
        </w:sdt>
      </w:sdtContent>
    </w:sdt>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A5C3B"/>
    <w:rsid w:val="000B06D8"/>
    <w:rsid w:val="000E5855"/>
    <w:rsid w:val="001418A5"/>
    <w:rsid w:val="00147D40"/>
    <w:rsid w:val="00156EF2"/>
    <w:rsid w:val="001B1EB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96C60"/>
    <w:rsid w:val="006D677A"/>
    <w:rsid w:val="007640BB"/>
    <w:rsid w:val="00771953"/>
    <w:rsid w:val="00776E0B"/>
    <w:rsid w:val="007A0641"/>
    <w:rsid w:val="007B2542"/>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1F0A"/>
    <w:rsid w:val="00946CCF"/>
    <w:rsid w:val="0097721B"/>
    <w:rsid w:val="009831F8"/>
    <w:rsid w:val="009B3E00"/>
    <w:rsid w:val="009D1667"/>
    <w:rsid w:val="009F7F9A"/>
    <w:rsid w:val="00A07CCE"/>
    <w:rsid w:val="00A27624"/>
    <w:rsid w:val="00A358E6"/>
    <w:rsid w:val="00AA78EE"/>
    <w:rsid w:val="00AB53E1"/>
    <w:rsid w:val="00AE5F66"/>
    <w:rsid w:val="00B07A0B"/>
    <w:rsid w:val="00B22F28"/>
    <w:rsid w:val="00B33FA1"/>
    <w:rsid w:val="00B37453"/>
    <w:rsid w:val="00B45479"/>
    <w:rsid w:val="00B60171"/>
    <w:rsid w:val="00B837AC"/>
    <w:rsid w:val="00BB4FB8"/>
    <w:rsid w:val="00BD315D"/>
    <w:rsid w:val="00C3279E"/>
    <w:rsid w:val="00C34857"/>
    <w:rsid w:val="00C36EB8"/>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9DB4CA4"/>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4BA73CC"/>
    <w:rsid w:val="55450629"/>
    <w:rsid w:val="56692963"/>
    <w:rsid w:val="568B0F48"/>
    <w:rsid w:val="5786217B"/>
    <w:rsid w:val="59337A15"/>
    <w:rsid w:val="59810274"/>
    <w:rsid w:val="5CA96A00"/>
    <w:rsid w:val="5CF730BC"/>
    <w:rsid w:val="5E5F0DCE"/>
    <w:rsid w:val="5FA40A7B"/>
    <w:rsid w:val="5FD56D29"/>
    <w:rsid w:val="5FEC7F3F"/>
    <w:rsid w:val="60A10AEA"/>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7D795A"/>
    <w:rsid w:val="6F8A0C1E"/>
    <w:rsid w:val="703F45D4"/>
    <w:rsid w:val="707650EB"/>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99"/>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740.77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7.8</c:v>
                </c:pt>
                <c:pt idx="4">
                  <c:v>6.46</c:v>
                </c:pt>
                <c:pt idx="5">
                  <c:v>0</c:v>
                </c:pt>
                <c:pt idx="6">
                  <c:v>0</c:v>
                </c:pt>
                <c:pt idx="7">
                  <c:v>89.52</c:v>
                </c:pt>
                <c:pt idx="8">
                  <c:v>0</c:v>
                </c:pt>
                <c:pt idx="9">
                  <c:v>0</c:v>
                </c:pt>
                <c:pt idx="10">
                  <c:v>0</c:v>
                </c:pt>
                <c:pt idx="11">
                  <c:v>27.42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727.16</c:v>
                </c:pt>
                <c:pt idx="2">
                  <c:v>75.42</c:v>
                </c:pt>
                <c:pt idx="3">
                  <c:v>47.52</c:v>
                </c:pt>
                <c:pt idx="4">
                  <c:v>45.24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6.89</c:v>
                </c:pt>
                <c:pt idx="1">
                  <c:v>561.01</c:v>
                </c:pt>
                <c:pt idx="2">
                  <c:v>48.6</c:v>
                </c:pt>
                <c:pt idx="3">
                  <c:v>37.08</c:v>
                </c:pt>
                <c:pt idx="4">
                  <c:v>87.19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6.89</c:v>
                </c:pt>
                <c:pt idx="1">
                  <c:v>6.89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2050203</c:v>
                </c:pt>
                <c:pt idx="2">
                  <c:v>2050299</c:v>
                </c:pt>
                <c:pt idx="3">
                  <c:v>2050999</c:v>
                </c:pt>
                <c:pt idx="4">
                  <c:v>205x</c:v>
                </c:pt>
              </c:strCache>
            </c:strRef>
          </c:cat>
          <c:val>
            <c:numRef>
              <c:f>Sheet1!$B$2:$B$6</c:f>
              <c:numCache>
                <c:formatCode>General</c:formatCode>
                <c:ptCount val="5"/>
                <c:pt idx="0">
                  <c:v>1.63</c:v>
                </c:pt>
                <c:pt idx="1">
                  <c:v>478.72</c:v>
                </c:pt>
                <c:pt idx="2">
                  <c:v>79.31</c:v>
                </c:pt>
                <c:pt idx="3">
                  <c:v>1.35</c:v>
                </c:pt>
                <c:pt idx="4">
                  <c:v>561.01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48.6</c:v>
                </c:pt>
                <c:pt idx="1">
                  <c:v>48.6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37.08</c:v>
                </c:pt>
                <c:pt idx="1">
                  <c:v>37.08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87.19</c:v>
                </c:pt>
                <c:pt idx="1">
                  <c:v>87.19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190.62</c:v>
                </c:pt>
                <c:pt idx="1">
                  <c:v>43.98</c:v>
                </c:pt>
                <c:pt idx="2">
                  <c:v>104.49</c:v>
                </c:pt>
                <c:pt idx="3">
                  <c:v>0</c:v>
                </c:pt>
                <c:pt idx="4">
                  <c:v>57.83</c:v>
                </c:pt>
                <c:pt idx="5">
                  <c:v>61.81</c:v>
                </c:pt>
                <c:pt idx="6">
                  <c:v>0</c:v>
                </c:pt>
                <c:pt idx="7">
                  <c:v>25.27</c:v>
                </c:pt>
                <c:pt idx="8">
                  <c:v>0</c:v>
                </c:pt>
                <c:pt idx="9">
                  <c:v>2.84</c:v>
                </c:pt>
                <c:pt idx="10">
                  <c:v>37.08</c:v>
                </c:pt>
                <c:pt idx="11">
                  <c:v>0</c:v>
                </c:pt>
                <c:pt idx="12">
                  <c:v>3.39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2.78</c:v>
                </c:pt>
                <c:pt idx="1">
                  <c:v>0</c:v>
                </c:pt>
                <c:pt idx="2">
                  <c:v>0</c:v>
                </c:pt>
                <c:pt idx="3">
                  <c:v>0</c:v>
                </c:pt>
                <c:pt idx="4">
                  <c:v>0.83</c:v>
                </c:pt>
                <c:pt idx="5">
                  <c:v>4.16</c:v>
                </c:pt>
                <c:pt idx="6">
                  <c:v>3.55</c:v>
                </c:pt>
                <c:pt idx="7">
                  <c:v>0</c:v>
                </c:pt>
                <c:pt idx="8">
                  <c:v>0</c:v>
                </c:pt>
                <c:pt idx="9">
                  <c:v>5.72</c:v>
                </c:pt>
                <c:pt idx="10">
                  <c:v>0</c:v>
                </c:pt>
                <c:pt idx="11">
                  <c:v>0.12</c:v>
                </c:pt>
                <c:pt idx="12">
                  <c:v>0</c:v>
                </c:pt>
                <c:pt idx="13">
                  <c:v>0</c:v>
                </c:pt>
                <c:pt idx="14">
                  <c:v>0</c:v>
                </c:pt>
                <c:pt idx="15">
                  <c:v>0</c:v>
                </c:pt>
                <c:pt idx="16">
                  <c:v>0</c:v>
                </c:pt>
                <c:pt idx="17">
                  <c:v>0</c:v>
                </c:pt>
                <c:pt idx="18">
                  <c:v>0</c:v>
                </c:pt>
                <c:pt idx="19">
                  <c:v>3.36</c:v>
                </c:pt>
                <c:pt idx="20">
                  <c:v>0</c:v>
                </c:pt>
                <c:pt idx="21">
                  <c:v>6.89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2806</Words>
  <Characters>15995</Characters>
  <Lines>133</Lines>
  <Paragraphs>37</Paragraphs>
  <TotalTime>42</TotalTime>
  <ScaleCrop>false</ScaleCrop>
  <LinksUpToDate>false</LinksUpToDate>
  <CharactersWithSpaces>18764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2023-11-23T11:04:00Z</dcterms:created>
  <dc:creator>C D D</dc:creator>
  <cp:lastModifiedBy>Administrator</cp:lastModifiedBy>
  <dcterms:modified xsi:type="dcterms:W3CDTF">2023-11-29T02:35:43Z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