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kern w:val="0"/>
          <w:sz w:val="52"/>
          <w:szCs w:val="52"/>
          <w:highlight w:val="none"/>
          <w:lang w:eastAsia="zh-CN"/>
        </w:rPr>
      </w:pPr>
      <w:r>
        <w:rPr>
          <w:rFonts w:hint="eastAsia" w:ascii="黑体" w:hAnsi="黑体" w:eastAsia="黑体" w:cs="黑体"/>
          <w:b/>
          <w:bCs/>
          <w:kern w:val="0"/>
          <w:sz w:val="52"/>
          <w:szCs w:val="52"/>
          <w:highlight w:val="none"/>
        </w:rPr>
        <w:t>环江</w:t>
      </w:r>
      <w:r>
        <w:rPr>
          <w:rFonts w:hint="eastAsia" w:ascii="黑体" w:hAnsi="黑体" w:eastAsia="黑体" w:cs="黑体"/>
          <w:b/>
          <w:bCs/>
          <w:kern w:val="0"/>
          <w:sz w:val="52"/>
          <w:szCs w:val="52"/>
          <w:highlight w:val="none"/>
          <w:lang w:val="en-US" w:eastAsia="zh-CN"/>
        </w:rPr>
        <w:t>毛南族自治</w:t>
      </w:r>
      <w:r>
        <w:rPr>
          <w:rFonts w:hint="eastAsia" w:ascii="黑体" w:hAnsi="黑体" w:eastAsia="黑体" w:cs="黑体"/>
          <w:b/>
          <w:bCs/>
          <w:kern w:val="0"/>
          <w:sz w:val="52"/>
          <w:szCs w:val="52"/>
          <w:highlight w:val="none"/>
        </w:rPr>
        <w:t>县</w:t>
      </w:r>
      <w:r>
        <w:rPr>
          <w:rFonts w:hint="eastAsia" w:ascii="黑体" w:hAnsi="黑体" w:eastAsia="黑体" w:cs="黑体"/>
          <w:b/>
          <w:bCs/>
          <w:kern w:val="0"/>
          <w:sz w:val="52"/>
          <w:szCs w:val="52"/>
          <w:highlight w:val="none"/>
          <w:lang w:eastAsia="zh-CN"/>
        </w:rPr>
        <w:t>人民政府办公室</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kern w:val="0"/>
          <w:sz w:val="32"/>
          <w:szCs w:val="32"/>
          <w:highlight w:val="none"/>
        </w:rPr>
        <w:t>环江县</w:t>
      </w:r>
      <w:r>
        <w:rPr>
          <w:rFonts w:hint="eastAsia" w:ascii="黑体" w:hAnsi="黑体" w:eastAsia="黑体" w:cs="黑体"/>
          <w:kern w:val="0"/>
          <w:sz w:val="32"/>
          <w:szCs w:val="32"/>
          <w:highlight w:val="none"/>
          <w:lang w:eastAsia="zh-CN"/>
        </w:rPr>
        <w:t>人民政府办公室</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kern w:val="0"/>
          <w:sz w:val="32"/>
          <w:szCs w:val="32"/>
          <w:highlight w:val="none"/>
        </w:rPr>
        <w:t>环江县</w:t>
      </w:r>
      <w:r>
        <w:rPr>
          <w:rFonts w:hint="eastAsia" w:ascii="黑体" w:hAnsi="黑体" w:eastAsia="黑体" w:cs="黑体"/>
          <w:kern w:val="0"/>
          <w:sz w:val="32"/>
          <w:szCs w:val="32"/>
          <w:highlight w:val="none"/>
          <w:lang w:eastAsia="zh-CN"/>
        </w:rPr>
        <w:t>人民政府办公室</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kern w:val="0"/>
          <w:sz w:val="32"/>
          <w:szCs w:val="32"/>
          <w:highlight w:val="none"/>
        </w:rPr>
        <w:t>环江县</w:t>
      </w:r>
      <w:r>
        <w:rPr>
          <w:rFonts w:hint="eastAsia" w:ascii="黑体" w:hAnsi="黑体" w:eastAsia="黑体" w:cs="黑体"/>
          <w:kern w:val="0"/>
          <w:sz w:val="32"/>
          <w:szCs w:val="32"/>
          <w:highlight w:val="none"/>
          <w:lang w:eastAsia="zh-CN"/>
        </w:rPr>
        <w:t>人民政府办公室</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kern w:val="0"/>
          <w:sz w:val="32"/>
          <w:szCs w:val="32"/>
          <w:highlight w:val="none"/>
        </w:rPr>
        <w:t>环江县</w:t>
      </w:r>
      <w:r>
        <w:rPr>
          <w:rFonts w:hint="eastAsia" w:ascii="黑体" w:hAnsi="黑体" w:eastAsia="黑体" w:cs="黑体"/>
          <w:b/>
          <w:bCs/>
          <w:kern w:val="0"/>
          <w:sz w:val="32"/>
          <w:szCs w:val="32"/>
          <w:highlight w:val="none"/>
          <w:lang w:eastAsia="zh-CN"/>
        </w:rPr>
        <w:t>人民政府办公室</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（一）负责办理自治区人民政府、自治区人民政府办公厅以及市人民政府、市人民政府办公室下发的文电。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（二）负责自治县人民政府会议的准备工作，协助自治县人民政府领导同志组织会议决定事项的实施。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（三）协助自治县人民政府领导同志组织起草或审核以自治县人民政府、自治县人民政府办公室名义发布的公文。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（四）研究各乡（镇）、县直各部门及有关单位请示自治县人民政府的事项，提出审核处理意见，报自治县人民政府领导同志审批。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（五）根据自治县人民政府领导同志的指示或办理文件的需要，组织协调有关部门，对有关问题提出处理意见报自治县人民政府领导同志决定。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六）督促检查自治县人民政府各部门和各乡（镇）人民政府对自治区人民政府、自治区人民政府办公厅和市人民政府、市人民政府办公室以及自治县人民政府各项决议、决定、重要工作部署及领导同志重要批示的贯彻执行情况并跟踪调研，及时向自治县人民政府领导同志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（七）协助自治县人民政府领导同志组织处理需要由自治县人民政府直接处理的突发事件和重大事故。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（八）收集、编辑、报送自治县人民政府领导同志参阅的信息资料。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（九）负责自治县人民政府值班工作，及时向自治县人民政府领导同志报告重要情况，传达和督促落实自治县人民政府领导同志指示，协助处理县直各部门、各有关单位以及各乡（镇）人民政府反映的重要问题。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（十）负责县级政务服务、政府信息公开、政务公开工作，指导、协调全县政务服务、政府信息公开、政务公开工作。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（十一）做好接待和行政事务工作，为自治县人民政府领导同志服务。</w:t>
      </w:r>
    </w:p>
    <w:p>
      <w:pPr>
        <w:keepNext w:val="0"/>
        <w:keepLines w:val="0"/>
        <w:pageBreakBefore w:val="0"/>
        <w:kinsoku/>
        <w:wordWrap/>
        <w:overflowPunct/>
        <w:topLinePunct w:val="0"/>
        <w:bidi w:val="0"/>
        <w:spacing w:line="560" w:lineRule="exact"/>
        <w:ind w:firstLine="320" w:firstLineChars="1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rPr>
        <w:t>（十二）办理自治县人民政府和自治县人民政府领导同志交办的其他事项。</w:t>
      </w:r>
      <w:r>
        <w:rPr>
          <w:rFonts w:hint="eastAsia" w:ascii="仿宋_GB2312" w:hAnsi="仿宋_GB2312" w:eastAsia="仿宋_GB2312" w:cs="仿宋_GB2312"/>
          <w:sz w:val="32"/>
          <w:szCs w:val="32"/>
          <w:highlight w:val="none"/>
        </w:rPr>
        <w:t>　</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pStyle w:val="5"/>
        <w:widowControl/>
        <w:shd w:val="clear" w:color="auto" w:fill="FFFFFF"/>
        <w:spacing w:before="0" w:beforeAutospacing="0" w:after="0" w:afterAutospacing="0" w:line="378" w:lineRule="atLeast"/>
        <w:ind w:firstLine="640" w:firstLineChars="200"/>
        <w:jc w:val="both"/>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自治县人民政府办公室</w:t>
      </w:r>
      <w:r>
        <w:rPr>
          <w:rFonts w:hint="eastAsia" w:ascii="仿宋_GB2312" w:hAnsi="仿宋_GB2312" w:eastAsia="仿宋_GB2312" w:cs="仿宋_GB2312"/>
          <w:sz w:val="32"/>
          <w:szCs w:val="32"/>
          <w:highlight w:val="none"/>
        </w:rPr>
        <w:t>汇总决算报表由</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个单位决算报表构成。其中行政单位1个，是</w:t>
      </w:r>
      <w:r>
        <w:rPr>
          <w:rFonts w:hint="eastAsia" w:ascii="仿宋_GB2312" w:hAnsi="仿宋_GB2312" w:eastAsia="仿宋_GB2312" w:cs="仿宋_GB2312"/>
          <w:sz w:val="32"/>
          <w:szCs w:val="32"/>
          <w:highlight w:val="none"/>
          <w:lang w:eastAsia="zh-CN"/>
        </w:rPr>
        <w:t>政府</w:t>
      </w:r>
      <w:r>
        <w:rPr>
          <w:rFonts w:hint="eastAsia" w:ascii="仿宋_GB2312" w:hAnsi="仿宋_GB2312" w:eastAsia="仿宋_GB2312" w:cs="仿宋_GB2312"/>
          <w:sz w:val="32"/>
          <w:szCs w:val="32"/>
          <w:highlight w:val="none"/>
        </w:rPr>
        <w:t>机关本级；</w:t>
      </w:r>
      <w:r>
        <w:rPr>
          <w:rFonts w:hint="eastAsia" w:ascii="仿宋_GB2312" w:hAnsi="仿宋_GB2312" w:eastAsia="仿宋_GB2312" w:cs="仿宋_GB2312"/>
          <w:sz w:val="32"/>
          <w:szCs w:val="32"/>
          <w:highlight w:val="none"/>
          <w:lang w:eastAsia="zh-CN"/>
        </w:rPr>
        <w:t>非</w:t>
      </w:r>
      <w:r>
        <w:rPr>
          <w:rFonts w:hint="eastAsia" w:ascii="仿宋_GB2312" w:hAnsi="仿宋_GB2312" w:eastAsia="仿宋_GB2312" w:cs="仿宋_GB2312"/>
          <w:sz w:val="32"/>
          <w:szCs w:val="32"/>
          <w:highlight w:val="none"/>
        </w:rPr>
        <w:t>参照公务员管理全额事业单位</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，是</w:t>
      </w:r>
      <w:r>
        <w:rPr>
          <w:rFonts w:hint="eastAsia" w:ascii="仿宋_GB2312" w:hAnsi="仿宋_GB2312" w:eastAsia="仿宋_GB2312" w:cs="仿宋_GB2312"/>
          <w:color w:val="333333"/>
          <w:sz w:val="32"/>
          <w:szCs w:val="32"/>
          <w:shd w:val="clear" w:color="auto" w:fill="FFFFFF"/>
          <w:lang w:eastAsia="zh-CN"/>
        </w:rPr>
        <w:t>政府发展研究中心。</w:t>
      </w:r>
    </w:p>
    <w:p>
      <w:pPr>
        <w:pStyle w:val="5"/>
        <w:widowControl/>
        <w:shd w:val="clear" w:color="auto" w:fill="FFFFFF"/>
        <w:spacing w:before="0" w:beforeAutospacing="0" w:after="0" w:afterAutospacing="0" w:line="378" w:lineRule="atLeast"/>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sz w:val="32"/>
          <w:szCs w:val="32"/>
          <w:highlight w:val="none"/>
          <w:lang w:eastAsia="zh-CN"/>
        </w:rPr>
        <w:t>内</w:t>
      </w:r>
      <w:r>
        <w:rPr>
          <w:rFonts w:hint="eastAsia" w:ascii="仿宋_GB2312" w:hAnsi="仿宋_GB2312" w:eastAsia="仿宋_GB2312" w:cs="仿宋_GB2312"/>
          <w:color w:val="333333"/>
          <w:sz w:val="32"/>
          <w:szCs w:val="32"/>
          <w:shd w:val="clear" w:color="auto" w:fill="FFFFFF"/>
        </w:rPr>
        <w:t>设</w:t>
      </w:r>
      <w:r>
        <w:rPr>
          <w:rFonts w:hint="eastAsia" w:ascii="仿宋_GB2312" w:hAnsi="仿宋_GB2312" w:eastAsia="仿宋_GB2312" w:cs="仿宋_GB2312"/>
          <w:color w:val="333333"/>
          <w:sz w:val="32"/>
          <w:szCs w:val="32"/>
          <w:shd w:val="clear" w:color="auto" w:fill="FFFFFF"/>
          <w:lang w:eastAsia="zh-CN"/>
        </w:rPr>
        <w:t>机构</w:t>
      </w:r>
      <w:r>
        <w:rPr>
          <w:rFonts w:hint="eastAsia" w:ascii="仿宋_GB2312" w:hAnsi="仿宋_GB2312" w:eastAsia="仿宋_GB2312" w:cs="仿宋_GB2312"/>
          <w:color w:val="333333"/>
          <w:sz w:val="32"/>
          <w:szCs w:val="32"/>
          <w:shd w:val="clear" w:color="auto" w:fill="FFFFFF"/>
        </w:rPr>
        <w:t>有</w:t>
      </w:r>
      <w:r>
        <w:rPr>
          <w:rFonts w:hint="eastAsia" w:ascii="仿宋_GB2312" w:hAnsi="仿宋_GB2312" w:eastAsia="仿宋_GB2312" w:cs="仿宋_GB2312"/>
          <w:color w:val="333333"/>
          <w:sz w:val="32"/>
          <w:szCs w:val="32"/>
          <w:shd w:val="clear" w:color="auto" w:fill="FFFFFF"/>
          <w:lang w:eastAsia="zh-CN"/>
        </w:rPr>
        <w:t>主任</w:t>
      </w:r>
      <w:r>
        <w:rPr>
          <w:rFonts w:hint="eastAsia" w:ascii="仿宋_GB2312" w:hAnsi="仿宋_GB2312" w:eastAsia="仿宋_GB2312" w:cs="仿宋_GB2312"/>
          <w:color w:val="333333"/>
          <w:sz w:val="32"/>
          <w:szCs w:val="32"/>
          <w:shd w:val="clear" w:color="auto" w:fill="FFFFFF"/>
        </w:rPr>
        <w:t>室、副</w:t>
      </w:r>
      <w:r>
        <w:rPr>
          <w:rFonts w:hint="eastAsia" w:ascii="仿宋_GB2312" w:hAnsi="仿宋_GB2312" w:eastAsia="仿宋_GB2312" w:cs="仿宋_GB2312"/>
          <w:color w:val="333333"/>
          <w:sz w:val="32"/>
          <w:szCs w:val="32"/>
          <w:shd w:val="clear" w:color="auto" w:fill="FFFFFF"/>
          <w:lang w:eastAsia="zh-CN"/>
        </w:rPr>
        <w:t>主任</w:t>
      </w:r>
      <w:r>
        <w:rPr>
          <w:rFonts w:hint="eastAsia" w:ascii="仿宋_GB2312" w:hAnsi="仿宋_GB2312" w:eastAsia="仿宋_GB2312" w:cs="仿宋_GB2312"/>
          <w:color w:val="333333"/>
          <w:sz w:val="32"/>
          <w:szCs w:val="32"/>
          <w:shd w:val="clear" w:color="auto" w:fill="FFFFFF"/>
        </w:rPr>
        <w:t>室、</w:t>
      </w:r>
      <w:r>
        <w:rPr>
          <w:rFonts w:hint="eastAsia" w:ascii="仿宋_GB2312" w:hAnsi="仿宋_GB2312" w:eastAsia="仿宋_GB2312" w:cs="仿宋_GB2312"/>
          <w:color w:val="333333"/>
          <w:sz w:val="32"/>
          <w:szCs w:val="32"/>
          <w:shd w:val="clear" w:color="auto" w:fill="FFFFFF"/>
          <w:lang w:eastAsia="zh-CN"/>
        </w:rPr>
        <w:t>综合股</w:t>
      </w:r>
      <w:r>
        <w:rPr>
          <w:rFonts w:hint="eastAsia" w:ascii="仿宋_GB2312" w:hAnsi="仿宋_GB2312" w:eastAsia="仿宋_GB2312" w:cs="仿宋_GB2312"/>
          <w:color w:val="333333"/>
          <w:sz w:val="32"/>
          <w:szCs w:val="32"/>
          <w:shd w:val="clear" w:color="auto" w:fill="FFFFFF"/>
        </w:rPr>
        <w:t>、财务室</w:t>
      </w:r>
      <w:r>
        <w:rPr>
          <w:rFonts w:hint="eastAsia" w:ascii="仿宋_GB2312" w:hAnsi="仿宋_GB2312" w:eastAsia="仿宋_GB2312" w:cs="仿宋_GB2312"/>
          <w:color w:val="333333"/>
          <w:sz w:val="32"/>
          <w:szCs w:val="32"/>
          <w:shd w:val="clear" w:color="auto" w:fill="FFFFFF"/>
          <w:lang w:eastAsia="zh-CN"/>
        </w:rPr>
        <w:t>、第一秘书股</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CN"/>
        </w:rPr>
        <w:t>第二秘书股</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CN"/>
        </w:rPr>
        <w:t>第三秘书股</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CN"/>
        </w:rPr>
        <w:t>第四秘书股</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CN"/>
        </w:rPr>
        <w:t>第五秘书股</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CN"/>
        </w:rPr>
        <w:t>第六秘书股、政府督查室、信息中心（值班室）、档案室、政府发展研究中心</w:t>
      </w:r>
      <w:r>
        <w:rPr>
          <w:rFonts w:hint="eastAsia" w:ascii="仿宋_GB2312" w:hAnsi="仿宋_GB2312" w:eastAsia="仿宋_GB2312" w:cs="仿宋_GB2312"/>
          <w:color w:val="333333"/>
          <w:sz w:val="32"/>
          <w:szCs w:val="32"/>
          <w:shd w:val="clear" w:color="auto" w:fill="FFFFFF"/>
        </w:rPr>
        <w:t>。</w:t>
      </w:r>
    </w:p>
    <w:p>
      <w:pPr>
        <w:pStyle w:val="5"/>
        <w:widowControl/>
        <w:shd w:val="clear" w:color="auto" w:fill="FFFFFF"/>
        <w:spacing w:before="0" w:beforeAutospacing="0" w:after="0" w:afterAutospacing="0" w:line="378"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人员编制总数为</w:t>
      </w:r>
      <w:r>
        <w:rPr>
          <w:rFonts w:hint="eastAsia" w:ascii="仿宋_GB2312" w:hAnsi="仿宋_GB2312" w:eastAsia="仿宋_GB2312" w:cs="仿宋_GB2312"/>
          <w:color w:val="333333"/>
          <w:sz w:val="32"/>
          <w:szCs w:val="32"/>
          <w:shd w:val="clear" w:color="auto" w:fill="FFFFFF"/>
          <w:lang w:val="en-US" w:eastAsia="zh-CN"/>
        </w:rPr>
        <w:t>44</w:t>
      </w:r>
      <w:r>
        <w:rPr>
          <w:rFonts w:hint="eastAsia" w:ascii="仿宋_GB2312" w:hAnsi="仿宋_GB2312" w:eastAsia="仿宋_GB2312" w:cs="仿宋_GB2312"/>
          <w:color w:val="333333"/>
          <w:sz w:val="32"/>
          <w:szCs w:val="32"/>
          <w:shd w:val="clear" w:color="auto" w:fill="FFFFFF"/>
        </w:rPr>
        <w:t>人，其中行政编制</w:t>
      </w:r>
      <w:r>
        <w:rPr>
          <w:rFonts w:hint="eastAsia" w:ascii="仿宋_GB2312" w:hAnsi="仿宋_GB2312" w:eastAsia="仿宋_GB2312" w:cs="仿宋_GB2312"/>
          <w:color w:val="333333"/>
          <w:sz w:val="32"/>
          <w:szCs w:val="32"/>
          <w:shd w:val="clear" w:color="auto" w:fill="FFFFFF"/>
          <w:lang w:val="en-US" w:eastAsia="zh-CN"/>
        </w:rPr>
        <w:t>28</w:t>
      </w:r>
      <w:r>
        <w:rPr>
          <w:rFonts w:hint="eastAsia" w:ascii="仿宋_GB2312" w:hAnsi="仿宋_GB2312" w:eastAsia="仿宋_GB2312" w:cs="仿宋_GB2312"/>
          <w:color w:val="333333"/>
          <w:sz w:val="32"/>
          <w:szCs w:val="32"/>
          <w:shd w:val="clear" w:color="auto" w:fill="FFFFFF"/>
        </w:rPr>
        <w:t>人，事业编制</w:t>
      </w:r>
      <w:r>
        <w:rPr>
          <w:rFonts w:hint="eastAsia" w:ascii="仿宋_GB2312" w:hAnsi="仿宋_GB2312" w:eastAsia="仿宋_GB2312" w:cs="仿宋_GB2312"/>
          <w:color w:val="333333"/>
          <w:sz w:val="32"/>
          <w:szCs w:val="32"/>
          <w:shd w:val="clear" w:color="auto" w:fill="FFFFFF"/>
          <w:lang w:val="en-US" w:eastAsia="zh-CN"/>
        </w:rPr>
        <w:t>7</w:t>
      </w:r>
      <w:r>
        <w:rPr>
          <w:rFonts w:hint="eastAsia" w:ascii="仿宋_GB2312" w:hAnsi="仿宋_GB2312" w:eastAsia="仿宋_GB2312" w:cs="仿宋_GB2312"/>
          <w:color w:val="333333"/>
          <w:sz w:val="32"/>
          <w:szCs w:val="32"/>
          <w:shd w:val="clear" w:color="auto" w:fill="FFFFFF"/>
        </w:rPr>
        <w:t>人</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rPr>
        <w:t>机关后勤服务中心聘用人员控制数</w:t>
      </w:r>
      <w:r>
        <w:rPr>
          <w:rFonts w:hint="eastAsia" w:ascii="仿宋_GB2312" w:hAnsi="仿宋_GB2312" w:eastAsia="仿宋_GB2312" w:cs="仿宋_GB2312"/>
          <w:color w:val="333333"/>
          <w:sz w:val="32"/>
          <w:szCs w:val="32"/>
          <w:shd w:val="clear" w:color="auto" w:fill="FFFFFF"/>
          <w:lang w:val="en-US" w:eastAsia="zh-CN"/>
        </w:rPr>
        <w:t>9人（老人老办法7人，新人新办法2人）</w:t>
      </w:r>
      <w:r>
        <w:rPr>
          <w:rFonts w:hint="eastAsia" w:ascii="仿宋_GB2312" w:hAnsi="仿宋_GB2312" w:eastAsia="仿宋_GB2312" w:cs="仿宋_GB2312"/>
          <w:color w:val="333333"/>
          <w:sz w:val="32"/>
          <w:szCs w:val="32"/>
          <w:shd w:val="clear" w:color="auto" w:fill="FFFFFF"/>
        </w:rPr>
        <w:t>。实有财政供养人数</w:t>
      </w:r>
      <w:r>
        <w:rPr>
          <w:rFonts w:hint="eastAsia" w:ascii="仿宋_GB2312" w:hAnsi="仿宋_GB2312" w:eastAsia="仿宋_GB2312" w:cs="仿宋_GB2312"/>
          <w:color w:val="333333"/>
          <w:sz w:val="32"/>
          <w:szCs w:val="32"/>
          <w:shd w:val="clear" w:color="auto" w:fill="FFFFFF"/>
          <w:lang w:val="en-US" w:eastAsia="zh-CN"/>
        </w:rPr>
        <w:t>54</w:t>
      </w:r>
      <w:r>
        <w:rPr>
          <w:rFonts w:hint="eastAsia" w:ascii="仿宋_GB2312" w:hAnsi="仿宋_GB2312" w:eastAsia="仿宋_GB2312" w:cs="仿宋_GB2312"/>
          <w:color w:val="333333"/>
          <w:sz w:val="32"/>
          <w:szCs w:val="32"/>
          <w:shd w:val="clear" w:color="auto" w:fill="FFFFFF"/>
        </w:rPr>
        <w:t>人</w:t>
      </w:r>
      <w:r>
        <w:rPr>
          <w:rFonts w:hint="eastAsia" w:ascii="仿宋_GB2312" w:hAnsi="仿宋_GB2312" w:eastAsia="仿宋_GB2312" w:cs="仿宋_GB2312"/>
          <w:sz w:val="32"/>
          <w:szCs w:val="32"/>
        </w:rPr>
        <w:t>，其中</w:t>
      </w:r>
      <w:r>
        <w:rPr>
          <w:rFonts w:hint="eastAsia" w:ascii="仿宋_GB2312" w:hAnsi="仿宋_GB2312" w:eastAsia="仿宋_GB2312" w:cs="仿宋_GB2312"/>
          <w:color w:val="333333"/>
          <w:sz w:val="32"/>
          <w:szCs w:val="32"/>
          <w:shd w:val="clear" w:color="auto" w:fill="FFFFFF"/>
        </w:rPr>
        <w:t>行政</w:t>
      </w:r>
      <w:r>
        <w:rPr>
          <w:rFonts w:hint="eastAsia" w:ascii="仿宋_GB2312" w:hAnsi="仿宋_GB2312" w:eastAsia="仿宋_GB2312" w:cs="仿宋_GB2312"/>
          <w:color w:val="333333"/>
          <w:sz w:val="32"/>
          <w:szCs w:val="32"/>
          <w:shd w:val="clear" w:color="auto" w:fill="FFFFFF"/>
          <w:lang w:eastAsia="zh-CN"/>
        </w:rPr>
        <w:t>在职</w:t>
      </w:r>
      <w:r>
        <w:rPr>
          <w:rFonts w:hint="eastAsia" w:ascii="仿宋_GB2312" w:hAnsi="仿宋_GB2312" w:eastAsia="仿宋_GB2312" w:cs="仿宋_GB2312"/>
          <w:color w:val="333333"/>
          <w:sz w:val="32"/>
          <w:szCs w:val="32"/>
          <w:shd w:val="clear" w:color="auto" w:fill="FFFFFF"/>
          <w:lang w:val="en-US" w:eastAsia="zh-CN"/>
        </w:rPr>
        <w:t>23</w:t>
      </w:r>
      <w:r>
        <w:rPr>
          <w:rFonts w:hint="eastAsia" w:ascii="仿宋_GB2312" w:hAnsi="仿宋_GB2312" w:eastAsia="仿宋_GB2312" w:cs="仿宋_GB2312"/>
          <w:color w:val="333333"/>
          <w:sz w:val="32"/>
          <w:szCs w:val="32"/>
          <w:shd w:val="clear" w:color="auto" w:fill="FFFFFF"/>
        </w:rPr>
        <w:t>人，</w:t>
      </w:r>
      <w:r>
        <w:rPr>
          <w:rFonts w:hint="eastAsia" w:ascii="仿宋_GB2312" w:hAnsi="仿宋_GB2312" w:eastAsia="仿宋_GB2312" w:cs="仿宋_GB2312"/>
          <w:sz w:val="32"/>
          <w:szCs w:val="32"/>
        </w:rPr>
        <w:t>事业在职</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r>
        <w:rPr>
          <w:rFonts w:hint="eastAsia" w:ascii="仿宋_GB2312" w:hAnsi="仿宋_GB2312" w:eastAsia="仿宋_GB2312" w:cs="仿宋_GB2312"/>
          <w:color w:val="333333"/>
          <w:sz w:val="32"/>
          <w:szCs w:val="32"/>
        </w:rPr>
        <w:t>机关后勤服务中心聘用人员控制数</w:t>
      </w:r>
      <w:r>
        <w:rPr>
          <w:rFonts w:hint="eastAsia" w:ascii="仿宋_GB2312" w:hAnsi="仿宋_GB2312" w:eastAsia="仿宋_GB2312" w:cs="仿宋_GB2312"/>
          <w:color w:val="333333"/>
          <w:sz w:val="32"/>
          <w:szCs w:val="32"/>
          <w:shd w:val="clear" w:color="auto" w:fill="FFFFFF"/>
          <w:lang w:val="en-US" w:eastAsia="zh-CN"/>
        </w:rPr>
        <w:t>9人，</w:t>
      </w:r>
      <w:r>
        <w:rPr>
          <w:rFonts w:hint="eastAsia" w:ascii="仿宋_GB2312" w:hAnsi="仿宋_GB2312" w:eastAsia="仿宋_GB2312" w:cs="仿宋_GB2312"/>
          <w:sz w:val="32"/>
          <w:szCs w:val="32"/>
        </w:rPr>
        <w:t>政府购买人员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，退休</w:t>
      </w:r>
      <w:r>
        <w:rPr>
          <w:rFonts w:hint="eastAsia" w:ascii="仿宋_GB2312" w:hAnsi="仿宋_GB2312" w:eastAsia="仿宋_GB2312" w:cs="仿宋_GB2312"/>
          <w:sz w:val="32"/>
          <w:szCs w:val="32"/>
          <w:lang w:val="en-US" w:eastAsia="zh-CN"/>
        </w:rPr>
        <w:t>19人</w:t>
      </w:r>
      <w:r>
        <w:rPr>
          <w:rFonts w:hint="eastAsia" w:ascii="仿宋_GB2312" w:hAnsi="仿宋_GB2312" w:eastAsia="仿宋_GB2312" w:cs="仿宋_GB2312"/>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rPr>
          <w:rFonts w:hint="eastAsia" w:ascii="仿宋_GB2312" w:hAnsi="仿宋_GB2312" w:eastAsia="仿宋_GB2312" w:cs="仿宋_GB2312"/>
          <w:color w:val="666666"/>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环江毛南自治县人民政府办公室</w:t>
      </w:r>
      <w:r>
        <w:rPr>
          <w:rFonts w:hint="eastAsia" w:ascii="黑体" w:hAnsi="黑体" w:eastAsia="黑体" w:cs="黑体"/>
          <w:sz w:val="32"/>
          <w:szCs w:val="32"/>
          <w:highlight w:val="none"/>
        </w:rPr>
        <w:t>2022年度部门决算报表</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表一：收入支出决算总表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部门：环江毛南自治县人民政府办公室</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1,273.66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1,273.66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1,273.66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
        <w:gridCol w:w="420"/>
        <w:gridCol w:w="240"/>
        <w:gridCol w:w="3555"/>
        <w:gridCol w:w="1575"/>
        <w:gridCol w:w="1560"/>
        <w:gridCol w:w="1290"/>
        <w:gridCol w:w="1110"/>
        <w:gridCol w:w="135"/>
        <w:gridCol w:w="975"/>
        <w:gridCol w:w="130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954"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表</w:t>
            </w:r>
            <w:r>
              <w:rPr>
                <w:rFonts w:hint="eastAsia" w:ascii="仿宋_GB2312" w:hAnsi="仿宋_GB2312" w:eastAsia="仿宋_GB2312" w:cs="仿宋_GB2312"/>
                <w:sz w:val="24"/>
                <w:szCs w:val="24"/>
                <w:highlight w:val="none"/>
                <w:lang w:eastAsia="zh-CN"/>
              </w:rPr>
              <w:t>二</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i w:val="0"/>
                <w:iCs w:val="0"/>
                <w:color w:val="000000"/>
                <w:kern w:val="0"/>
                <w:sz w:val="24"/>
                <w:szCs w:val="24"/>
                <w:u w:val="none"/>
                <w:lang w:val="en-US" w:eastAsia="zh-CN" w:bidi="ar"/>
              </w:rPr>
              <w:t>收入决算表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45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4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4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3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44" w:type="dxa"/>
            <w:gridSpan w:val="5"/>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部门：环江毛南自治县人民政府办公室</w:t>
            </w:r>
          </w:p>
        </w:tc>
        <w:tc>
          <w:tcPr>
            <w:tcW w:w="15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640"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69"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75"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6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9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1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10" w:type="dxa"/>
            <w:gridSpan w:val="2"/>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05"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35"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4"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55"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7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gridSpan w:val="2"/>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4"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55"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gridSpan w:val="2"/>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14"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55"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gridSpan w:val="2"/>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69"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0" w:type="dxa"/>
            <w:gridSpan w:val="2"/>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69"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1,273.66</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1,273.66</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623.95</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623.95</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590.02</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590.02</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590.02</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590.02</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3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3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562.88</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562.88</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562.88</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562.88</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562.88</w:t>
            </w:r>
          </w:p>
        </w:tc>
        <w:tc>
          <w:tcPr>
            <w:tcW w:w="15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562.88</w:t>
            </w:r>
          </w:p>
        </w:tc>
        <w:tc>
          <w:tcPr>
            <w:tcW w:w="12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4" w:type="dxa"/>
            <w:gridSpan w:val="1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0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285"/>
        <w:gridCol w:w="240"/>
        <w:gridCol w:w="4035"/>
        <w:gridCol w:w="1590"/>
        <w:gridCol w:w="1380"/>
        <w:gridCol w:w="1365"/>
        <w:gridCol w:w="1635"/>
        <w:gridCol w:w="121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4029"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85"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0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6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1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9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254"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部门：环江毛南自治县人民政府办公室</w:t>
            </w:r>
          </w:p>
        </w:tc>
        <w:tc>
          <w:tcPr>
            <w:tcW w:w="15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6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1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9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4"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9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8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65"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35"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15"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9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035"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9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35"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35"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4"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9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9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4"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1,273.66</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601.86</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671.80</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623.95</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398.52</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225.42</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590.02</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364.60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225.42</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590.02</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364.60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225.42</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4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4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562.88</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116.51</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446.38</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562.88</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116.51</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446.38</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562.88</w:t>
            </w:r>
          </w:p>
        </w:tc>
        <w:tc>
          <w:tcPr>
            <w:tcW w:w="13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116.51</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446.38</w:t>
            </w:r>
          </w:p>
        </w:tc>
        <w:tc>
          <w:tcPr>
            <w:tcW w:w="16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29"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137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74"/>
        <w:gridCol w:w="660"/>
        <w:gridCol w:w="1110"/>
        <w:gridCol w:w="3045"/>
        <w:gridCol w:w="840"/>
        <w:gridCol w:w="1005"/>
        <w:gridCol w:w="1560"/>
        <w:gridCol w:w="1560"/>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789"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37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6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04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3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7189"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部门：环江毛南自治县人民政府办公室</w:t>
            </w:r>
          </w:p>
        </w:tc>
        <w:tc>
          <w:tcPr>
            <w:tcW w:w="8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3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44"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645"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374" w:type="dxa"/>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6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1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04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4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05"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6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6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3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4" w:type="dxa"/>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4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1,273.66</w:t>
            </w: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623.95</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623.95</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562.88</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562.88</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1,273.66</w:t>
            </w: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1,273.66</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1,273.66</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7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1,273.66</w:t>
            </w:r>
          </w:p>
        </w:tc>
        <w:tc>
          <w:tcPr>
            <w:tcW w:w="30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1,273.66</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1,273.66</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89" w:type="dxa"/>
            <w:gridSpan w:val="9"/>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0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4"/>
        <w:gridCol w:w="375"/>
        <w:gridCol w:w="240"/>
        <w:gridCol w:w="4260"/>
        <w:gridCol w:w="2145"/>
        <w:gridCol w:w="2310"/>
        <w:gridCol w:w="2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084"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44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3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2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4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464" w:type="dxa"/>
            <w:gridSpan w:val="5"/>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部门：环江毛南自治县人民政府办公室</w:t>
            </w:r>
          </w:p>
        </w:tc>
        <w:tc>
          <w:tcPr>
            <w:tcW w:w="23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319"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65"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260"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4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1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31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2059"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60"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4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60"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4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319"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319"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1,273.66</w:t>
            </w:r>
          </w:p>
        </w:tc>
        <w:tc>
          <w:tcPr>
            <w:tcW w:w="23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601.86</w:t>
            </w:r>
          </w:p>
        </w:tc>
        <w:tc>
          <w:tcPr>
            <w:tcW w:w="23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1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623.95</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398.52</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1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590.02</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364.60</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1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590.02</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364.60</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1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21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4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21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4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1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1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20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1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1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1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1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1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562.88</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116.51</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1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562.88</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116.51</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1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562.88</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116.51</w:t>
            </w: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84"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38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4"/>
        <w:gridCol w:w="2520"/>
        <w:gridCol w:w="1185"/>
        <w:gridCol w:w="1140"/>
        <w:gridCol w:w="1875"/>
        <w:gridCol w:w="1200"/>
        <w:gridCol w:w="1185"/>
        <w:gridCol w:w="21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849"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4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0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864" w:type="dxa"/>
            <w:gridSpan w:val="5"/>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部门：环江毛南自治县人民政府办公室</w:t>
            </w:r>
          </w:p>
        </w:tc>
        <w:tc>
          <w:tcPr>
            <w:tcW w:w="12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0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49"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000"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144" w:type="dxa"/>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52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8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4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7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0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8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0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0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2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0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517.99</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42.92</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141.50</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77.04</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46.62</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21.23</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39.59</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14.79</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40.96</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24.54</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4"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20" w:type="dxa"/>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8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4"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558.95</w:t>
            </w:r>
          </w:p>
        </w:tc>
        <w:tc>
          <w:tcPr>
            <w:tcW w:w="7500" w:type="dxa"/>
            <w:gridSpan w:val="5"/>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49"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7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9"/>
        <w:gridCol w:w="600"/>
        <w:gridCol w:w="240"/>
        <w:gridCol w:w="2310"/>
        <w:gridCol w:w="1890"/>
        <w:gridCol w:w="1665"/>
        <w:gridCol w:w="1335"/>
        <w:gridCol w:w="1605"/>
        <w:gridCol w:w="1260"/>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3759"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4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6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0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54"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部门：环江毛南自治县人民政府办公室</w:t>
            </w:r>
          </w:p>
        </w:tc>
        <w:tc>
          <w:tcPr>
            <w:tcW w:w="13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0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99"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9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65"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200"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05"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10"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9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0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6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0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089"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399"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9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0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99"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9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color w:val="000000"/>
                <w:sz w:val="22"/>
                <w:szCs w:val="22"/>
                <w:highlight w:val="none"/>
              </w:rPr>
              <w:t>0.00</w:t>
            </w:r>
          </w:p>
        </w:tc>
        <w:tc>
          <w:tcPr>
            <w:tcW w:w="166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color w:val="000000"/>
                <w:sz w:val="22"/>
                <w:szCs w:val="22"/>
                <w:highlight w:val="none"/>
              </w:rPr>
              <w:t>0.00</w:t>
            </w:r>
          </w:p>
        </w:tc>
        <w:tc>
          <w:tcPr>
            <w:tcW w:w="133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b/>
                <w:bCs/>
                <w:i w:val="0"/>
                <w:iCs w:val="0"/>
                <w:color w:val="000000"/>
                <w:sz w:val="22"/>
                <w:szCs w:val="22"/>
                <w:u w:val="none"/>
              </w:rPr>
            </w:pPr>
            <w:r>
              <w:rPr>
                <w:rFonts w:hint="eastAsia" w:ascii="宋体" w:hAnsi="宋体" w:eastAsia="宋体" w:cs="宋体"/>
                <w:b/>
                <w:bCs/>
                <w:color w:val="000000"/>
                <w:sz w:val="22"/>
                <w:szCs w:val="22"/>
                <w:highlight w:val="none"/>
              </w:rPr>
              <w:t>0.00</w:t>
            </w:r>
          </w:p>
        </w:tc>
        <w:tc>
          <w:tcPr>
            <w:tcW w:w="160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b/>
                <w:bCs/>
                <w:i w:val="0"/>
                <w:iCs w:val="0"/>
                <w:color w:val="000000"/>
                <w:sz w:val="22"/>
                <w:szCs w:val="22"/>
                <w:u w:val="none"/>
              </w:rPr>
            </w:pPr>
            <w:r>
              <w:rPr>
                <w:rFonts w:hint="eastAsia" w:ascii="宋体" w:hAnsi="宋体" w:eastAsia="宋体" w:cs="宋体"/>
                <w:b/>
                <w:bCs/>
                <w:color w:val="000000"/>
                <w:sz w:val="22"/>
                <w:szCs w:val="22"/>
                <w:highlight w:val="none"/>
              </w:rPr>
              <w:t>0.00</w:t>
            </w:r>
          </w:p>
        </w:tc>
        <w:tc>
          <w:tcPr>
            <w:tcW w:w="126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b/>
                <w:bCs/>
                <w:i w:val="0"/>
                <w:iCs w:val="0"/>
                <w:color w:val="000000"/>
                <w:sz w:val="22"/>
                <w:szCs w:val="22"/>
                <w:u w:val="none"/>
              </w:rPr>
            </w:pPr>
            <w:r>
              <w:rPr>
                <w:rFonts w:hint="eastAsia" w:ascii="宋体" w:hAnsi="宋体" w:eastAsia="宋体" w:cs="宋体"/>
                <w:b/>
                <w:bCs/>
                <w:color w:val="000000"/>
                <w:sz w:val="22"/>
                <w:szCs w:val="22"/>
                <w:highlight w:val="none"/>
              </w:rPr>
              <w:t>0.00</w:t>
            </w:r>
          </w:p>
        </w:tc>
        <w:tc>
          <w:tcPr>
            <w:tcW w:w="160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b/>
                <w:bCs/>
                <w:i w:val="0"/>
                <w:iCs w:val="0"/>
                <w:color w:val="000000"/>
                <w:sz w:val="22"/>
                <w:szCs w:val="22"/>
                <w:u w:val="none"/>
              </w:rPr>
            </w:pPr>
            <w:r>
              <w:rPr>
                <w:rFonts w:hint="eastAsia" w:ascii="宋体" w:hAnsi="宋体" w:eastAsia="宋体" w:cs="宋体"/>
                <w:b/>
                <w:bCs/>
                <w:color w:val="000000"/>
                <w:sz w:val="22"/>
                <w:szCs w:val="22"/>
                <w:highlight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8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9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59"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59"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w:t>
            </w:r>
            <w:r>
              <w:rPr>
                <w:rFonts w:hint="eastAsia" w:ascii="宋体" w:hAnsi="宋体" w:eastAsia="宋体" w:cs="宋体"/>
                <w:i w:val="0"/>
                <w:iCs w:val="0"/>
                <w:color w:val="000000"/>
                <w:kern w:val="0"/>
                <w:sz w:val="22"/>
                <w:szCs w:val="22"/>
                <w:u w:val="none"/>
                <w:lang w:val="en-US" w:eastAsia="zh-CN" w:bidi="ar"/>
              </w:rPr>
              <w:t>。</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124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6"/>
        <w:gridCol w:w="222"/>
        <w:gridCol w:w="222"/>
        <w:gridCol w:w="1869"/>
        <w:gridCol w:w="2085"/>
        <w:gridCol w:w="2370"/>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499"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1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部门：环江毛南自治县人民政府办公室</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1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29"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70"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69"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8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7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11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69"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8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7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1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69"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8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7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1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29"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29"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8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b/>
                <w:bCs/>
                <w:color w:val="000000"/>
                <w:kern w:val="2"/>
                <w:sz w:val="22"/>
                <w:szCs w:val="22"/>
                <w:highlight w:val="none"/>
                <w:lang w:val="en-US" w:eastAsia="zh-CN" w:bidi="ar-SA"/>
              </w:rPr>
            </w:pPr>
            <w:r>
              <w:rPr>
                <w:rFonts w:hint="eastAsia" w:ascii="宋体" w:hAnsi="宋体" w:eastAsia="宋体" w:cs="宋体"/>
                <w:b/>
                <w:bCs/>
                <w:color w:val="000000"/>
                <w:sz w:val="22"/>
                <w:szCs w:val="22"/>
                <w:highlight w:val="none"/>
              </w:rPr>
              <w:t>0.00</w:t>
            </w:r>
          </w:p>
        </w:tc>
        <w:tc>
          <w:tcPr>
            <w:tcW w:w="237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b/>
                <w:bCs/>
                <w:color w:val="000000"/>
                <w:kern w:val="2"/>
                <w:sz w:val="22"/>
                <w:szCs w:val="22"/>
                <w:highlight w:val="none"/>
                <w:lang w:val="en-US" w:eastAsia="zh-CN" w:bidi="ar-SA"/>
              </w:rPr>
            </w:pPr>
            <w:r>
              <w:rPr>
                <w:rFonts w:hint="eastAsia" w:ascii="宋体" w:hAnsi="宋体" w:eastAsia="宋体" w:cs="宋体"/>
                <w:b/>
                <w:bCs/>
                <w:color w:val="000000"/>
                <w:sz w:val="22"/>
                <w:szCs w:val="22"/>
                <w:highlight w:val="none"/>
              </w:rPr>
              <w:t>0.00</w:t>
            </w:r>
          </w:p>
        </w:tc>
        <w:tc>
          <w:tcPr>
            <w:tcW w:w="211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b/>
                <w:bCs/>
                <w:color w:val="000000"/>
                <w:kern w:val="2"/>
                <w:sz w:val="22"/>
                <w:szCs w:val="22"/>
                <w:highlight w:val="none"/>
                <w:lang w:val="en-US" w:eastAsia="zh-CN" w:bidi="ar-SA"/>
              </w:rPr>
            </w:pPr>
            <w:r>
              <w:rPr>
                <w:rFonts w:hint="eastAsia" w:ascii="宋体" w:hAnsi="宋体" w:eastAsia="宋体" w:cs="宋体"/>
                <w:b/>
                <w:bCs/>
                <w:color w:val="000000"/>
                <w:sz w:val="22"/>
                <w:szCs w:val="22"/>
                <w:highlight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08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37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11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08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37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11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499"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499" w:type="dxa"/>
            <w:gridSpan w:val="7"/>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本部门</w:t>
            </w:r>
            <w:r>
              <w:rPr>
                <w:rStyle w:val="12"/>
                <w:rFonts w:eastAsia="宋体"/>
                <w:lang w:val="en-US" w:eastAsia="zh-CN" w:bidi="ar"/>
              </w:rPr>
              <w:t>2022</w:t>
            </w:r>
            <w:r>
              <w:rPr>
                <w:rStyle w:val="13"/>
                <w:lang w:val="en-US" w:eastAsia="zh-CN" w:bidi="ar"/>
              </w:rPr>
              <w:t>年度没有国有资本经营预算财政拨款收入，也没有国有资本经营预算财政拨款安排的支出，故本表无数据。</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901"/>
        <w:gridCol w:w="1319"/>
        <w:gridCol w:w="856"/>
        <w:gridCol w:w="1170"/>
        <w:gridCol w:w="1095"/>
        <w:gridCol w:w="1350"/>
        <w:gridCol w:w="690"/>
        <w:gridCol w:w="1200"/>
        <w:gridCol w:w="945"/>
        <w:gridCol w:w="1410"/>
        <w:gridCol w:w="1470"/>
        <w:gridCol w:w="1517"/>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表九：</w:t>
            </w:r>
            <w:r>
              <w:rPr>
                <w:rFonts w:hint="default" w:ascii="宋体" w:hAnsi="宋体" w:eastAsia="宋体" w:cs="宋体"/>
                <w:color w:val="000000"/>
                <w:kern w:val="0"/>
                <w:sz w:val="22"/>
                <w:szCs w:val="2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99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1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8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09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2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4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4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51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公开09表</w:t>
            </w:r>
          </w:p>
        </w:tc>
      </w:tr>
      <w:tr>
        <w:tblPrEx>
          <w:tblCellMar>
            <w:top w:w="0" w:type="dxa"/>
            <w:left w:w="108" w:type="dxa"/>
            <w:bottom w:w="0" w:type="dxa"/>
            <w:right w:w="108" w:type="dxa"/>
          </w:tblCellMar>
        </w:tblPrEx>
        <w:trPr>
          <w:gridAfter w:val="1"/>
          <w:wAfter w:w="17" w:type="dxa"/>
          <w:trHeight w:val="316" w:hRule="atLeast"/>
        </w:trPr>
        <w:tc>
          <w:tcPr>
            <w:tcW w:w="12502"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r>
              <w:rPr>
                <w:rFonts w:hint="eastAsia" w:ascii="宋体" w:hAnsi="宋体" w:eastAsia="宋体" w:cs="宋体"/>
                <w:i w:val="0"/>
                <w:iCs w:val="0"/>
                <w:color w:val="000000"/>
                <w:kern w:val="0"/>
                <w:sz w:val="20"/>
                <w:szCs w:val="20"/>
                <w:u w:val="none"/>
                <w:lang w:val="en-US" w:eastAsia="zh-CN" w:bidi="ar"/>
              </w:rPr>
              <w:t>部门：环江毛南自治县人民政府办公室</w:t>
            </w:r>
          </w:p>
        </w:tc>
        <w:tc>
          <w:tcPr>
            <w:tcW w:w="151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gridAfter w:val="1"/>
          <w:wAfter w:w="17" w:type="dxa"/>
          <w:trHeight w:val="326" w:hRule="atLeast"/>
        </w:trPr>
        <w:tc>
          <w:tcPr>
            <w:tcW w:w="67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预算数</w:t>
            </w:r>
          </w:p>
        </w:tc>
        <w:tc>
          <w:tcPr>
            <w:tcW w:w="7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gridAfter w:val="1"/>
          <w:wAfter w:w="17" w:type="dxa"/>
          <w:trHeight w:val="326" w:hRule="atLeast"/>
        </w:trPr>
        <w:tc>
          <w:tcPr>
            <w:tcW w:w="997"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31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因公出国（境）费</w:t>
            </w:r>
          </w:p>
        </w:tc>
        <w:tc>
          <w:tcPr>
            <w:tcW w:w="312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c>
          <w:tcPr>
            <w:tcW w:w="69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合计</w:t>
            </w:r>
          </w:p>
        </w:tc>
        <w:tc>
          <w:tcPr>
            <w:tcW w:w="12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因公出国（境）费</w:t>
            </w:r>
          </w:p>
        </w:tc>
        <w:tc>
          <w:tcPr>
            <w:tcW w:w="382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51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CellMar>
            <w:top w:w="0" w:type="dxa"/>
            <w:left w:w="108" w:type="dxa"/>
            <w:bottom w:w="0" w:type="dxa"/>
            <w:right w:w="108" w:type="dxa"/>
          </w:tblCellMar>
        </w:tblPrEx>
        <w:trPr>
          <w:gridAfter w:val="1"/>
          <w:wAfter w:w="17" w:type="dxa"/>
          <w:trHeight w:val="642" w:hRule="atLeast"/>
        </w:trPr>
        <w:tc>
          <w:tcPr>
            <w:tcW w:w="99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1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公务用车购置费</w:t>
            </w:r>
          </w:p>
        </w:tc>
        <w:tc>
          <w:tcPr>
            <w:tcW w:w="10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3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9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120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517"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99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31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7</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9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14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11</w:t>
            </w:r>
          </w:p>
        </w:tc>
        <w:tc>
          <w:tcPr>
            <w:tcW w:w="15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gridAfter w:val="1"/>
          <w:wAfter w:w="17" w:type="dxa"/>
          <w:trHeight w:val="642" w:hRule="atLeast"/>
        </w:trPr>
        <w:tc>
          <w:tcPr>
            <w:tcW w:w="99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w:t>
            </w:r>
          </w:p>
        </w:tc>
        <w:tc>
          <w:tcPr>
            <w:tcW w:w="131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8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1.77</w:t>
            </w:r>
          </w:p>
        </w:tc>
        <w:tc>
          <w:tcPr>
            <w:tcW w:w="6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5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1.77</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293" w:right="1440" w:bottom="1123"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sz w:val="32"/>
          <w:u w:color="auto"/>
          <w:lang w:eastAsia="zh-CN"/>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环江毛南自治县人民政府办公室</w:t>
      </w: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2022年度部门决算情况说明</w:t>
      </w:r>
    </w:p>
    <w:p>
      <w:pPr>
        <w:jc w:val="center"/>
        <w:rPr>
          <w:rFonts w:hint="eastAsia" w:ascii="黑体" w:hAnsi="黑体" w:eastAsia="黑体" w:cs="黑体"/>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rPr>
        <w:t>1273.66</w:t>
      </w:r>
      <w:r>
        <w:rPr>
          <w:rFonts w:hint="eastAsia" w:ascii="仿宋" w:hAnsi="仿宋" w:eastAsia="仿宋" w:cs="仿宋"/>
          <w:sz w:val="32"/>
          <w:szCs w:val="32"/>
          <w:highlight w:val="none"/>
        </w:rPr>
        <w:t>万元，较2021年度决算数</w:t>
      </w:r>
      <w:r>
        <w:rPr>
          <w:rFonts w:hint="eastAsia" w:ascii="仿宋_GB2312" w:hAnsi="黑体" w:eastAsia="仿宋_GB2312" w:cs="仿宋_GB2312"/>
          <w:kern w:val="0"/>
          <w:sz w:val="32"/>
          <w:szCs w:val="32"/>
        </w:rPr>
        <w:t>增加</w:t>
      </w:r>
      <w:r>
        <w:rPr>
          <w:rFonts w:hint="eastAsia" w:ascii="仿宋" w:hAnsi="仿宋" w:eastAsia="仿宋" w:cs="仿宋"/>
          <w:sz w:val="32"/>
          <w:u w:color="auto"/>
          <w:lang w:val="en-US" w:eastAsia="zh-CN"/>
        </w:rPr>
        <w:t>359.71</w:t>
      </w:r>
      <w:r>
        <w:rPr>
          <w:rFonts w:hint="eastAsia" w:ascii="仿宋" w:hAnsi="仿宋" w:eastAsia="仿宋" w:cs="仿宋"/>
          <w:sz w:val="32"/>
          <w:szCs w:val="32"/>
          <w:highlight w:val="none"/>
        </w:rPr>
        <w:t>万元，</w:t>
      </w:r>
      <w:r>
        <w:rPr>
          <w:rFonts w:hint="eastAsia" w:ascii="仿宋_GB2312" w:hAnsi="黑体" w:eastAsia="仿宋_GB2312" w:cs="仿宋_GB2312"/>
          <w:kern w:val="0"/>
          <w:sz w:val="32"/>
          <w:szCs w:val="32"/>
        </w:rPr>
        <w:t>增长</w:t>
      </w:r>
      <w:r>
        <w:rPr>
          <w:rFonts w:hint="eastAsia" w:ascii="仿宋" w:hAnsi="仿宋" w:eastAsia="仿宋" w:cs="仿宋"/>
          <w:sz w:val="32"/>
          <w:u w:color="auto"/>
          <w:lang w:val="en-US" w:eastAsia="zh-CN"/>
        </w:rPr>
        <w:t>39.36</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rPr>
        <w:t>1273.66</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rPr>
        <w:t>1273.66</w:t>
      </w:r>
      <w:r>
        <w:rPr>
          <w:rFonts w:hint="eastAsia" w:ascii="仿宋" w:hAnsi="仿宋" w:eastAsia="仿宋" w:cs="仿宋"/>
          <w:kern w:val="2"/>
          <w:sz w:val="32"/>
          <w:szCs w:val="32"/>
          <w:highlight w:val="none"/>
          <w:lang w:val="en-US" w:eastAsia="zh-CN" w:bidi="ar"/>
        </w:rPr>
        <w:t>万元，为本级财政当年拨付的资金。较2021年度决算数</w:t>
      </w:r>
      <w:r>
        <w:rPr>
          <w:rFonts w:hint="eastAsia" w:ascii="仿宋_GB2312" w:hAnsi="黑体" w:eastAsia="仿宋_GB2312" w:cs="仿宋_GB2312"/>
          <w:kern w:val="0"/>
          <w:sz w:val="32"/>
          <w:szCs w:val="32"/>
        </w:rPr>
        <w:t>增加</w:t>
      </w:r>
      <w:r>
        <w:rPr>
          <w:rFonts w:hint="eastAsia" w:ascii="仿宋" w:hAnsi="仿宋" w:eastAsia="仿宋" w:cs="仿宋"/>
          <w:sz w:val="32"/>
          <w:u w:color="auto"/>
          <w:lang w:val="en-US" w:eastAsia="zh-CN"/>
        </w:rPr>
        <w:t>359.71</w:t>
      </w:r>
      <w:r>
        <w:rPr>
          <w:rFonts w:hint="eastAsia" w:ascii="仿宋" w:hAnsi="仿宋" w:eastAsia="仿宋" w:cs="仿宋"/>
          <w:kern w:val="2"/>
          <w:sz w:val="32"/>
          <w:szCs w:val="32"/>
          <w:highlight w:val="none"/>
          <w:lang w:val="en-US" w:eastAsia="zh-CN" w:bidi="ar"/>
        </w:rPr>
        <w:t>万元，</w:t>
      </w:r>
      <w:r>
        <w:rPr>
          <w:rFonts w:hint="eastAsia" w:ascii="仿宋_GB2312" w:hAnsi="黑体" w:eastAsia="仿宋_GB2312" w:cs="仿宋_GB2312"/>
          <w:kern w:val="0"/>
          <w:sz w:val="32"/>
          <w:szCs w:val="32"/>
        </w:rPr>
        <w:t>增长</w:t>
      </w:r>
      <w:r>
        <w:rPr>
          <w:rFonts w:hint="eastAsia" w:ascii="仿宋" w:hAnsi="仿宋" w:eastAsia="仿宋" w:cs="仿宋"/>
          <w:sz w:val="32"/>
          <w:u w:color="auto"/>
          <w:lang w:val="en-US" w:eastAsia="zh-CN"/>
        </w:rPr>
        <w:t>39.36</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主要原因：1、</w:t>
      </w:r>
      <w:r>
        <w:rPr>
          <w:rFonts w:hint="eastAsia" w:ascii="仿宋_GB2312" w:hAnsi="仿宋_GB2312" w:eastAsia="仿宋_GB2312" w:cs="仿宋_GB2312"/>
          <w:kern w:val="0"/>
          <w:sz w:val="32"/>
          <w:szCs w:val="32"/>
          <w:lang w:val="en-US" w:eastAsia="zh-CN"/>
        </w:rPr>
        <w:t>增加疫情防控工作经费241.87万元，2、增加春节慰问经费83.48万元，3、增加党政综合平台推广建设经费30.45万元</w:t>
      </w:r>
      <w:r>
        <w:rPr>
          <w:rFonts w:hint="eastAsia" w:ascii="仿宋_GB2312" w:hAnsi="黑体" w:eastAsia="仿宋_GB2312" w:cs="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主要原因：本单位没有政府性基金收入。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kern w:val="2"/>
          <w:sz w:val="32"/>
          <w:szCs w:val="32"/>
          <w:highlight w:val="none"/>
          <w:lang w:val="en-US" w:eastAsia="zh-CN" w:bidi="ar"/>
        </w:rPr>
        <w:t>国有资本经营收入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1102.52</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增加797.23</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增长261.14%</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增</w:t>
      </w:r>
      <w:r>
        <w:rPr>
          <w:rFonts w:hint="eastAsia" w:ascii="仿宋" w:hAnsi="仿宋" w:eastAsia="仿宋" w:cs="仿宋"/>
          <w:sz w:val="32"/>
          <w:u w:color="auto"/>
          <w:lang w:eastAsia="zh-CN"/>
        </w:rPr>
        <w:t>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w:t>
      </w:r>
      <w:r>
        <w:rPr>
          <w:rFonts w:hint="eastAsia" w:ascii="仿宋" w:hAnsi="仿宋" w:eastAsia="仿宋" w:cs="仿宋"/>
          <w:kern w:val="2"/>
          <w:sz w:val="32"/>
          <w:szCs w:val="32"/>
          <w:highlight w:val="none"/>
          <w:lang w:val="en-US" w:eastAsia="zh-CN" w:bidi="ar"/>
        </w:rPr>
        <w:t>上年结转和结余</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582035"/>
            <wp:effectExtent l="4445" t="4445" r="2095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rPr>
        <w:t>1273.66</w:t>
      </w:r>
      <w:r>
        <w:rPr>
          <w:rFonts w:hint="eastAsia" w:ascii="仿宋" w:hAnsi="仿宋" w:eastAsia="仿宋" w:cs="仿宋"/>
          <w:sz w:val="32"/>
          <w:szCs w:val="32"/>
          <w:highlight w:val="none"/>
        </w:rPr>
        <w:t>万元，其中本年支出</w:t>
      </w:r>
      <w:r>
        <w:rPr>
          <w:rFonts w:hint="eastAsia" w:ascii="仿宋" w:hAnsi="仿宋" w:eastAsia="仿宋" w:cs="仿宋"/>
          <w:sz w:val="32"/>
          <w:u w:color="auto"/>
        </w:rPr>
        <w:t>1273.66</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359.71</w:t>
      </w:r>
      <w:r>
        <w:rPr>
          <w:rFonts w:hint="eastAsia" w:ascii="仿宋" w:hAnsi="仿宋" w:eastAsia="仿宋" w:cs="仿宋"/>
          <w:sz w:val="32"/>
          <w:szCs w:val="32"/>
          <w:highlight w:val="none"/>
        </w:rPr>
        <w:t>万元，</w:t>
      </w:r>
      <w:r>
        <w:rPr>
          <w:rFonts w:hint="eastAsia" w:ascii="仿宋_GB2312" w:hAnsi="黑体" w:eastAsia="仿宋_GB2312" w:cs="仿宋_GB2312"/>
          <w:kern w:val="0"/>
          <w:sz w:val="32"/>
          <w:szCs w:val="32"/>
        </w:rPr>
        <w:t>增长</w:t>
      </w:r>
      <w:r>
        <w:rPr>
          <w:rFonts w:hint="eastAsia" w:ascii="仿宋" w:hAnsi="仿宋" w:eastAsia="仿宋" w:cs="仿宋"/>
          <w:sz w:val="32"/>
          <w:u w:color="auto"/>
          <w:lang w:val="en-US" w:eastAsia="zh-CN"/>
        </w:rPr>
        <w:t>39.36</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w:t>
      </w:r>
      <w:r>
        <w:rPr>
          <w:rFonts w:hint="eastAsia" w:ascii="仿宋" w:hAnsi="仿宋" w:eastAsia="仿宋" w:cs="仿宋"/>
          <w:sz w:val="32"/>
          <w:szCs w:val="32"/>
          <w:highlight w:val="none"/>
          <w:lang w:bidi="ar"/>
        </w:rPr>
        <w:t>623.95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highlight w:val="none"/>
        </w:rPr>
        <w:t>本部门为保证日常运转发生的基本支出和为完成各项工作任务、保障</w:t>
      </w:r>
      <w:r>
        <w:rPr>
          <w:rFonts w:hint="eastAsia" w:ascii="仿宋_GB2312" w:hAnsi="仿宋_GB2312" w:eastAsia="仿宋_GB2312" w:cs="仿宋_GB2312"/>
          <w:kern w:val="0"/>
          <w:sz w:val="32"/>
          <w:szCs w:val="32"/>
          <w:highlight w:val="none"/>
        </w:rPr>
        <w:t>单位事业</w:t>
      </w:r>
      <w:r>
        <w:rPr>
          <w:rFonts w:hint="eastAsia" w:ascii="仿宋_GB2312" w:hAnsi="仿宋_GB2312" w:eastAsia="仿宋_GB2312" w:cs="仿宋_GB2312"/>
          <w:sz w:val="32"/>
          <w:szCs w:val="32"/>
          <w:highlight w:val="none"/>
        </w:rPr>
        <w:t>发展而发生的项目支出。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增加105.19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20.28</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增加项目和增加人员经费</w:t>
      </w:r>
      <w:r>
        <w:rPr>
          <w:rFonts w:hint="eastAsia" w:ascii="仿宋_GB2312" w:hAnsi="黑体" w:eastAsia="仿宋_GB2312" w:cs="仿宋_GB2312"/>
          <w:kern w:val="0"/>
          <w:sz w:val="32"/>
          <w:szCs w:val="32"/>
        </w:rPr>
        <w:t>。</w:t>
      </w:r>
    </w:p>
    <w:p>
      <w:pPr>
        <w:autoSpaceDE w:val="0"/>
        <w:spacing w:line="600" w:lineRule="exact"/>
        <w:ind w:left="0" w:right="0" w:firstLine="64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ascii="仿宋" w:hAnsi="仿宋" w:eastAsia="仿宋"/>
          <w:sz w:val="32"/>
          <w:u w:color="auto"/>
        </w:rPr>
        <w:t>（208</w:t>
      </w:r>
      <w:r>
        <w:rPr>
          <w:rFonts w:hint="eastAsia" w:ascii="仿宋" w:hAnsi="仿宋" w:eastAsia="仿宋"/>
          <w:sz w:val="32"/>
          <w:szCs w:val="32"/>
          <w:highlight w:val="none"/>
        </w:rPr>
        <w:t>类）</w:t>
      </w:r>
      <w:r>
        <w:rPr>
          <w:rFonts w:hint="eastAsia" w:ascii="仿宋" w:hAnsi="仿宋" w:eastAsia="仿宋" w:cs="仿宋"/>
          <w:sz w:val="32"/>
          <w:szCs w:val="32"/>
          <w:highlight w:val="none"/>
        </w:rPr>
        <w:t>48.25万元：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rPr>
        <w:t>职工养老保险</w:t>
      </w:r>
      <w:r>
        <w:rPr>
          <w:rFonts w:hint="eastAsia" w:ascii="仿宋" w:hAnsi="仿宋" w:eastAsia="仿宋" w:cs="仿宋"/>
          <w:sz w:val="32"/>
          <w:szCs w:val="32"/>
          <w:highlight w:val="none"/>
        </w:rPr>
        <w:t>。较2021年度决算数</w:t>
      </w:r>
      <w:r>
        <w:rPr>
          <w:rFonts w:hint="eastAsia" w:ascii="仿宋_GB2312" w:hAnsi="仿宋_GB2312" w:eastAsia="仿宋_GB2312" w:cs="仿宋_GB2312"/>
          <w:kern w:val="0"/>
          <w:sz w:val="32"/>
          <w:szCs w:val="32"/>
          <w:highlight w:val="none"/>
          <w:lang w:eastAsia="zh-CN"/>
        </w:rPr>
        <w:t>增加</w:t>
      </w:r>
      <w:r>
        <w:rPr>
          <w:rFonts w:hint="eastAsia" w:ascii="仿宋_GB2312" w:hAnsi="仿宋_GB2312" w:eastAsia="仿宋_GB2312" w:cs="仿宋_GB2312"/>
          <w:kern w:val="0"/>
          <w:sz w:val="32"/>
          <w:szCs w:val="32"/>
          <w:highlight w:val="none"/>
          <w:lang w:val="en-US" w:eastAsia="zh-CN"/>
        </w:rPr>
        <w:t>3.77万</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highlight w:val="none"/>
          <w:lang w:eastAsia="zh-CN"/>
        </w:rPr>
        <w:t>增长</w:t>
      </w:r>
      <w:r>
        <w:rPr>
          <w:rFonts w:hint="eastAsia" w:ascii="仿宋_GB2312" w:hAnsi="仿宋_GB2312" w:eastAsia="仿宋_GB2312" w:cs="仿宋_GB2312"/>
          <w:kern w:val="0"/>
          <w:sz w:val="32"/>
          <w:szCs w:val="32"/>
          <w:highlight w:val="none"/>
          <w:lang w:val="en-US" w:eastAsia="zh-CN"/>
        </w:rPr>
        <w:t>8.48</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增加人员</w:t>
      </w:r>
      <w:r>
        <w:rPr>
          <w:rFonts w:hint="eastAsia" w:ascii="仿宋" w:hAnsi="仿宋" w:eastAsia="仿宋" w:cs="仿宋_GB2312"/>
          <w:kern w:val="0"/>
          <w:sz w:val="32"/>
          <w:szCs w:val="32"/>
          <w:lang w:eastAsia="zh-CN"/>
        </w:rPr>
        <w:t>。</w:t>
      </w:r>
    </w:p>
    <w:p>
      <w:pPr>
        <w:autoSpaceDE w:val="0"/>
        <w:spacing w:line="600" w:lineRule="exact"/>
        <w:ind w:left="0" w:right="0" w:firstLine="640"/>
        <w:jc w:val="left"/>
        <w:rPr>
          <w:rFonts w:hint="eastAsia" w:ascii="仿宋_GB2312" w:hAnsi="仿宋_GB2312" w:eastAsia="仿宋_GB2312" w:cs="仿宋_GB2312"/>
          <w:kern w:val="0"/>
          <w:sz w:val="32"/>
          <w:szCs w:val="32"/>
          <w:highlight w:val="none"/>
          <w:lang w:eastAsia="zh-CN"/>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ascii="仿宋" w:hAnsi="仿宋" w:eastAsia="仿宋"/>
          <w:sz w:val="32"/>
          <w:u w:color="auto"/>
        </w:rPr>
        <w:t>（221</w:t>
      </w:r>
      <w:r>
        <w:rPr>
          <w:rFonts w:hint="eastAsia" w:ascii="仿宋" w:hAnsi="仿宋" w:eastAsia="仿宋"/>
          <w:sz w:val="32"/>
          <w:szCs w:val="32"/>
          <w:highlight w:val="none"/>
        </w:rPr>
        <w:t>类）</w:t>
      </w:r>
      <w:r>
        <w:rPr>
          <w:rFonts w:hint="eastAsia" w:ascii="仿宋" w:hAnsi="仿宋" w:eastAsia="仿宋" w:cs="仿宋"/>
          <w:sz w:val="32"/>
          <w:szCs w:val="32"/>
          <w:highlight w:val="none"/>
        </w:rPr>
        <w:t>38.58万元：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highlight w:val="none"/>
        </w:rPr>
        <w:t>按照国家政策规定向职工发放的住房公积金、提租补贴、购房补贴等住房改革方</w:t>
      </w:r>
      <w:r>
        <w:rPr>
          <w:rFonts w:hint="eastAsia" w:ascii="仿宋_GB2312" w:hAnsi="仿宋_GB2312" w:eastAsia="仿宋_GB2312" w:cs="仿宋_GB2312"/>
          <w:spacing w:val="-3"/>
          <w:kern w:val="0"/>
          <w:sz w:val="32"/>
          <w:szCs w:val="32"/>
          <w:highlight w:val="none"/>
        </w:rPr>
        <w:t>面的支出。较20</w:t>
      </w:r>
      <w:r>
        <w:rPr>
          <w:rFonts w:hint="eastAsia" w:ascii="仿宋_GB2312" w:hAnsi="仿宋_GB2312" w:eastAsia="仿宋_GB2312" w:cs="仿宋_GB2312"/>
          <w:spacing w:val="-3"/>
          <w:kern w:val="0"/>
          <w:sz w:val="32"/>
          <w:szCs w:val="32"/>
          <w:highlight w:val="none"/>
          <w:lang w:val="en-US" w:eastAsia="zh-CN"/>
        </w:rPr>
        <w:t>21</w:t>
      </w:r>
      <w:r>
        <w:rPr>
          <w:rFonts w:hint="eastAsia" w:ascii="仿宋_GB2312" w:hAnsi="仿宋_GB2312" w:eastAsia="仿宋_GB2312" w:cs="仿宋_GB2312"/>
          <w:spacing w:val="-3"/>
          <w:kern w:val="0"/>
          <w:sz w:val="32"/>
          <w:szCs w:val="32"/>
          <w:highlight w:val="none"/>
        </w:rPr>
        <w:t>年度决算数</w:t>
      </w:r>
      <w:r>
        <w:rPr>
          <w:rFonts w:hint="eastAsia" w:ascii="仿宋_GB2312" w:hAnsi="仿宋_GB2312" w:eastAsia="仿宋_GB2312" w:cs="仿宋_GB2312"/>
          <w:spacing w:val="-3"/>
          <w:kern w:val="0"/>
          <w:sz w:val="32"/>
          <w:szCs w:val="32"/>
          <w:highlight w:val="none"/>
          <w:lang w:eastAsia="zh-CN"/>
        </w:rPr>
        <w:t>增加</w:t>
      </w:r>
      <w:r>
        <w:rPr>
          <w:rFonts w:hint="eastAsia" w:ascii="仿宋_GB2312" w:hAnsi="仿宋_GB2312" w:eastAsia="仿宋_GB2312" w:cs="仿宋_GB2312"/>
          <w:spacing w:val="-3"/>
          <w:kern w:val="0"/>
          <w:sz w:val="32"/>
          <w:szCs w:val="32"/>
          <w:highlight w:val="none"/>
          <w:lang w:val="en-US" w:eastAsia="zh-CN"/>
        </w:rPr>
        <w:t>2.97</w:t>
      </w:r>
      <w:r>
        <w:rPr>
          <w:rFonts w:hint="eastAsia" w:ascii="仿宋_GB2312" w:hAnsi="仿宋_GB2312" w:eastAsia="仿宋_GB2312" w:cs="仿宋_GB2312"/>
          <w:spacing w:val="-3"/>
          <w:kern w:val="0"/>
          <w:sz w:val="32"/>
          <w:szCs w:val="32"/>
          <w:highlight w:val="none"/>
        </w:rPr>
        <w:t>万元，</w:t>
      </w:r>
      <w:r>
        <w:rPr>
          <w:rFonts w:hint="eastAsia" w:ascii="仿宋_GB2312" w:hAnsi="仿宋_GB2312" w:eastAsia="仿宋_GB2312" w:cs="仿宋_GB2312"/>
          <w:kern w:val="0"/>
          <w:sz w:val="32"/>
          <w:szCs w:val="32"/>
          <w:highlight w:val="none"/>
          <w:lang w:eastAsia="zh-CN"/>
        </w:rPr>
        <w:t>增长</w:t>
      </w:r>
      <w:r>
        <w:rPr>
          <w:rFonts w:hint="eastAsia" w:ascii="仿宋_GB2312" w:hAnsi="仿宋_GB2312" w:eastAsia="仿宋_GB2312" w:cs="仿宋_GB2312"/>
          <w:kern w:val="0"/>
          <w:sz w:val="32"/>
          <w:szCs w:val="32"/>
          <w:highlight w:val="none"/>
          <w:lang w:val="en-US" w:eastAsia="zh-CN"/>
        </w:rPr>
        <w:t>8.34</w:t>
      </w:r>
      <w:r>
        <w:rPr>
          <w:rFonts w:hint="eastAsia" w:ascii="仿宋_GB2312" w:hAnsi="仿宋_GB2312" w:eastAsia="仿宋_GB2312" w:cs="仿宋_GB2312"/>
          <w:spacing w:val="-3"/>
          <w:kern w:val="0"/>
          <w:sz w:val="32"/>
          <w:szCs w:val="32"/>
          <w:highlight w:val="none"/>
        </w:rPr>
        <w:t>%，</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lang w:val="en-US" w:eastAsia="zh-CN"/>
        </w:rPr>
        <w:t>增加人员</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w:t>
      </w:r>
      <w:r>
        <w:rPr>
          <w:rFonts w:hint="eastAsia" w:ascii="仿宋" w:hAnsi="仿宋" w:eastAsia="仿宋" w:cs="仿宋"/>
          <w:sz w:val="32"/>
          <w:szCs w:val="32"/>
          <w:highlight w:val="none"/>
          <w:lang w:bidi="ar"/>
        </w:rPr>
        <w:t>562.88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：增加疫情防控工作经费和春节慰问经费</w:t>
      </w:r>
      <w:r>
        <w:rPr>
          <w:rFonts w:hint="eastAsia" w:ascii="仿宋_GB2312" w:hAnsi="仿宋_GB2312" w:eastAsia="仿宋_GB2312" w:cs="仿宋_GB2312"/>
          <w:color w:val="333333"/>
          <w:sz w:val="32"/>
          <w:szCs w:val="32"/>
          <w:shd w:val="clear" w:color="auto" w:fill="FFFFFF"/>
          <w:lang w:eastAsia="zh-CN"/>
        </w:rPr>
        <w:t>、奖励性补贴支</w:t>
      </w:r>
      <w:r>
        <w:rPr>
          <w:rFonts w:hint="eastAsia" w:ascii="仿宋_GB2312" w:hAnsi="仿宋_GB2312" w:eastAsia="仿宋_GB2312" w:cs="仿宋_GB2312"/>
          <w:color w:val="333333"/>
          <w:sz w:val="32"/>
          <w:szCs w:val="32"/>
          <w:shd w:val="clear" w:color="auto" w:fill="FFFFFF"/>
        </w:rPr>
        <w:t>出，</w:t>
      </w:r>
      <w:r>
        <w:rPr>
          <w:rFonts w:hint="eastAsia" w:ascii="仿宋_GB2312" w:hAnsi="仿宋_GB2312" w:eastAsia="仿宋_GB2312" w:cs="仿宋_GB2312"/>
          <w:kern w:val="0"/>
          <w:sz w:val="32"/>
          <w:szCs w:val="32"/>
        </w:rPr>
        <w:t>较20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年度决算</w:t>
      </w:r>
      <w:r>
        <w:rPr>
          <w:rFonts w:hint="eastAsia" w:ascii="仿宋_GB2312" w:hAnsi="仿宋_GB2312" w:eastAsia="仿宋_GB2312" w:cs="仿宋_GB2312"/>
          <w:spacing w:val="-3"/>
          <w:kern w:val="0"/>
          <w:sz w:val="32"/>
          <w:szCs w:val="32"/>
          <w:highlight w:val="none"/>
          <w:lang w:eastAsia="zh-CN"/>
        </w:rPr>
        <w:t>增加</w:t>
      </w:r>
      <w:r>
        <w:rPr>
          <w:rFonts w:hint="eastAsia" w:ascii="仿宋_GB2312" w:hAnsi="仿宋_GB2312" w:eastAsia="仿宋_GB2312" w:cs="仿宋_GB2312"/>
          <w:kern w:val="0"/>
          <w:sz w:val="32"/>
          <w:szCs w:val="32"/>
          <w:lang w:val="en-US" w:eastAsia="zh-CN"/>
        </w:rPr>
        <w:t>247.79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highlight w:val="none"/>
        </w:rPr>
        <w:t>增长</w:t>
      </w:r>
      <w:r>
        <w:rPr>
          <w:rFonts w:hint="eastAsia" w:ascii="仿宋_GB2312" w:hAnsi="仿宋_GB2312" w:eastAsia="仿宋_GB2312" w:cs="仿宋_GB2312"/>
          <w:kern w:val="0"/>
          <w:sz w:val="32"/>
          <w:szCs w:val="32"/>
          <w:lang w:val="en-US" w:eastAsia="zh-CN"/>
        </w:rPr>
        <w:t>78.64</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w:t>
      </w:r>
      <w:r>
        <w:rPr>
          <w:rFonts w:hint="eastAsia" w:ascii="仿宋" w:hAnsi="仿宋" w:eastAsia="仿宋" w:cs="仿宋"/>
          <w:color w:val="000000" w:themeColor="text1"/>
          <w:sz w:val="32"/>
          <w:szCs w:val="32"/>
          <w:highlight w:val="none"/>
          <w:lang w:eastAsia="zh-CN"/>
          <w14:textFill>
            <w14:solidFill>
              <w14:schemeClr w14:val="tx1"/>
            </w14:solidFill>
          </w14:textFill>
        </w:rPr>
        <w:t>疫情防控工作经费和春节慰问经费</w:t>
      </w:r>
      <w:r>
        <w:rPr>
          <w:rFonts w:hint="eastAsia" w:ascii="仿宋_GB2312" w:hAnsi="黑体" w:eastAsia="仿宋_GB2312" w:cs="仿宋_GB2312"/>
          <w:kern w:val="0"/>
          <w:sz w:val="32"/>
          <w:szCs w:val="32"/>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5.</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w:t>
      </w:r>
      <w:r>
        <w:rPr>
          <w:rFonts w:hint="eastAsia" w:ascii="仿宋" w:hAnsi="仿宋" w:eastAsia="仿宋" w:cs="仿宋"/>
          <w:kern w:val="2"/>
          <w:sz w:val="32"/>
          <w:szCs w:val="32"/>
          <w:highlight w:val="none"/>
          <w:lang w:val="en-US" w:eastAsia="zh-CN" w:bidi="ar"/>
        </w:rPr>
        <w:t>结余</w:t>
      </w:r>
      <w:r>
        <w:rPr>
          <w:rFonts w:hint="default" w:ascii="仿宋_GB2312" w:hAnsi="微软雅黑" w:eastAsia="仿宋_GB2312" w:cs="仿宋_GB2312"/>
          <w:i w:val="0"/>
          <w:iCs w:val="0"/>
          <w:caps w:val="0"/>
          <w:color w:val="000000"/>
          <w:spacing w:val="0"/>
          <w:sz w:val="31"/>
          <w:szCs w:val="31"/>
          <w:highlight w:val="none"/>
          <w:shd w:val="clear" w:color="auto" w:fill="FFFFFF"/>
        </w:rPr>
        <w:t>分配</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sz w:val="32"/>
          <w:szCs w:val="32"/>
          <w:highlight w:val="none"/>
        </w:rPr>
        <w:t>年末结转和结余</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_GB2312" w:hAnsi="仿宋_GB2312" w:eastAsia="仿宋_GB2312" w:cs="仿宋_GB2312"/>
          <w:sz w:val="32"/>
          <w:u w:color="auto"/>
          <w:lang w:eastAsia="zh-CN"/>
        </w:rPr>
        <w:t>环江毛南自治县人民政府办公室</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1273.66</w:t>
      </w:r>
      <w:r>
        <w:rPr>
          <w:rFonts w:hint="eastAsia" w:ascii="仿宋" w:hAnsi="仿宋" w:eastAsia="仿宋" w:cs="仿宋"/>
          <w:sz w:val="32"/>
          <w:szCs w:val="32"/>
          <w:highlight w:val="none"/>
        </w:rPr>
        <w:t>万元，较2021年度决算数</w:t>
      </w:r>
      <w:r>
        <w:rPr>
          <w:rFonts w:hint="eastAsia" w:ascii="仿宋_GB2312" w:hAnsi="黑体" w:eastAsia="仿宋_GB2312" w:cs="仿宋_GB2312"/>
          <w:kern w:val="0"/>
          <w:sz w:val="32"/>
          <w:szCs w:val="32"/>
        </w:rPr>
        <w:t>增加</w:t>
      </w:r>
      <w:r>
        <w:rPr>
          <w:rFonts w:hint="eastAsia" w:ascii="仿宋" w:hAnsi="仿宋" w:eastAsia="仿宋" w:cs="仿宋"/>
          <w:sz w:val="32"/>
          <w:u w:color="auto"/>
          <w:lang w:val="en-US" w:eastAsia="zh-CN"/>
        </w:rPr>
        <w:t>359.71</w:t>
      </w:r>
      <w:r>
        <w:rPr>
          <w:rFonts w:hint="eastAsia" w:ascii="仿宋" w:hAnsi="仿宋" w:eastAsia="仿宋" w:cs="仿宋"/>
          <w:sz w:val="32"/>
          <w:szCs w:val="32"/>
          <w:highlight w:val="none"/>
        </w:rPr>
        <w:t>万元，</w:t>
      </w:r>
      <w:r>
        <w:rPr>
          <w:rFonts w:hint="eastAsia" w:ascii="仿宋_GB2312" w:hAnsi="黑体" w:eastAsia="仿宋_GB2312" w:cs="仿宋_GB2312"/>
          <w:kern w:val="0"/>
          <w:sz w:val="32"/>
          <w:szCs w:val="32"/>
        </w:rPr>
        <w:t>增长</w:t>
      </w:r>
      <w:r>
        <w:rPr>
          <w:rFonts w:hint="eastAsia" w:ascii="仿宋" w:hAnsi="仿宋" w:eastAsia="仿宋" w:cs="仿宋"/>
          <w:sz w:val="32"/>
          <w:u w:color="auto"/>
          <w:lang w:val="en-US" w:eastAsia="zh-CN"/>
        </w:rPr>
        <w:t>39.36</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601.86</w:t>
      </w:r>
      <w:r>
        <w:rPr>
          <w:rFonts w:hint="eastAsia" w:ascii="仿宋" w:hAnsi="仿宋" w:eastAsia="仿宋" w:cs="仿宋"/>
          <w:sz w:val="32"/>
          <w:szCs w:val="32"/>
          <w:highlight w:val="none"/>
        </w:rPr>
        <w:t>万元，项目支出</w:t>
      </w:r>
      <w:r>
        <w:rPr>
          <w:rFonts w:hint="eastAsia" w:ascii="仿宋" w:hAnsi="仿宋" w:eastAsia="仿宋" w:cs="仿宋"/>
          <w:sz w:val="32"/>
          <w:u w:color="auto"/>
        </w:rPr>
        <w:t>671.8</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_GB2312" w:hAnsi="仿宋_GB2312" w:eastAsia="仿宋_GB2312" w:cs="仿宋_GB2312"/>
          <w:sz w:val="32"/>
          <w:u w:color="auto"/>
          <w:lang w:eastAsia="zh-CN"/>
        </w:rPr>
        <w:t>环江毛南自治县人民政府办公室</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605.13</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1273.66</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210.48</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r>
        <w:rPr>
          <w:rFonts w:hint="eastAsia" w:ascii="仿宋" w:hAnsi="仿宋" w:eastAsia="仿宋"/>
          <w:sz w:val="32"/>
          <w:szCs w:val="32"/>
          <w:highlight w:val="none"/>
        </w:rPr>
        <w:t xml:space="preserve"> </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 w:hAnsi="仿宋" w:eastAsia="仿宋"/>
          <w:sz w:val="32"/>
          <w:szCs w:val="32"/>
          <w:highlight w:val="none"/>
          <w:lang w:eastAsia="zh-CN"/>
        </w:rPr>
        <w:t>（一）</w:t>
      </w:r>
      <w:r>
        <w:rPr>
          <w:rFonts w:hint="eastAsia" w:ascii="仿宋" w:hAnsi="仿宋" w:eastAsia="仿宋"/>
          <w:sz w:val="32"/>
          <w:szCs w:val="32"/>
          <w:highlight w:val="none"/>
        </w:rPr>
        <w:t>一般公共服务支出</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201类）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518.05</w:t>
      </w:r>
      <w:r>
        <w:rPr>
          <w:rFonts w:hint="eastAsia" w:ascii="仿宋" w:hAnsi="仿宋" w:eastAsia="仿宋"/>
          <w:sz w:val="32"/>
          <w:szCs w:val="32"/>
          <w:highlight w:val="none"/>
        </w:rPr>
        <w:t>万元，支出决算为623.9</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120.44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黑体" w:eastAsia="仿宋_GB2312" w:cs="仿宋_GB2312"/>
          <w:kern w:val="0"/>
          <w:sz w:val="32"/>
          <w:szCs w:val="32"/>
          <w:lang w:eastAsia="zh-CN"/>
        </w:rPr>
        <w:t>增加项目和人员</w:t>
      </w:r>
      <w:r>
        <w:rPr>
          <w:rFonts w:hint="eastAsia" w:ascii="仿宋_GB2312" w:hAnsi="黑体" w:eastAsia="仿宋_GB2312" w:cs="仿宋_GB2312"/>
          <w:kern w:val="0"/>
          <w:sz w:val="32"/>
          <w:szCs w:val="32"/>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90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2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3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2010301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511.88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590.02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115.27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 xml:space="preserve">工资福利、项目支出 </w:t>
            </w:r>
          </w:p>
        </w:tc>
        <w:tc>
          <w:tcPr>
            <w:tcW w:w="23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ajorEastAsia" w:hAnsiTheme="majorEastAsia" w:eastAsiaTheme="majorEastAsia" w:cstheme="majorEastAsia"/>
                <w:kern w:val="0"/>
                <w:sz w:val="18"/>
                <w:szCs w:val="18"/>
                <w:lang w:eastAsia="zh-CN"/>
              </w:rPr>
              <w:t>增加项目和人员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工会经费</w:t>
            </w:r>
          </w:p>
        </w:tc>
        <w:tc>
          <w:tcPr>
            <w:tcW w:w="23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抚恤金</w:t>
            </w:r>
          </w:p>
        </w:tc>
        <w:tc>
          <w:tcPr>
            <w:tcW w:w="23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年内退休干部死亡抚恤金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518.05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623.94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120.44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23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（二）</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49.40</w:t>
      </w:r>
      <w:r>
        <w:rPr>
          <w:rFonts w:hint="eastAsia" w:ascii="仿宋" w:hAnsi="仿宋" w:eastAsia="仿宋"/>
          <w:sz w:val="32"/>
          <w:szCs w:val="32"/>
          <w:highlight w:val="none"/>
        </w:rPr>
        <w:t>万元，支出决算为48.25万元，完成年初预算的</w:t>
      </w:r>
      <w:r>
        <w:rPr>
          <w:rFonts w:hint="eastAsia" w:ascii="仿宋" w:hAnsi="仿宋" w:eastAsia="仿宋"/>
          <w:sz w:val="32"/>
          <w:szCs w:val="32"/>
          <w:highlight w:val="none"/>
          <w:lang w:val="en-US" w:eastAsia="zh-CN"/>
        </w:rPr>
        <w:t>97.67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原因是：调整</w:t>
      </w:r>
      <w:r>
        <w:rPr>
          <w:rFonts w:hint="eastAsia" w:ascii="仿宋_GB2312" w:hAnsi="仿宋_GB2312" w:eastAsia="仿宋_GB2312" w:cs="仿宋_GB2312"/>
          <w:bCs/>
          <w:kern w:val="0"/>
          <w:sz w:val="32"/>
          <w:szCs w:val="32"/>
          <w:highlight w:val="none"/>
          <w:lang w:eastAsia="zh-CN"/>
        </w:rPr>
        <w:t>缴费基数</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911"/>
        <w:gridCol w:w="1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1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97.67%</w:t>
            </w:r>
          </w:p>
        </w:tc>
        <w:tc>
          <w:tcPr>
            <w:tcW w:w="191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在职人员养老保险</w:t>
            </w:r>
          </w:p>
        </w:tc>
        <w:tc>
          <w:tcPr>
            <w:tcW w:w="16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仿宋_GB2312" w:cs="宋体"/>
                <w:i w:val="0"/>
                <w:iCs w:val="0"/>
                <w:color w:val="auto"/>
                <w:sz w:val="21"/>
                <w:szCs w:val="21"/>
                <w:highlight w:val="none"/>
                <w:u w:val="none"/>
                <w:lang w:val="en-US" w:eastAsia="zh-CN"/>
              </w:rPr>
            </w:pPr>
            <w:r>
              <w:rPr>
                <w:rFonts w:hint="eastAsia" w:ascii="仿宋_GB2312" w:hAnsi="仿宋_GB2312" w:eastAsia="仿宋_GB2312" w:cs="仿宋_GB2312"/>
                <w:bCs/>
                <w:kern w:val="0"/>
                <w:sz w:val="21"/>
                <w:szCs w:val="21"/>
                <w:highlight w:val="none"/>
                <w:lang w:eastAsia="zh-CN"/>
              </w:rPr>
              <w:t>调整缴费基数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1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在职人员养老保险</w:t>
            </w:r>
          </w:p>
        </w:tc>
        <w:tc>
          <w:tcPr>
            <w:tcW w:w="16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仿宋_GB2312" w:hAnsi="仿宋_GB2312" w:eastAsia="仿宋_GB2312" w:cs="仿宋_GB2312"/>
                <w:bCs/>
                <w:kern w:val="0"/>
                <w:sz w:val="21"/>
                <w:szCs w:val="21"/>
                <w:highlight w:val="none"/>
                <w:lang w:eastAsia="zh-CN"/>
              </w:rPr>
              <w:t>调整缴费基数</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（三）</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37.68</w:t>
      </w:r>
      <w:r>
        <w:rPr>
          <w:rFonts w:hint="eastAsia" w:ascii="仿宋" w:hAnsi="仿宋" w:eastAsia="仿宋"/>
          <w:sz w:val="32"/>
          <w:szCs w:val="32"/>
          <w:highlight w:val="none"/>
        </w:rPr>
        <w:t>万元，支出决算为38.58万元，完成年初预算的</w:t>
      </w:r>
      <w:r>
        <w:rPr>
          <w:rFonts w:hint="eastAsia" w:ascii="仿宋" w:hAnsi="仿宋" w:eastAsia="仿宋"/>
          <w:sz w:val="32"/>
          <w:szCs w:val="32"/>
          <w:highlight w:val="none"/>
          <w:lang w:val="en-US" w:eastAsia="zh-CN"/>
        </w:rPr>
        <w:t>102.39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增加人员</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83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34"/>
        <w:gridCol w:w="1200"/>
        <w:gridCol w:w="810"/>
        <w:gridCol w:w="1140"/>
        <w:gridCol w:w="226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2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2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2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2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2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12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37.68</w:t>
            </w:r>
          </w:p>
        </w:tc>
        <w:tc>
          <w:tcPr>
            <w:tcW w:w="8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38.58</w:t>
            </w:r>
          </w:p>
        </w:tc>
        <w:tc>
          <w:tcPr>
            <w:tcW w:w="11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102.39%</w:t>
            </w:r>
          </w:p>
        </w:tc>
        <w:tc>
          <w:tcPr>
            <w:tcW w:w="22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在职人员住房公积金</w:t>
            </w:r>
          </w:p>
        </w:tc>
        <w:tc>
          <w:tcPr>
            <w:tcW w:w="12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增加人员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2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2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37.68</w:t>
            </w:r>
          </w:p>
        </w:tc>
        <w:tc>
          <w:tcPr>
            <w:tcW w:w="8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38.58</w:t>
            </w:r>
          </w:p>
        </w:tc>
        <w:tc>
          <w:tcPr>
            <w:tcW w:w="11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102.39%</w:t>
            </w:r>
          </w:p>
        </w:tc>
        <w:tc>
          <w:tcPr>
            <w:tcW w:w="22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在职人员住房公积金</w:t>
            </w:r>
          </w:p>
        </w:tc>
        <w:tc>
          <w:tcPr>
            <w:tcW w:w="12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增加人员</w:t>
            </w:r>
          </w:p>
        </w:tc>
      </w:tr>
    </w:tbl>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82875"/>
            <wp:effectExtent l="4445" t="4445" r="16510" b="17780"/>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autoSpaceDE w:val="0"/>
        <w:autoSpaceDN w:val="0"/>
        <w:adjustRightInd w:val="0"/>
        <w:spacing w:line="560" w:lineRule="exact"/>
        <w:ind w:firstLine="627" w:firstLineChars="196"/>
        <w:jc w:val="left"/>
        <w:rPr>
          <w:rFonts w:hint="eastAsia" w:ascii="仿宋" w:hAnsi="仿宋" w:eastAsia="仿宋" w:cs="仿宋"/>
          <w:sz w:val="32"/>
          <w:szCs w:val="32"/>
          <w:highlight w:val="none"/>
          <w:lang w:val="en-US"/>
        </w:rPr>
      </w:pPr>
      <w:r>
        <w:rPr>
          <w:rFonts w:hint="eastAsia" w:ascii="仿宋" w:hAnsi="仿宋" w:eastAsia="仿宋"/>
          <w:sz w:val="32"/>
          <w:szCs w:val="32"/>
          <w:highlight w:val="none"/>
          <w:lang w:eastAsia="zh-CN"/>
        </w:rPr>
        <w:t>（四）其他</w:t>
      </w:r>
      <w:r>
        <w:rPr>
          <w:rFonts w:hint="eastAsia" w:ascii="仿宋" w:hAnsi="仿宋" w:eastAsia="仿宋"/>
          <w:sz w:val="32"/>
          <w:szCs w:val="32"/>
          <w:highlight w:val="none"/>
        </w:rPr>
        <w:t>支出</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万元，支出决算为562.88万元。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kern w:val="0"/>
          <w:sz w:val="32"/>
          <w:szCs w:val="32"/>
          <w:lang w:eastAsia="zh-CN"/>
        </w:rPr>
        <w:t>增加</w:t>
      </w:r>
      <w:r>
        <w:rPr>
          <w:rFonts w:hint="eastAsia" w:ascii="仿宋" w:hAnsi="仿宋" w:eastAsia="仿宋" w:cs="仿宋"/>
          <w:color w:val="000000" w:themeColor="text1"/>
          <w:sz w:val="32"/>
          <w:szCs w:val="32"/>
          <w:highlight w:val="none"/>
          <w:lang w:eastAsia="zh-CN"/>
          <w14:textFill>
            <w14:solidFill>
              <w14:schemeClr w14:val="tx1"/>
            </w14:solidFill>
          </w14:textFill>
        </w:rPr>
        <w:t>疫情防控工作经费和退休干部春节慰问经费</w:t>
      </w:r>
      <w:r>
        <w:rPr>
          <w:rFonts w:hint="eastAsia" w:ascii="仿宋_GB2312" w:hAnsi="黑体" w:eastAsia="仿宋_GB2312" w:cs="仿宋_GB2312"/>
          <w:kern w:val="0"/>
          <w:sz w:val="32"/>
          <w:szCs w:val="32"/>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95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2001"/>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0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562.88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20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疫情防控工作经费和退休干部春节慰问经费</w:t>
            </w:r>
          </w:p>
        </w:tc>
        <w:tc>
          <w:tcPr>
            <w:tcW w:w="2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增加疫情防控工作经费和退休干部春节慰问经费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562.88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20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疫情防控工作经费和退休干部春节慰问经费</w:t>
            </w:r>
          </w:p>
        </w:tc>
        <w:tc>
          <w:tcPr>
            <w:tcW w:w="2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增加疫情防控工作经费和退休干部春节慰问经费</w:t>
            </w:r>
          </w:p>
        </w:tc>
      </w:tr>
    </w:tbl>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00680"/>
            <wp:effectExtent l="4445" t="4445" r="16510" b="952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_GB2312" w:hAnsi="仿宋_GB2312" w:eastAsia="仿宋_GB2312" w:cs="仿宋_GB2312"/>
          <w:sz w:val="32"/>
          <w:u w:color="auto"/>
          <w:lang w:eastAsia="zh-CN"/>
        </w:rPr>
        <w:t>环江毛南自治县人民政府办公室</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szCs w:val="32"/>
          <w:highlight w:val="none"/>
          <w:lang w:val="en-US" w:eastAsia="zh-CN"/>
        </w:rPr>
        <w:t>601.86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558.95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42.91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rPr>
        <w:t>517.99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376.65万元，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137.53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人员变动工资福利收入增加。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141.5万元，30102津贴补贴77.04万元，30103奖金156.59万元，30106伙食补助费7.4万元，30107绩效工资8.57万元，30108机关事业单位基本养老保险缴费46.62万元，30110职工基本医疗保险缴费21.23万元，30112其他社会保障缴费4.66万元，30113住房公积金39.59万元，30199其他工资福利支出14.79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autoSpaceDE w:val="0"/>
        <w:spacing w:line="560" w:lineRule="exact"/>
        <w:ind w:left="0" w:right="0" w:firstLine="616"/>
        <w:jc w:val="left"/>
        <w:rPr>
          <w:rFonts w:hint="eastAsia" w:ascii="仿宋_GB2312" w:hAnsi="仿宋_GB2312" w:eastAsia="仿宋_GB2312" w:cs="仿宋_GB2312"/>
          <w:bCs/>
          <w:color w:val="FF0000"/>
          <w:kern w:val="0"/>
          <w:sz w:val="32"/>
          <w:szCs w:val="32"/>
          <w:highlight w:val="none"/>
          <w:lang w:eastAsia="zh-CN"/>
        </w:rPr>
      </w:pP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42.91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 w:hAnsi="仿宋" w:eastAsia="仿宋" w:cs="仿宋"/>
          <w:sz w:val="32"/>
          <w:u w:color="auto"/>
          <w:lang w:val="en-US" w:eastAsia="zh-CN"/>
        </w:rPr>
        <w:t>41.27万元，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103.97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sz w:val="32"/>
          <w:szCs w:val="32"/>
          <w:lang w:eastAsia="zh-CN"/>
        </w:rPr>
        <w:t>人员变动，</w:t>
      </w:r>
      <w:r>
        <w:rPr>
          <w:rFonts w:hint="eastAsia" w:ascii="仿宋_GB2312" w:hAnsi="仿宋_GB2312" w:eastAsia="仿宋_GB2312" w:cs="仿宋_GB2312"/>
          <w:sz w:val="32"/>
          <w:szCs w:val="32"/>
        </w:rPr>
        <w:t>公务交通补贴</w:t>
      </w:r>
      <w:r>
        <w:rPr>
          <w:rFonts w:hint="eastAsia" w:ascii="仿宋_GB2312" w:hAnsi="仿宋_GB2312" w:eastAsia="仿宋_GB2312" w:cs="仿宋_GB2312"/>
          <w:sz w:val="32"/>
          <w:szCs w:val="32"/>
          <w:lang w:eastAsia="zh-CN"/>
        </w:rPr>
        <w:t>和公务员通信补贴支出增加。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30201办公费1.77万元，30205水费0.05万元，30206电费2.32万元，30207邮电费7.26万元，30211差旅费0.8万元，30228工会经费6.17万元，30239其他交通费用24.54万元。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108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rPr>
        <w:t>40.96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13.42万元，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305.22</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主要原因是：增加退休干部死亡抚恤金。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30304抚恤金27.75万元，30305生活补助13.21万元。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282825"/>
            <wp:effectExtent l="4445" t="4445" r="16510" b="1778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0"/>
        </w:numPr>
        <w:suppressLineNumbers w:val="0"/>
        <w:spacing w:before="0" w:beforeAutospacing="0" w:after="0" w:afterAutospacing="0"/>
        <w:ind w:right="0" w:rightChars="0" w:firstLine="320" w:firstLineChars="1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（四）</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color w:val="000000" w:themeColor="text1"/>
          <w:sz w:val="32"/>
          <w:szCs w:val="32"/>
          <w:highlight w:val="none"/>
          <w14:textFill>
            <w14:solidFill>
              <w14:schemeClr w14:val="tx1"/>
            </w14:solidFill>
          </w14:textFill>
        </w:rPr>
        <w:t>债务利息及费用支出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4889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0"/>
        </w:numPr>
        <w:suppressLineNumbers w:val="0"/>
        <w:spacing w:before="0" w:beforeAutospacing="0" w:after="0" w:afterAutospacing="0"/>
        <w:ind w:right="0" w:rightChars="0" w:firstLine="320" w:firstLineChars="1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right="0" w:rightChars="0" w:firstLine="320" w:firstLineChars="10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lang w:eastAsia="zh-CN"/>
        </w:rPr>
        <w:t>（六</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rPr>
        <w:drawing>
          <wp:inline distT="0" distB="0" distL="114300" distR="114300">
            <wp:extent cx="4474845" cy="27584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_GB2312" w:hAnsi="仿宋_GB2312" w:eastAsia="仿宋_GB2312" w:cs="仿宋_GB2312"/>
          <w:sz w:val="32"/>
          <w:u w:color="auto"/>
          <w:lang w:eastAsia="zh-CN"/>
        </w:rPr>
        <w:t>环江毛南自治县人民政府办公室</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default" w:ascii="仿宋" w:hAnsi="仿宋" w:eastAsia="仿宋" w:cs="仿宋"/>
          <w:sz w:val="32"/>
          <w:szCs w:val="32"/>
          <w:highlight w:val="none"/>
          <w:lang w:val="en-US" w:eastAsia="zh-CN"/>
        </w:rPr>
      </w:pPr>
      <w:r>
        <w:rPr>
          <w:rFonts w:hint="eastAsia" w:ascii="仿宋_GB2312" w:hAnsi="仿宋_GB2312" w:eastAsia="仿宋_GB2312" w:cs="仿宋_GB2312"/>
          <w:sz w:val="32"/>
          <w:u w:color="auto"/>
          <w:lang w:eastAsia="zh-CN"/>
        </w:rPr>
        <w:t>环江毛南自治县人民政府办公室</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本部门无政府性基金支出。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_GB2312" w:hAnsi="仿宋_GB2312" w:eastAsia="仿宋_GB2312" w:cs="仿宋_GB2312"/>
          <w:sz w:val="32"/>
          <w:u w:color="auto"/>
          <w:lang w:eastAsia="zh-CN"/>
        </w:rPr>
        <w:t>环江毛南自治县人民政府办公室</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default" w:ascii="仿宋" w:hAnsi="仿宋" w:eastAsia="仿宋" w:cs="仿宋"/>
          <w:sz w:val="32"/>
          <w:szCs w:val="32"/>
          <w:highlight w:val="none"/>
          <w:lang w:val="en-US" w:eastAsia="zh-CN"/>
        </w:rPr>
      </w:pPr>
      <w:r>
        <w:rPr>
          <w:rFonts w:hint="eastAsia" w:ascii="仿宋_GB2312" w:hAnsi="仿宋_GB2312" w:eastAsia="仿宋_GB2312" w:cs="仿宋_GB2312"/>
          <w:sz w:val="32"/>
          <w:u w:color="auto"/>
          <w:lang w:eastAsia="zh-CN"/>
        </w:rPr>
        <w:t>环江毛南自治县人民政府办公室</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本部门无国有资本经营预算支出。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1.77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88.5</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0.57</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主要原因是：增加公务接待次数</w:t>
      </w:r>
      <w:r>
        <w:rPr>
          <w:rFonts w:hint="eastAsia" w:ascii="仿宋" w:hAnsi="仿宋" w:eastAsia="仿宋" w:cs="仿宋"/>
          <w:sz w:val="32"/>
          <w:szCs w:val="32"/>
          <w:highlight w:val="none"/>
        </w:rPr>
        <w:t>人次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1.77</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2"/>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pPr>
        <w:numPr>
          <w:ilvl w:val="0"/>
          <w:numId w:val="2"/>
        </w:numPr>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numPr>
          <w:numId w:val="0"/>
        </w:num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万元。2022年，</w:t>
      </w:r>
      <w:r>
        <w:rPr>
          <w:rFonts w:hint="eastAsia" w:ascii="仿宋" w:hAnsi="仿宋" w:eastAsia="仿宋" w:cs="仿宋"/>
          <w:sz w:val="32"/>
          <w:u w:color="auto"/>
          <w:lang w:eastAsia="zh-CN"/>
        </w:rPr>
        <w:t>本单位</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77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88.5</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0.57</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主要原因是：增加公务接待次数</w:t>
      </w:r>
      <w:r>
        <w:rPr>
          <w:rFonts w:hint="eastAsia" w:ascii="仿宋" w:hAnsi="仿宋" w:eastAsia="仿宋" w:cs="仿宋"/>
          <w:sz w:val="32"/>
          <w:szCs w:val="32"/>
          <w:highlight w:val="none"/>
        </w:rPr>
        <w:t>人次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15</w:t>
      </w:r>
      <w:r>
        <w:rPr>
          <w:rFonts w:hint="eastAsia" w:ascii="仿宋" w:hAnsi="仿宋" w:eastAsia="仿宋" w:cs="仿宋"/>
          <w:sz w:val="32"/>
          <w:szCs w:val="32"/>
          <w:highlight w:val="none"/>
        </w:rPr>
        <w:t>次，人次</w:t>
      </w:r>
      <w:r>
        <w:rPr>
          <w:rFonts w:hint="eastAsia" w:ascii="仿宋" w:hAnsi="仿宋" w:eastAsia="仿宋" w:cs="仿宋"/>
          <w:color w:val="000000" w:themeColor="text1"/>
          <w:sz w:val="32"/>
          <w:szCs w:val="32"/>
          <w:highlight w:val="none"/>
          <w:lang w:val="en-US" w:eastAsia="zh-CN"/>
          <w14:textFill>
            <w14:solidFill>
              <w14:schemeClr w14:val="tx1"/>
            </w14:solidFill>
          </w14:textFill>
        </w:rPr>
        <w:t>169</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autoSpaceDE w:val="0"/>
        <w:autoSpaceDN w:val="0"/>
        <w:adjustRightInd w:val="0"/>
        <w:spacing w:line="560" w:lineRule="exact"/>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本部门2022年度机关运行经费支出42.9</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1.64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rPr>
        <w:t>3.97</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4.55</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11.86</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原因是：</w:t>
      </w:r>
      <w:r>
        <w:rPr>
          <w:rFonts w:hint="eastAsia" w:ascii="仿宋" w:hAnsi="仿宋" w:eastAsia="仿宋" w:cs="仿宋"/>
          <w:color w:val="000000" w:themeColor="text1"/>
          <w:sz w:val="32"/>
          <w:szCs w:val="32"/>
          <w:highlight w:val="none"/>
          <w:lang w:eastAsia="zh-CN"/>
          <w14:textFill>
            <w14:solidFill>
              <w14:schemeClr w14:val="tx1"/>
            </w14:solidFill>
          </w14:textFill>
        </w:rPr>
        <w:t>增加</w:t>
      </w:r>
      <w:r>
        <w:rPr>
          <w:rFonts w:hint="eastAsia" w:ascii="仿宋_GB2312" w:hAnsi="仿宋_GB2312" w:eastAsia="仿宋_GB2312" w:cs="仿宋_GB2312"/>
          <w:sz w:val="32"/>
          <w:szCs w:val="32"/>
        </w:rPr>
        <w:t>公务交通补贴</w:t>
      </w:r>
      <w:r>
        <w:rPr>
          <w:rFonts w:hint="eastAsia" w:ascii="仿宋_GB2312" w:hAnsi="仿宋_GB2312" w:eastAsia="仿宋_GB2312" w:cs="仿宋_GB2312"/>
          <w:sz w:val="32"/>
          <w:szCs w:val="32"/>
          <w:lang w:eastAsia="zh-CN"/>
        </w:rPr>
        <w:t>和公务员通信补贴支出</w:t>
      </w:r>
      <w:r>
        <w:rPr>
          <w:rFonts w:hint="eastAsia" w:ascii="仿宋_GB2312" w:eastAsia="仿宋_GB2312" w:cs="仿宋_GB2312"/>
          <w:kern w:val="0"/>
          <w:sz w:val="32"/>
          <w:szCs w:val="32"/>
        </w:rPr>
        <w:t>。</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eastAsia="zh-CN"/>
          <w14:textFill>
            <w14:solidFill>
              <w14:schemeClr w14:val="tx1"/>
            </w14:solidFill>
          </w14:textFill>
        </w:rPr>
        <w:t>人员</w:t>
      </w:r>
      <w:r>
        <w:rPr>
          <w:rFonts w:hint="eastAsia" w:ascii="仿宋_GB2312" w:eastAsia="仿宋_GB2312" w:cs="仿宋_GB2312"/>
          <w:color w:val="000000" w:themeColor="text1"/>
          <w:kern w:val="0"/>
          <w:sz w:val="32"/>
          <w:szCs w:val="32"/>
          <w:lang w:eastAsia="zh-CN"/>
          <w14:textFill>
            <w14:solidFill>
              <w14:schemeClr w14:val="tx1"/>
            </w14:solidFill>
          </w14:textFill>
        </w:rPr>
        <w:t>增加</w:t>
      </w:r>
      <w:r>
        <w:rPr>
          <w:rFonts w:hint="eastAsia" w:ascii="仿宋" w:hAnsi="仿宋" w:eastAsia="仿宋" w:cs="仿宋"/>
          <w:color w:val="000000" w:themeColor="text1"/>
          <w:sz w:val="32"/>
          <w:szCs w:val="32"/>
          <w:highlight w:val="none"/>
          <w14:textFill>
            <w14:solidFill>
              <w14:schemeClr w14:val="tx1"/>
            </w14:solidFill>
          </w14:textFill>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41.90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41.90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727.38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autoSpaceDE w:val="0"/>
        <w:autoSpaceDN w:val="0"/>
        <w:adjustRightInd w:val="0"/>
        <w:spacing w:line="560" w:lineRule="exact"/>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党支部组织生活经费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727.38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年初预算数</w:t>
      </w:r>
      <w:r>
        <w:rPr>
          <w:rFonts w:hint="eastAsia" w:ascii="仿宋" w:hAnsi="仿宋" w:eastAsia="仿宋" w:cs="仿宋"/>
          <w:color w:val="000000" w:themeColor="text1"/>
          <w:sz w:val="32"/>
          <w:szCs w:val="32"/>
          <w:lang w:val="en-US" w:eastAsia="zh-CN"/>
          <w14:textFill>
            <w14:solidFill>
              <w14:schemeClr w14:val="tx1"/>
            </w14:solidFill>
          </w14:textFill>
        </w:rPr>
        <w:t>204.25万元，当年预算数709.58万元，全年执行数727.38万元，完成执行率102.51%，自评结论：一等。</w:t>
      </w:r>
    </w:p>
    <w:p>
      <w:pPr>
        <w:autoSpaceDE w:val="0"/>
        <w:autoSpaceDN w:val="0"/>
        <w:adjustRightInd w:val="0"/>
        <w:spacing w:line="560" w:lineRule="exact"/>
        <w:ind w:firstLine="640" w:firstLineChars="200"/>
        <w:jc w:val="left"/>
        <w:rPr>
          <w:rFonts w:hint="default" w:ascii="仿宋_GB2312" w:hAnsi="仿宋_GB2312" w:eastAsia="仿宋_GB2312" w:cs="仿宋_GB2312"/>
          <w:color w:val="FF0000"/>
          <w:sz w:val="32"/>
          <w:szCs w:val="32"/>
          <w:highlight w:val="none"/>
          <w:u w:val="single"/>
          <w:lang w:val="en-US"/>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个部门开展整体支出绩效评价，涉及一般公共预算支出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1286.32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年初预算数</w:t>
      </w:r>
      <w:r>
        <w:rPr>
          <w:rFonts w:hint="eastAsia" w:ascii="仿宋" w:hAnsi="仿宋" w:eastAsia="仿宋" w:cs="仿宋"/>
          <w:color w:val="000000" w:themeColor="text1"/>
          <w:sz w:val="32"/>
          <w:szCs w:val="32"/>
          <w:lang w:val="en-US" w:eastAsia="zh-CN"/>
          <w14:textFill>
            <w14:solidFill>
              <w14:schemeClr w14:val="tx1"/>
            </w14:solidFill>
          </w14:textFill>
        </w:rPr>
        <w:t>605.13万元，当年预算数1286.31万元，全年执行数1273.66万元，完成执行率99.02%，自评结论：一等。</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党支部组织生活经费项目自评得分为80分。发现的主要问题及原因：活动经费没有支付。下一步改进措施：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政务OA系统建设经费项目自评得分为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招商引资前期经费项目自评得分为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办公业务经费项目自评得分为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98.1</w:t>
      </w:r>
      <w:r>
        <w:rPr>
          <w:rFonts w:hint="eastAsia" w:ascii="仿宋" w:hAnsi="仿宋" w:eastAsia="仿宋" w:cs="仿宋"/>
          <w:color w:val="000000" w:themeColor="text1"/>
          <w:sz w:val="32"/>
          <w:szCs w:val="32"/>
          <w14:textFill>
            <w14:solidFill>
              <w14:schemeClr w14:val="tx1"/>
            </w14:solidFill>
          </w14:textFill>
        </w:rPr>
        <w:t>分。发现的主要问题及原因：预算经费不促，年中增加项目经费，年末经费剩余。下一步改进措施：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政府办业务经费项目自评得分为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政府法律顾问服务工作经费项目自评得分为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政府机要信息业务经费项目自评得分为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0分。</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政府网络业务经费项目自评得分为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98.9</w:t>
      </w:r>
      <w:r>
        <w:rPr>
          <w:rFonts w:hint="eastAsia" w:ascii="仿宋" w:hAnsi="仿宋" w:eastAsia="仿宋" w:cs="仿宋"/>
          <w:color w:val="000000" w:themeColor="text1"/>
          <w:sz w:val="32"/>
          <w:szCs w:val="32"/>
          <w14:textFill>
            <w14:solidFill>
              <w14:schemeClr w14:val="tx1"/>
            </w14:solidFill>
          </w14:textFill>
        </w:rPr>
        <w:t>分。发现的主要问题及原因：经费支付力度不够。下一步改进措施：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，加大经费支付力度。</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政府系统业务培训经费项目自评得分为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春节慰问经费项目自评得分为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0分。</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疫情防控指挥部工作经费项目自评得分为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99.83</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有些商家没有及时来对账结算，就不能按时</w:t>
      </w:r>
      <w:r>
        <w:rPr>
          <w:rFonts w:hint="eastAsia" w:ascii="仿宋" w:hAnsi="仿宋" w:eastAsia="仿宋" w:cs="仿宋"/>
          <w:color w:val="000000" w:themeColor="text1"/>
          <w:sz w:val="32"/>
          <w:szCs w:val="32"/>
          <w14:textFill>
            <w14:solidFill>
              <w14:schemeClr w14:val="tx1"/>
            </w14:solidFill>
          </w14:textFill>
        </w:rPr>
        <w:t>支付。下一步改进措施：</w:t>
      </w:r>
      <w:r>
        <w:rPr>
          <w:rFonts w:hint="eastAsia" w:ascii="仿宋" w:hAnsi="仿宋" w:eastAsia="仿宋" w:cs="仿宋"/>
          <w:color w:val="000000" w:themeColor="text1"/>
          <w:sz w:val="32"/>
          <w:szCs w:val="32"/>
          <w:lang w:eastAsia="zh-CN"/>
          <w14:textFill>
            <w14:solidFill>
              <w14:schemeClr w14:val="tx1"/>
            </w14:solidFill>
          </w14:textFill>
        </w:rPr>
        <w:t>及时与商家对账结算，按时支付。</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抚恤金项目自评得分为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0分。</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党政机关综合办公平台推广建设经费项目自评得分为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0分。</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0分。</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活动礼金项目自评得分为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0分。</w:t>
      </w:r>
    </w:p>
    <w:p>
      <w:pPr>
        <w:ind w:firstLine="640" w:firstLineChars="200"/>
        <w:jc w:val="left"/>
        <w:rPr>
          <w:rFonts w:hint="eastAsia" w:ascii="仿宋" w:hAnsi="仿宋" w:eastAsia="仿宋" w:cs="仿宋"/>
          <w:color w:val="FF0000"/>
          <w:sz w:val="32"/>
          <w:szCs w:val="32"/>
        </w:rPr>
        <w:sectPr>
          <w:pgSz w:w="11906" w:h="16838"/>
          <w:pgMar w:top="1327" w:right="1406" w:bottom="1327" w:left="1406" w:header="851" w:footer="992" w:gutter="0"/>
          <w:cols w:space="0" w:num="1"/>
          <w:docGrid w:type="lines" w:linePitch="312" w:charSpace="0"/>
        </w:sectPr>
      </w:pPr>
    </w:p>
    <w:tbl>
      <w:tblPr>
        <w:tblStyle w:val="6"/>
        <w:tblW w:w="145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1893"/>
        <w:gridCol w:w="1449"/>
        <w:gridCol w:w="1320"/>
        <w:gridCol w:w="1530"/>
        <w:gridCol w:w="1455"/>
        <w:gridCol w:w="44"/>
        <w:gridCol w:w="1201"/>
        <w:gridCol w:w="109"/>
        <w:gridCol w:w="971"/>
        <w:gridCol w:w="1815"/>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455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党支部组织生活经费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5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451226210310200004079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102001-环江毛南族自治县人民政府办公室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5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102-环江毛南族自治县人民政府办公室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0.26</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0.26</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5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179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根据桂组通字[2016]141号文件要求，将党支部组织生活经费列入部门预算。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5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179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179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通过开展党支部生活活动，推进党支部工作。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80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5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党支部组织生活活动</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开展活动1次。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参与活动党员</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≥26人</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参加活动人数。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及时性</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按时开展活动。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成本控制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≤2600元</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没有经费支付。</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活动经费没有支付，加强开展活动和经费支出，促进党员干部凝聚力、团结力。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增加党员感情</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效果明显</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开展活动1次。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党员干部满意度度95%。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16"/>
                <w:szCs w:val="16"/>
                <w:u w:val="none"/>
              </w:rPr>
            </w:pPr>
          </w:p>
        </w:tc>
      </w:tr>
    </w:tbl>
    <w:p>
      <w:pPr>
        <w:ind w:firstLine="640" w:firstLineChars="200"/>
        <w:jc w:val="left"/>
        <w:rPr>
          <w:rFonts w:hint="eastAsia" w:ascii="仿宋" w:hAnsi="仿宋" w:eastAsia="仿宋" w:cs="仿宋"/>
          <w:color w:val="FF0000"/>
          <w:sz w:val="32"/>
          <w:szCs w:val="32"/>
        </w:rPr>
        <w:sectPr>
          <w:pgSz w:w="16838" w:h="11906" w:orient="landscape"/>
          <w:pgMar w:top="896" w:right="1213" w:bottom="726" w:left="1213" w:header="851" w:footer="992" w:gutter="0"/>
          <w:cols w:space="0" w:num="1"/>
          <w:docGrid w:type="lines" w:linePitch="312" w:charSpace="0"/>
        </w:sectPr>
      </w:pPr>
    </w:p>
    <w:tbl>
      <w:tblPr>
        <w:tblStyle w:val="6"/>
        <w:tblW w:w="14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1866"/>
        <w:gridCol w:w="1454"/>
        <w:gridCol w:w="1315"/>
        <w:gridCol w:w="1515"/>
        <w:gridCol w:w="1455"/>
        <w:gridCol w:w="1275"/>
        <w:gridCol w:w="1095"/>
        <w:gridCol w:w="1815"/>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4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政务OA系统建设经费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3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451226210310200004080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102001-环江毛南族自治县人民政府办公室</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3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102-环江毛南族自治县人民政府办公室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50.278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50.278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50.278</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50.278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50.278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50.278</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3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16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政务OA系统建设经费。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3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16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16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根据工作计划完成对全县政务OA系统建设的支出。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3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系统维护次数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完成系统维护任务。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系统维护质量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保证系统正常运行</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系统正常运行。</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维护时间</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按时维护。</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经费成本</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≤502780元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502780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已完成支付502780元。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提升工作效率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工作效率有所提高。</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满意度达95%以上。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bl>
    <w:p>
      <w:pPr>
        <w:ind w:firstLine="640" w:firstLineChars="200"/>
        <w:jc w:val="left"/>
        <w:rPr>
          <w:rFonts w:hint="eastAsia" w:ascii="仿宋" w:hAnsi="仿宋" w:eastAsia="仿宋" w:cs="仿宋"/>
          <w:color w:val="FF0000"/>
          <w:sz w:val="32"/>
          <w:szCs w:val="32"/>
        </w:rPr>
        <w:sectPr>
          <w:pgSz w:w="16838" w:h="11906" w:orient="landscape"/>
          <w:pgMar w:top="1009" w:right="1270" w:bottom="839" w:left="1213" w:header="851" w:footer="992" w:gutter="0"/>
          <w:cols w:space="0" w:num="1"/>
          <w:docGrid w:type="lines" w:linePitch="312" w:charSpace="0"/>
        </w:sectPr>
      </w:pPr>
    </w:p>
    <w:tbl>
      <w:tblPr>
        <w:tblStyle w:val="6"/>
        <w:tblW w:w="14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1866"/>
        <w:gridCol w:w="1365"/>
        <w:gridCol w:w="1404"/>
        <w:gridCol w:w="1515"/>
        <w:gridCol w:w="1455"/>
        <w:gridCol w:w="1275"/>
        <w:gridCol w:w="1095"/>
        <w:gridCol w:w="1815"/>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44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招商引资前期经费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3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451226210310200004081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102001-环江毛南族自治县人民政府办公室</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3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102-环江毛南族自治县人民政府办公室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17.182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17.182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17.182</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17.182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17.182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17.182</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17.182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16"/>
                <w:szCs w:val="16"/>
                <w:u w:val="none"/>
                <w:lang w:val="en-US" w:eastAsia="zh-CN" w:bidi="ar"/>
              </w:rPr>
              <w:t>17.182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16"/>
                <w:szCs w:val="16"/>
                <w:u w:val="none"/>
                <w:lang w:val="en-US" w:eastAsia="zh-CN" w:bidi="ar"/>
              </w:rPr>
              <w:t>17.182</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16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招商引资经费17.182万元。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3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16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16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根据工作计划，用于开展全县招商引资前期各项工作的日常运行。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3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招商引资业务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推动全县经济发展</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完成工作业任务目标。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经费支出时效性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经费按时支付</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按时完成。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控制成本</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≤171820元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171820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已完成支付171820元。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工作完成率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完成工作任务。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可持续影响指标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促进发展</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效果明显</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完成工作业任务。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服务对象满意度</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满意度达95%以上。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bl>
    <w:p>
      <w:pPr>
        <w:ind w:firstLine="640" w:firstLineChars="200"/>
        <w:jc w:val="left"/>
        <w:rPr>
          <w:rFonts w:hint="eastAsia" w:ascii="仿宋" w:hAnsi="仿宋" w:eastAsia="仿宋" w:cs="仿宋"/>
          <w:color w:val="FF0000"/>
          <w:sz w:val="32"/>
          <w:szCs w:val="32"/>
        </w:rPr>
        <w:sectPr>
          <w:pgSz w:w="16838" w:h="11906" w:orient="landscape"/>
          <w:pgMar w:top="1293" w:right="1327" w:bottom="1179" w:left="1327" w:header="851" w:footer="992" w:gutter="0"/>
          <w:cols w:space="0" w:num="1"/>
          <w:docGrid w:type="lines" w:linePitch="312" w:charSpace="0"/>
        </w:sectPr>
      </w:pPr>
    </w:p>
    <w:tbl>
      <w:tblPr>
        <w:tblStyle w:val="6"/>
        <w:tblW w:w="14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1866"/>
        <w:gridCol w:w="1454"/>
        <w:gridCol w:w="1396"/>
        <w:gridCol w:w="1575"/>
        <w:gridCol w:w="1314"/>
        <w:gridCol w:w="1275"/>
        <w:gridCol w:w="1095"/>
        <w:gridCol w:w="1815"/>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44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办公业务经费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2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451226210310200004082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102001-环江毛南族自治县人民政府办公室</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2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102-环江毛南族自治县人民政府办公室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49.8</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72.1957</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49.8</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72.1957</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2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16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政府办公业务经费。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2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16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16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根据工作安排推进全县工作发展。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98.1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2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业务完成度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保证全县各项工作正常开展</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完成工作业任务目标。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工作完成时间</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部分达成预期指标并具有一定效果</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按时支付。</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办公业务成本</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≤798000元</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721956.5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预算经费不促，年中增加项目经费，年末经费剩余。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预算经费不促，年中年中增加项目经费，加大支付力度。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推动发展</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效果显著</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工作效率有所提高。</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满意度达95%以上。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bl>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tbl>
      <w:tblPr>
        <w:tblStyle w:val="6"/>
        <w:tblW w:w="144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1866"/>
        <w:gridCol w:w="1395"/>
        <w:gridCol w:w="1374"/>
        <w:gridCol w:w="1515"/>
        <w:gridCol w:w="1455"/>
        <w:gridCol w:w="1275"/>
        <w:gridCol w:w="1095"/>
        <w:gridCol w:w="1815"/>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4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政府办业务经费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451226210310200004083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102001-环江毛南族自治县人民政府办公室</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102-环江毛南族自治县人民政府办公室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自治县政府办公业务费用。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开展日常工作：用于办公费、印刷费、邮电费、维修（护）费、差旅费、接待费、会议培训费等日常开支。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办公邮电通讯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保持正常运行</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工作能正常开展。</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经费支出时效性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按时支出。</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节约成本</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≤60000元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已完成支付60000元。</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办公环境的改善</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明显</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完成工作业务。</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满意度达95%以上。</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4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政府法律顾问服务工作经费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451226210310200004084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102001-环江毛南族自治县人民政府办公室</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102-环江毛南族自治县人民政府办公室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政府法律顾问服务工作经费30万元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政府法律顾问服务工作经费。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完成案件数量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完成案件任务。</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案件完成质量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案件完成情况</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案件完成质量高。</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经费支出时效性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经费按时支付</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按时完成。</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成本控制</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≤300000元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已完成支付300000元。</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案件完成率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结案率高。</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满意度达95%以上。</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政府机要信息业务经费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451226210310200004085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14487"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项目名称</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政府机要信息业务经费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项目编码</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451226210310200004085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102001-环江毛南族自治县人民政府办公室</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102-环江毛南族自治县人民政府办公室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政府机要信息业务经费。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政府机要信息业务经费。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办公邮电通讯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保持正常运行</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工作能正常开展。</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经费支出时效性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经费按时支付</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按时完成。</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工作经费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≤52000元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已完成支付52000元。</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对保障机关正常运转的持续影响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明显</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完成工作任务。</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满意度达95%以上。</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bl>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tbl>
      <w:tblPr>
        <w:tblStyle w:val="6"/>
        <w:tblW w:w="144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1866"/>
        <w:gridCol w:w="1395"/>
        <w:gridCol w:w="1374"/>
        <w:gridCol w:w="1515"/>
        <w:gridCol w:w="1455"/>
        <w:gridCol w:w="1275"/>
        <w:gridCol w:w="1095"/>
        <w:gridCol w:w="1815"/>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4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政府网络业务经费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451226210310200004086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102001-环江毛南族自治县人民政府办公室</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102-环江毛南族自治县人民政府办公室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11.3368</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11.3368</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政府办公大楼及行政会议中心宽带经费。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政府办公大楼及行政会议中心宽带经费。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98.9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网络通讯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正常运行</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工作正常开展。</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按时完成。</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成本控制</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≤120000元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113368.13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已完成支付113368.13元，完成预算执行率94.47%。</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经费支付力度不够，加大经费支付力度。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业务完成率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完成工作业务。</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满意度达95%以上。</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bl>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tbl>
      <w:tblPr>
        <w:tblStyle w:val="6"/>
        <w:tblW w:w="144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1866"/>
        <w:gridCol w:w="1275"/>
        <w:gridCol w:w="120"/>
        <w:gridCol w:w="1305"/>
        <w:gridCol w:w="255"/>
        <w:gridCol w:w="1329"/>
        <w:gridCol w:w="1455"/>
        <w:gridCol w:w="1275"/>
        <w:gridCol w:w="1095"/>
        <w:gridCol w:w="1815"/>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4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9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政府系统业务培训经费</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451226210310200004087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29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102001-环江毛南族自治县人民政府办公室</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102-环江毛南族自治县人民政府办公室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9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29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173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自治县政府系统业务培训经费3.08万元，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29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173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173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根据工作计划完成政府系统业务培训。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5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培训次数</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完成培训任务。</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经费支出合规性</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经费支出时效性</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经费按时支付</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按时支出。</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控制成本</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≤30800元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已完成30800元。</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提高系统业务水平</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完成工作任务。</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4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春节慰问经费</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451226210310200005385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102001-环江毛南族自治县人民政府办公室</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102-环江毛南族自治县人民政府办公室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173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春节慰问经费202.5万元.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173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173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2022年春节慰问退休职工3850人，1925000元；初一在岗职工200人，100000元，共计2025000元。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春节慰问人数</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≥4050人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完成春节慰问任务。</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经费支出合规性</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春节慰问时间</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按时支出。</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≤2025000元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已完成支付2025000元。</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慰问收入</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体现党委、政府对退休干部的关心，提高群众生活水平。</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bl>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tbl>
      <w:tblPr>
        <w:tblStyle w:val="6"/>
        <w:tblW w:w="143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1866"/>
        <w:gridCol w:w="1395"/>
        <w:gridCol w:w="1560"/>
        <w:gridCol w:w="1515"/>
        <w:gridCol w:w="1269"/>
        <w:gridCol w:w="1275"/>
        <w:gridCol w:w="1095"/>
        <w:gridCol w:w="1911"/>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疫情防控指挥部工作经费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1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451226210310200005674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102001-环江毛南族自治县人民政府办公室</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1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102-环江毛南族自治县人民政府办公室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246.0011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246.0011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241.8757</w:t>
            </w:r>
          </w:p>
        </w:tc>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246.0011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246.0011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241.8757</w:t>
            </w:r>
          </w:p>
        </w:tc>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#DIV/0!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1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159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为确保全县疫情防控指挥部工作的正常运行，安排疫情防控指挥部工作经费。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159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2022年疫情防控指挥部工作经费90万元。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159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确保全县疫情防控指挥部工作的正常运行，安排疫情防控指挥部工作经费2271900元。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99.83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防疫物资采购、工作宣传经费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确保全县疫情防控工作正常开展</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完成全县疫情防控工作。</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经费支出时效性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按经费需求支出</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按时支付疫情防控经费。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控制成本</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≤2460011.34元</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2418757.49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年度调整预算2460011.34元，全年执行数2418757.49元，完成执行率98.32%。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防控完成率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全县疫情防控得到有效控制。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社会群众对疫情防控工作很满意。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bl>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tbl>
      <w:tblPr>
        <w:tblStyle w:val="6"/>
        <w:tblW w:w="144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1866"/>
        <w:gridCol w:w="1395"/>
        <w:gridCol w:w="1560"/>
        <w:gridCol w:w="1329"/>
        <w:gridCol w:w="1455"/>
        <w:gridCol w:w="1275"/>
        <w:gridCol w:w="1095"/>
        <w:gridCol w:w="1815"/>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4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抚恤金</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451226220310200005711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102001-环江毛南族自治县人民政府办公室</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102-环江毛南族自治县人民政府办公室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27.7466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27.7466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27.7466</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27.7466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27.7466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27.7466</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#DIV/0!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抚恤金277465.5元。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抚恤金277465.5元。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抚恤金277465.5元。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政策补助补贴对象数量</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抚恤金补贴1人。</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补助补贴资金支出合规性</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兑现抚恤金补贴1人。</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补助补贴资金兑现及时性</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已及时支付。</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政策补助补贴标准</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≤277465.5元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277465.5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发放补贴金额277465.5元，完成预算执行率100%。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慰问收入</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体现党委、政府对退休干部的关心，提高群众生活水平。</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bl>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p>
      <w:pPr>
        <w:ind w:firstLine="640" w:firstLineChars="200"/>
        <w:jc w:val="left"/>
        <w:rPr>
          <w:rFonts w:hint="eastAsia" w:ascii="仿宋" w:hAnsi="仿宋" w:eastAsia="仿宋" w:cs="仿宋"/>
          <w:color w:val="FF0000"/>
          <w:sz w:val="32"/>
          <w:szCs w:val="32"/>
        </w:rPr>
      </w:pPr>
    </w:p>
    <w:tbl>
      <w:tblPr>
        <w:tblStyle w:val="6"/>
        <w:tblW w:w="144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1866"/>
        <w:gridCol w:w="1395"/>
        <w:gridCol w:w="1560"/>
        <w:gridCol w:w="1329"/>
        <w:gridCol w:w="1455"/>
        <w:gridCol w:w="1275"/>
        <w:gridCol w:w="1095"/>
        <w:gridCol w:w="1815"/>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4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党政机关综合办公平台推广建设经费</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451226220310200006001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102001-环江毛南族自治县人民政府办公室</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102-环江毛南族自治县人民政府办公室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30.45</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30.45</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#DIV/0!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2022年度党政机关综合办公平台推广建设经费30.45万元。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2022年度党政机关综合办公平台推广建设经费30.45万元。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2022年度党政机关综合办公平台推广建设经费30.45万元。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购置设备数量</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购置35台国产电脑。</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安装验收合格率</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已全部安装使用。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政府采购按时完成率</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已按时支付。</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合同金额比例</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≤304500元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已完成支付304500元，完成预算执行率100%。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设备利用率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设备利用率达100%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可持续影响指标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设备使用年限</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设备使用正常。</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党政机关综合办公平台推广建设经费</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干部职工满意度达95%以上</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bl>
    <w:p>
      <w:pPr>
        <w:ind w:firstLine="640" w:firstLineChars="200"/>
        <w:jc w:val="left"/>
        <w:rPr>
          <w:rFonts w:hint="eastAsia" w:ascii="仿宋" w:hAnsi="仿宋" w:eastAsia="仿宋" w:cs="仿宋"/>
          <w:color w:val="FF0000"/>
          <w:sz w:val="32"/>
          <w:szCs w:val="32"/>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tbl>
      <w:tblPr>
        <w:tblStyle w:val="6"/>
        <w:tblW w:w="144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1866"/>
        <w:gridCol w:w="1395"/>
        <w:gridCol w:w="1560"/>
        <w:gridCol w:w="1329"/>
        <w:gridCol w:w="1455"/>
        <w:gridCol w:w="1275"/>
        <w:gridCol w:w="1095"/>
        <w:gridCol w:w="1815"/>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4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奖励性补贴</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451226220310200006183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102001-环江毛南族自治县人民政府办公室</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102-环江毛南族自治县人民政府办公室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27.5332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27.5332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27.5332</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27.5332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27.5332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27.5332</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#DIV/0!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预发2022年奖励性补贴。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2022年9月底完成支付。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预发奖励性补贴。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奖励性补贴人数</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奖励性补贴40人。</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资金使用合规性</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兑现奖励性补贴275332元。</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奖励性补贴时间</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已按时支付。</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补贴金额</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≤275332元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275332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已支付奖励性补贴金额275332元，完成预算执行率100%。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工资性收入</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完成支付奖励性补贴275332元。</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满意度达95%以上。</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bl>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tbl>
      <w:tblPr>
        <w:tblStyle w:val="6"/>
        <w:tblW w:w="144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1866"/>
        <w:gridCol w:w="1395"/>
        <w:gridCol w:w="1560"/>
        <w:gridCol w:w="1329"/>
        <w:gridCol w:w="1455"/>
        <w:gridCol w:w="1275"/>
        <w:gridCol w:w="1095"/>
        <w:gridCol w:w="1815"/>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4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活动礼金</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451226220310200006823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102001-环江毛南族自治县人民政府办公室</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102-环江毛南族自治县人民政府办公室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#DIV/0!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参加西林县享受30年县庆活动礼金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参加活动礼金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1173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参加西林县享受30年县庆活动礼金。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7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活动次数</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参加西林县县庆活动1次。</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资金支出合规性</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经费支出合规。</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时间</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2022年11月</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已按时支付。</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向西林县捐赠礼金20000元，完成预算执行率100%。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促进交流，共同发展</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按时参加西林县县庆活动，促进两县交流，助进共同发展。</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满意度达95%以上。</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bl>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2" w:name="_GoBack"/>
      <w:bookmarkEnd w:id="2"/>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6838" w:h="11906" w:orient="landscape"/>
      <w:pgMar w:top="1293" w:right="1327" w:bottom="1236" w:left="132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E15B2AB4"/>
    <w:multiLevelType w:val="singleLevel"/>
    <w:tmpl w:val="E15B2AB4"/>
    <w:lvl w:ilvl="0" w:tentative="0">
      <w:start w:val="1"/>
      <w:numFmt w:val="chineseCounting"/>
      <w:suff w:val="nothing"/>
      <w:lvlText w:val="（%1）"/>
      <w:lvlJc w:val="left"/>
      <w:rPr>
        <w:rFonts w:hint="eastAsia"/>
      </w:rPr>
    </w:lvl>
  </w:abstractNum>
  <w:abstractNum w:abstractNumId="2">
    <w:nsid w:val="EFF0BA2C"/>
    <w:multiLevelType w:val="singleLevel"/>
    <w:tmpl w:val="EFF0BA2C"/>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hZmEwZWY4MGExYWI5MWFiODcyZGNjNDNlNjc1Mzg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85DE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062151"/>
    <w:rsid w:val="01234E98"/>
    <w:rsid w:val="015F1951"/>
    <w:rsid w:val="020C171D"/>
    <w:rsid w:val="0216715F"/>
    <w:rsid w:val="02781490"/>
    <w:rsid w:val="02E0291A"/>
    <w:rsid w:val="04E54546"/>
    <w:rsid w:val="05896A62"/>
    <w:rsid w:val="05992762"/>
    <w:rsid w:val="05F54156"/>
    <w:rsid w:val="07B0770E"/>
    <w:rsid w:val="0942143F"/>
    <w:rsid w:val="0A833E62"/>
    <w:rsid w:val="0B281A99"/>
    <w:rsid w:val="0D100297"/>
    <w:rsid w:val="0D202B45"/>
    <w:rsid w:val="0DC14423"/>
    <w:rsid w:val="0E7501B1"/>
    <w:rsid w:val="0F8209D3"/>
    <w:rsid w:val="0F8D4C87"/>
    <w:rsid w:val="102E7ABD"/>
    <w:rsid w:val="10505FAA"/>
    <w:rsid w:val="105F7E7E"/>
    <w:rsid w:val="10861954"/>
    <w:rsid w:val="10C72AC2"/>
    <w:rsid w:val="116524B2"/>
    <w:rsid w:val="11E56B5B"/>
    <w:rsid w:val="121C60CC"/>
    <w:rsid w:val="125C77AB"/>
    <w:rsid w:val="14CA1E1F"/>
    <w:rsid w:val="14CB726E"/>
    <w:rsid w:val="14E06953"/>
    <w:rsid w:val="15B12FCF"/>
    <w:rsid w:val="17E92249"/>
    <w:rsid w:val="17FD0E25"/>
    <w:rsid w:val="18D019BE"/>
    <w:rsid w:val="18D304F1"/>
    <w:rsid w:val="19D329F2"/>
    <w:rsid w:val="19F32577"/>
    <w:rsid w:val="19F45B80"/>
    <w:rsid w:val="1A3E0619"/>
    <w:rsid w:val="1A98475D"/>
    <w:rsid w:val="1B0C078D"/>
    <w:rsid w:val="1B2B31E2"/>
    <w:rsid w:val="1B4C295A"/>
    <w:rsid w:val="1B973C63"/>
    <w:rsid w:val="1BA1001E"/>
    <w:rsid w:val="1C672639"/>
    <w:rsid w:val="1D317259"/>
    <w:rsid w:val="1E5D1F46"/>
    <w:rsid w:val="1E664F5B"/>
    <w:rsid w:val="1EAE454F"/>
    <w:rsid w:val="1EB34BE1"/>
    <w:rsid w:val="1EF01AA8"/>
    <w:rsid w:val="1F2F3158"/>
    <w:rsid w:val="20E16D70"/>
    <w:rsid w:val="212E1977"/>
    <w:rsid w:val="21336028"/>
    <w:rsid w:val="215E639F"/>
    <w:rsid w:val="21EC3183"/>
    <w:rsid w:val="225E72CD"/>
    <w:rsid w:val="233A01EB"/>
    <w:rsid w:val="234B340B"/>
    <w:rsid w:val="246E2F77"/>
    <w:rsid w:val="254B4E2B"/>
    <w:rsid w:val="25BD028B"/>
    <w:rsid w:val="27DA1626"/>
    <w:rsid w:val="27EE6FF6"/>
    <w:rsid w:val="283D7C94"/>
    <w:rsid w:val="28CF3A40"/>
    <w:rsid w:val="28E05EE7"/>
    <w:rsid w:val="29480E03"/>
    <w:rsid w:val="2983634D"/>
    <w:rsid w:val="2A3D2C2B"/>
    <w:rsid w:val="2BB02055"/>
    <w:rsid w:val="2C201FCD"/>
    <w:rsid w:val="2C575A56"/>
    <w:rsid w:val="2F257714"/>
    <w:rsid w:val="2F3275E5"/>
    <w:rsid w:val="2F7470F0"/>
    <w:rsid w:val="30AA08EF"/>
    <w:rsid w:val="30D23D1C"/>
    <w:rsid w:val="31221CF5"/>
    <w:rsid w:val="31400178"/>
    <w:rsid w:val="321E3342"/>
    <w:rsid w:val="32451DEA"/>
    <w:rsid w:val="327759C8"/>
    <w:rsid w:val="33185FE3"/>
    <w:rsid w:val="3418370E"/>
    <w:rsid w:val="34EE2E36"/>
    <w:rsid w:val="35142D24"/>
    <w:rsid w:val="3522075B"/>
    <w:rsid w:val="36777241"/>
    <w:rsid w:val="36D662C2"/>
    <w:rsid w:val="371B42F4"/>
    <w:rsid w:val="37635D8D"/>
    <w:rsid w:val="37781747"/>
    <w:rsid w:val="38A951DB"/>
    <w:rsid w:val="38B31605"/>
    <w:rsid w:val="39003F4F"/>
    <w:rsid w:val="393309BD"/>
    <w:rsid w:val="3B7A3CDF"/>
    <w:rsid w:val="3C07002B"/>
    <w:rsid w:val="3D0D152A"/>
    <w:rsid w:val="3DF62756"/>
    <w:rsid w:val="3F1B7587"/>
    <w:rsid w:val="3F4437CB"/>
    <w:rsid w:val="3FC75019"/>
    <w:rsid w:val="41870F04"/>
    <w:rsid w:val="41E57B4F"/>
    <w:rsid w:val="4234303F"/>
    <w:rsid w:val="431E48CC"/>
    <w:rsid w:val="432F26F6"/>
    <w:rsid w:val="43880F63"/>
    <w:rsid w:val="43D27208"/>
    <w:rsid w:val="441C5A6F"/>
    <w:rsid w:val="4447731C"/>
    <w:rsid w:val="44C44FCC"/>
    <w:rsid w:val="44CC7369"/>
    <w:rsid w:val="457F5108"/>
    <w:rsid w:val="46951B6B"/>
    <w:rsid w:val="46FC7AF4"/>
    <w:rsid w:val="471F2A33"/>
    <w:rsid w:val="482B7A7B"/>
    <w:rsid w:val="483E7E42"/>
    <w:rsid w:val="49876276"/>
    <w:rsid w:val="49A34401"/>
    <w:rsid w:val="49F7474D"/>
    <w:rsid w:val="4A3E30AB"/>
    <w:rsid w:val="4AC14DAC"/>
    <w:rsid w:val="4CDE38DC"/>
    <w:rsid w:val="4D154C85"/>
    <w:rsid w:val="4D9272B1"/>
    <w:rsid w:val="4E9B161D"/>
    <w:rsid w:val="4EC8553A"/>
    <w:rsid w:val="508F4E24"/>
    <w:rsid w:val="51461E90"/>
    <w:rsid w:val="51463753"/>
    <w:rsid w:val="52553A93"/>
    <w:rsid w:val="53521F8B"/>
    <w:rsid w:val="53E22F47"/>
    <w:rsid w:val="53F32BFB"/>
    <w:rsid w:val="54522FF8"/>
    <w:rsid w:val="55450629"/>
    <w:rsid w:val="56334D98"/>
    <w:rsid w:val="56692963"/>
    <w:rsid w:val="568B0F48"/>
    <w:rsid w:val="56EE6168"/>
    <w:rsid w:val="5786217B"/>
    <w:rsid w:val="57E207EA"/>
    <w:rsid w:val="59337A15"/>
    <w:rsid w:val="59810274"/>
    <w:rsid w:val="5C012D4D"/>
    <w:rsid w:val="5C4F21C6"/>
    <w:rsid w:val="5CA96A00"/>
    <w:rsid w:val="5CF730BC"/>
    <w:rsid w:val="5D7E2D63"/>
    <w:rsid w:val="5E5F0DCE"/>
    <w:rsid w:val="5FA40A7B"/>
    <w:rsid w:val="5FD56D29"/>
    <w:rsid w:val="5FEC7F3F"/>
    <w:rsid w:val="60695E09"/>
    <w:rsid w:val="60A62FEE"/>
    <w:rsid w:val="60F74BC3"/>
    <w:rsid w:val="617D3BF8"/>
    <w:rsid w:val="61841F6A"/>
    <w:rsid w:val="62264FF1"/>
    <w:rsid w:val="623007A9"/>
    <w:rsid w:val="637D7558"/>
    <w:rsid w:val="644F19AC"/>
    <w:rsid w:val="64913C5F"/>
    <w:rsid w:val="65AA4920"/>
    <w:rsid w:val="667E25EE"/>
    <w:rsid w:val="66AD46B9"/>
    <w:rsid w:val="67694F1E"/>
    <w:rsid w:val="68D0272E"/>
    <w:rsid w:val="691D346F"/>
    <w:rsid w:val="695112A4"/>
    <w:rsid w:val="69597934"/>
    <w:rsid w:val="6B964DDC"/>
    <w:rsid w:val="6BBC3075"/>
    <w:rsid w:val="6BF411A8"/>
    <w:rsid w:val="6C783074"/>
    <w:rsid w:val="6D9E65C6"/>
    <w:rsid w:val="6DA81947"/>
    <w:rsid w:val="6EB66DE2"/>
    <w:rsid w:val="6ED3075F"/>
    <w:rsid w:val="6F2A2D4B"/>
    <w:rsid w:val="6F326FE2"/>
    <w:rsid w:val="6F8A0C1E"/>
    <w:rsid w:val="703F45D4"/>
    <w:rsid w:val="70ED4030"/>
    <w:rsid w:val="715D6546"/>
    <w:rsid w:val="71BE069E"/>
    <w:rsid w:val="73953409"/>
    <w:rsid w:val="73E069A3"/>
    <w:rsid w:val="73F32CA2"/>
    <w:rsid w:val="748C068B"/>
    <w:rsid w:val="749168FE"/>
    <w:rsid w:val="74A0760B"/>
    <w:rsid w:val="762D01D0"/>
    <w:rsid w:val="768C37C5"/>
    <w:rsid w:val="769267F9"/>
    <w:rsid w:val="77721AAA"/>
    <w:rsid w:val="78104AA8"/>
    <w:rsid w:val="78E257C5"/>
    <w:rsid w:val="794B35BE"/>
    <w:rsid w:val="7B0A3A31"/>
    <w:rsid w:val="7B3360ED"/>
    <w:rsid w:val="7B5319F3"/>
    <w:rsid w:val="7B554651"/>
    <w:rsid w:val="7BDF037E"/>
    <w:rsid w:val="7BF50948"/>
    <w:rsid w:val="7CE66A78"/>
    <w:rsid w:val="7D23564C"/>
    <w:rsid w:val="7D4A19AF"/>
    <w:rsid w:val="7D5E062D"/>
    <w:rsid w:val="7DC43066"/>
    <w:rsid w:val="7DEC30DD"/>
    <w:rsid w:val="7DF76CD8"/>
    <w:rsid w:val="7E091939"/>
    <w:rsid w:val="7E280C63"/>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font21"/>
    <w:basedOn w:val="7"/>
    <w:qFormat/>
    <w:uiPriority w:val="0"/>
    <w:rPr>
      <w:rFonts w:hint="default" w:ascii="Times New Roman" w:hAnsi="Times New Roman" w:cs="Times New Roman"/>
      <w:color w:val="000000"/>
      <w:sz w:val="21"/>
      <w:szCs w:val="21"/>
      <w:u w:val="none"/>
    </w:rPr>
  </w:style>
  <w:style w:type="character" w:customStyle="1" w:styleId="13">
    <w:name w:val="font11"/>
    <w:basedOn w:val="7"/>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1273.66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6545"/>
          <c:y val="0.160084033613445"/>
          <c:w val="0.905175"/>
          <c:h val="0.643151260504202"/>
        </c:manualLayout>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518.76</c:v>
                </c:pt>
                <c:pt idx="1">
                  <c:v>44.48</c:v>
                </c:pt>
                <c:pt idx="2">
                  <c:v>35.61</c:v>
                </c:pt>
                <c:pt idx="3">
                  <c:v>315.09</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623.95</c:v>
                </c:pt>
                <c:pt idx="1">
                  <c:v>48.25</c:v>
                </c:pt>
                <c:pt idx="2">
                  <c:v>38.58</c:v>
                </c:pt>
                <c:pt idx="3">
                  <c:v>562.88</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overlay val="0"/>
      <c:spPr>
        <a:noFill/>
        <a:ln>
          <a:noFill/>
        </a:ln>
        <a:effectLst/>
      </c:spPr>
    </c:title>
    <c:autoTitleDeleted val="0"/>
    <c:plotArea>
      <c:layout>
        <c:manualLayout>
          <c:layoutTarget val="inner"/>
          <c:xMode val="edge"/>
          <c:yMode val="edge"/>
          <c:x val="0.0850858521356606"/>
          <c:y val="0.163507109004739"/>
          <c:w val="0.8794380587484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2010301</c:v>
                </c:pt>
                <c:pt idx="1">
                  <c:v>2012999</c:v>
                </c:pt>
                <c:pt idx="2">
                  <c:v>2013101</c:v>
                </c:pt>
                <c:pt idx="3">
                  <c:v>201x</c:v>
                </c:pt>
              </c:strCache>
            </c:strRef>
          </c:cat>
          <c:val>
            <c:numRef>
              <c:f>Sheet1!$B$2:$B$5</c:f>
              <c:numCache>
                <c:formatCode>General</c:formatCode>
                <c:ptCount val="4"/>
                <c:pt idx="0">
                  <c:v>590.02</c:v>
                </c:pt>
                <c:pt idx="1">
                  <c:v>6.17</c:v>
                </c:pt>
                <c:pt idx="2">
                  <c:v>27.75</c:v>
                </c:pt>
                <c:pt idx="3">
                  <c:v>623.94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48.25</c:v>
                </c:pt>
                <c:pt idx="1">
                  <c:v>48.25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38.58</c:v>
                </c:pt>
                <c:pt idx="1">
                  <c:v>38.58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562.88</c:v>
                </c:pt>
                <c:pt idx="1">
                  <c:v>562.88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141.5</c:v>
                </c:pt>
                <c:pt idx="1">
                  <c:v>77.04</c:v>
                </c:pt>
                <c:pt idx="2">
                  <c:v>156.59</c:v>
                </c:pt>
                <c:pt idx="3">
                  <c:v>7.4</c:v>
                </c:pt>
                <c:pt idx="4">
                  <c:v>8.57</c:v>
                </c:pt>
                <c:pt idx="5">
                  <c:v>46.62</c:v>
                </c:pt>
                <c:pt idx="6">
                  <c:v>0</c:v>
                </c:pt>
                <c:pt idx="7">
                  <c:v>21.23</c:v>
                </c:pt>
                <c:pt idx="8">
                  <c:v>0</c:v>
                </c:pt>
                <c:pt idx="9">
                  <c:v>4.66</c:v>
                </c:pt>
                <c:pt idx="10">
                  <c:v>39.59</c:v>
                </c:pt>
                <c:pt idx="11">
                  <c:v>0</c:v>
                </c:pt>
                <c:pt idx="12">
                  <c:v>14.79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1.77</c:v>
                </c:pt>
                <c:pt idx="1">
                  <c:v>0</c:v>
                </c:pt>
                <c:pt idx="2">
                  <c:v>0</c:v>
                </c:pt>
                <c:pt idx="3">
                  <c:v>0</c:v>
                </c:pt>
                <c:pt idx="4">
                  <c:v>0.05</c:v>
                </c:pt>
                <c:pt idx="5">
                  <c:v>2.32</c:v>
                </c:pt>
                <c:pt idx="6">
                  <c:v>7.26</c:v>
                </c:pt>
                <c:pt idx="7">
                  <c:v>0</c:v>
                </c:pt>
                <c:pt idx="8">
                  <c:v>0</c:v>
                </c:pt>
                <c:pt idx="9">
                  <c:v>0.8</c:v>
                </c:pt>
                <c:pt idx="10">
                  <c:v>0</c:v>
                </c:pt>
                <c:pt idx="11">
                  <c:v>0</c:v>
                </c:pt>
                <c:pt idx="12">
                  <c:v>0</c:v>
                </c:pt>
                <c:pt idx="13">
                  <c:v>0</c:v>
                </c:pt>
                <c:pt idx="14">
                  <c:v>0</c:v>
                </c:pt>
                <c:pt idx="15">
                  <c:v>0</c:v>
                </c:pt>
                <c:pt idx="16">
                  <c:v>0</c:v>
                </c:pt>
                <c:pt idx="17">
                  <c:v>0</c:v>
                </c:pt>
                <c:pt idx="18">
                  <c:v>0</c:v>
                </c:pt>
                <c:pt idx="19">
                  <c:v>0</c:v>
                </c:pt>
                <c:pt idx="20">
                  <c:v>0</c:v>
                </c:pt>
                <c:pt idx="21">
                  <c:v>6.17</c:v>
                </c:pt>
                <c:pt idx="22">
                  <c:v>0</c:v>
                </c:pt>
                <c:pt idx="23">
                  <c:v>0</c:v>
                </c:pt>
                <c:pt idx="24">
                  <c:v>0</c:v>
                </c:pt>
                <c:pt idx="25">
                  <c:v>0</c:v>
                </c:pt>
                <c:pt idx="26">
                  <c:v>24.54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27.75</c:v>
                </c:pt>
                <c:pt idx="4">
                  <c:v>13.21</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2023-11-29T02:51:22Z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23EC6526165E48E8A7FD84894E94335C_13</vt:lpwstr>
  </property>
</Properties>
</file>