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rPr>
        <w:t>中国人民政治协商会议环江毛南族自治县委员会</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中国人民政治协商会议环江毛南族自治县委员会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根据《中国人民政治协商会议章程》和《中共中央关于进一步加强人民政协工作的意见》（中发[2006]5号），人民政协的主要职能是政治协商、民主监督、参政议政。</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1、组织参加政协的各党派、人民团体和各族各界人士参政议政，进行政治协商和民主监督；</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2、对涉及我县的大政方针以及政治、经济、文化和社会生活中的重要问题在决策之前进行协商和就决策执行过程中的重要问题进行协商；</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3、对国家宪法、法律、法规和重大方针、政策在我县的贯彻执行情况，对国家机关各工作部门及其工作人员的工作情况，通过建议和批评进行民主监督；</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4、通过密切联系各方面人士，反映群众的意见和要求；</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5、通过组织委员视察、调查等活动，就我县的各项事业和群众生活方面的重要问题，向县委、县人民政府建言献策；</w:t>
      </w:r>
    </w:p>
    <w:p>
      <w:pPr>
        <w:keepNext w:val="0"/>
        <w:keepLines w:val="0"/>
        <w:pageBreakBefore w:val="0"/>
        <w:kinsoku/>
        <w:wordWrap/>
        <w:overflowPunct/>
        <w:topLinePunct w:val="0"/>
        <w:autoSpaceDE/>
        <w:autoSpaceDN/>
        <w:bidi w:val="0"/>
        <w:adjustRightInd/>
        <w:spacing w:line="54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6、加强同各民族、各宗教界爱国人士沟通和团结，积极开展同港、澳、台同胞和海外侨胞的联系和团结。</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仿宋"/>
          <w:color w:val="666666"/>
          <w:kern w:val="0"/>
          <w:sz w:val="32"/>
          <w:szCs w:val="32"/>
          <w:lang w:eastAsia="zh-CN"/>
        </w:rPr>
      </w:pPr>
      <w:r>
        <w:rPr>
          <w:rFonts w:hint="eastAsia" w:ascii="仿宋_GB2312" w:eastAsia="仿宋_GB2312"/>
          <w:sz w:val="32"/>
          <w:szCs w:val="32"/>
        </w:rPr>
        <w:t>根据以上职责，</w:t>
      </w:r>
      <w:r>
        <w:rPr>
          <w:rFonts w:hint="eastAsia" w:ascii="仿宋" w:hAnsi="仿宋" w:eastAsia="仿宋" w:cs="仿宋"/>
          <w:color w:val="333333"/>
          <w:kern w:val="0"/>
          <w:sz w:val="32"/>
          <w:szCs w:val="32"/>
        </w:rPr>
        <w:t>政协环江毛南族自治县委员会内设五个科级机构</w:t>
      </w:r>
      <w:r>
        <w:rPr>
          <w:rFonts w:hint="eastAsia" w:ascii="仿宋" w:hAnsi="仿宋" w:eastAsia="仿宋" w:cs="仿宋"/>
          <w:color w:val="333333"/>
          <w:kern w:val="0"/>
          <w:sz w:val="32"/>
          <w:szCs w:val="32"/>
          <w:lang w:eastAsia="zh-CN"/>
        </w:rPr>
        <w:t>，分别是</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400"/>
        <w:jc w:val="left"/>
        <w:textAlignment w:val="auto"/>
        <w:rPr>
          <w:rFonts w:hint="eastAsia" w:ascii="仿宋" w:hAnsi="仿宋" w:eastAsia="仿宋" w:cs="仿宋"/>
          <w:color w:val="666666"/>
          <w:kern w:val="0"/>
          <w:sz w:val="32"/>
          <w:szCs w:val="32"/>
        </w:rPr>
      </w:pPr>
      <w:r>
        <w:rPr>
          <w:rFonts w:hint="eastAsia" w:ascii="仿宋" w:hAnsi="仿宋" w:eastAsia="仿宋" w:cs="仿宋"/>
          <w:color w:val="333333"/>
          <w:kern w:val="0"/>
          <w:sz w:val="32"/>
          <w:szCs w:val="32"/>
        </w:rPr>
        <w:t>1、办公室</w:t>
      </w:r>
    </w:p>
    <w:p>
      <w:pPr>
        <w:keepNext w:val="0"/>
        <w:keepLines w:val="0"/>
        <w:pageBreakBefore w:val="0"/>
        <w:widowControl/>
        <w:shd w:val="clear" w:color="auto" w:fill="FFFFFF"/>
        <w:kinsoku/>
        <w:wordWrap/>
        <w:overflowPunct/>
        <w:topLinePunct w:val="0"/>
        <w:autoSpaceDE/>
        <w:autoSpaceDN/>
        <w:bidi w:val="0"/>
        <w:adjustRightInd/>
        <w:spacing w:line="540" w:lineRule="exact"/>
        <w:ind w:left="-141" w:leftChars="-67" w:firstLine="572"/>
        <w:jc w:val="left"/>
        <w:textAlignment w:val="auto"/>
        <w:rPr>
          <w:rFonts w:hint="eastAsia" w:ascii="仿宋" w:hAnsi="仿宋" w:eastAsia="仿宋" w:cs="仿宋"/>
          <w:color w:val="666666"/>
          <w:kern w:val="0"/>
          <w:sz w:val="32"/>
          <w:szCs w:val="32"/>
        </w:rPr>
      </w:pPr>
      <w:r>
        <w:rPr>
          <w:rFonts w:hint="eastAsia" w:ascii="仿宋" w:hAnsi="仿宋" w:eastAsia="仿宋" w:cs="仿宋"/>
          <w:color w:val="333333"/>
          <w:kern w:val="0"/>
          <w:sz w:val="32"/>
          <w:szCs w:val="32"/>
          <w:lang w:eastAsia="zh-CN"/>
        </w:rPr>
        <w:t>具体负责自治县政协委员会的日常工作；</w:t>
      </w:r>
      <w:r>
        <w:rPr>
          <w:rFonts w:hint="eastAsia" w:ascii="仿宋" w:hAnsi="仿宋" w:eastAsia="仿宋" w:cs="仿宋"/>
          <w:color w:val="333333"/>
          <w:kern w:val="0"/>
          <w:sz w:val="32"/>
          <w:szCs w:val="32"/>
        </w:rPr>
        <w:t>负责文电、会务、机要、档案等机关日常运转工作；负责机关后勤、财务管理工作；负责社会治安综合治理、廉政建设工作；负责来信来访、外事接待工作</w:t>
      </w:r>
      <w:r>
        <w:rPr>
          <w:rFonts w:hint="eastAsia" w:ascii="仿宋" w:hAnsi="仿宋" w:eastAsia="仿宋" w:cs="仿宋"/>
          <w:color w:val="333333"/>
          <w:kern w:val="0"/>
          <w:sz w:val="32"/>
          <w:szCs w:val="32"/>
          <w:lang w:eastAsia="zh-CN"/>
        </w:rPr>
        <w:t>，完成自治县主席、副主度交办的其他工作。</w:t>
      </w:r>
      <w:r>
        <w:rPr>
          <w:rFonts w:hint="eastAsia" w:ascii="仿宋" w:hAnsi="仿宋" w:eastAsia="仿宋" w:cs="仿宋"/>
          <w:color w:val="333333"/>
          <w:kern w:val="0"/>
          <w:sz w:val="32"/>
          <w:szCs w:val="32"/>
        </w:rPr>
        <w:t>办公室下设信息</w:t>
      </w:r>
      <w:r>
        <w:rPr>
          <w:rFonts w:hint="eastAsia" w:ascii="仿宋" w:hAnsi="仿宋" w:eastAsia="仿宋" w:cs="仿宋"/>
          <w:color w:val="333333"/>
          <w:kern w:val="0"/>
          <w:sz w:val="32"/>
          <w:szCs w:val="32"/>
          <w:lang w:eastAsia="zh-CN"/>
        </w:rPr>
        <w:t>服务</w:t>
      </w:r>
      <w:r>
        <w:rPr>
          <w:rFonts w:hint="eastAsia" w:ascii="仿宋" w:hAnsi="仿宋" w:eastAsia="仿宋" w:cs="仿宋"/>
          <w:color w:val="333333"/>
          <w:kern w:val="0"/>
          <w:sz w:val="32"/>
          <w:szCs w:val="32"/>
        </w:rPr>
        <w:t>中心。</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430"/>
        <w:jc w:val="left"/>
        <w:textAlignment w:val="auto"/>
        <w:rPr>
          <w:rFonts w:hint="eastAsia" w:ascii="仿宋" w:hAnsi="仿宋" w:eastAsia="仿宋" w:cs="仿宋"/>
          <w:color w:val="666666"/>
          <w:kern w:val="0"/>
          <w:sz w:val="32"/>
          <w:szCs w:val="32"/>
        </w:rPr>
      </w:pPr>
      <w:r>
        <w:rPr>
          <w:rFonts w:hint="eastAsia" w:ascii="仿宋" w:hAnsi="仿宋" w:eastAsia="仿宋" w:cs="仿宋"/>
          <w:color w:val="333333"/>
          <w:kern w:val="0"/>
          <w:sz w:val="32"/>
          <w:szCs w:val="32"/>
        </w:rPr>
        <w:t>2、提案法制和民族宗教委员会</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430"/>
        <w:jc w:val="left"/>
        <w:textAlignment w:val="auto"/>
        <w:rPr>
          <w:rFonts w:hint="eastAsia" w:ascii="仿宋" w:hAnsi="仿宋" w:eastAsia="仿宋" w:cs="仿宋"/>
          <w:color w:val="666666"/>
          <w:kern w:val="0"/>
          <w:sz w:val="32"/>
          <w:szCs w:val="32"/>
        </w:rPr>
      </w:pPr>
      <w:r>
        <w:rPr>
          <w:rFonts w:hint="eastAsia" w:ascii="仿宋" w:hAnsi="仿宋" w:eastAsia="仿宋" w:cs="仿宋"/>
          <w:color w:val="333333"/>
          <w:kern w:val="0"/>
          <w:sz w:val="32"/>
          <w:szCs w:val="32"/>
          <w:lang w:eastAsia="zh-CN"/>
        </w:rPr>
        <w:t>制定本届各次全体会议提案工作方案和年度工作计划；组织、征集提案；对提案进行审查</w:t>
      </w:r>
      <w:r>
        <w:rPr>
          <w:rFonts w:hint="eastAsia" w:ascii="仿宋" w:hAnsi="仿宋" w:eastAsia="仿宋" w:cs="仿宋"/>
          <w:color w:val="333333"/>
          <w:kern w:val="0"/>
          <w:sz w:val="32"/>
          <w:szCs w:val="32"/>
        </w:rPr>
        <w:t>立案、</w:t>
      </w:r>
      <w:r>
        <w:rPr>
          <w:rFonts w:hint="eastAsia" w:ascii="仿宋" w:hAnsi="仿宋" w:eastAsia="仿宋" w:cs="仿宋"/>
          <w:color w:val="333333"/>
          <w:kern w:val="0"/>
          <w:sz w:val="32"/>
          <w:szCs w:val="32"/>
          <w:lang w:eastAsia="zh-CN"/>
        </w:rPr>
        <w:t>确定承办单位；对提案办理情况进行检查和督促，推动承办单位认真办理，落实提案。根据实际需要组织提案者与承办单位座谈，或者组织委员实地考察，对提案办理不够认真的，及时商请、督促承办单位重新办理；负责了解全县民族宗教工作情况，加强与我县各族各界、宗教人士的沟通和团结，积极反映社情民意；加强与其他县市政协相关委员会的联系，互相沟通情况，交流经验；为委员履行职能创造条件，组织委员就政治、法律等方面开展调查、研究等活动，广开言路、广开才路，充分发挥委员专长和作用，通过提案和其他形式向党政领导机关和其他有关组织提出建议和批评；向全体会议、常务委员会议、主席会议报告工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3、经科教卫体和资源环境委员会</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学习、宣传、贯彻党和国家关于经济建设、教育、科技、卫生、体育、城乡规划、人口资源、环境保护等方面的方针政策和法律法规，</w:t>
      </w:r>
      <w:r>
        <w:rPr>
          <w:rFonts w:hint="eastAsia" w:ascii="仿宋" w:hAnsi="仿宋" w:eastAsia="仿宋" w:cs="仿宋"/>
          <w:sz w:val="32"/>
          <w:szCs w:val="32"/>
        </w:rPr>
        <w:t>为委员知情明政、掌握政策、提高参政议政能力创造条件。根据自治县政协全体会议和常务委员会的决议精神，</w:t>
      </w:r>
      <w:r>
        <w:rPr>
          <w:rFonts w:hint="eastAsia" w:ascii="仿宋" w:hAnsi="仿宋" w:eastAsia="仿宋" w:cs="仿宋"/>
          <w:bCs/>
          <w:sz w:val="32"/>
          <w:szCs w:val="32"/>
        </w:rPr>
        <w:t>制定本专委年度工作计划并组织实施，年末向常务委员会提交工作报告。组织委员对我县经济建设、教育、科技、卫生、体育、城乡规划和人口资源、环境保护等方面的重要问题，开展协商讨论、专题调研、视察、咨询服务等活动，为自治县党委、政府及有关部门提出意见和建议。广泛联系委员和各界人士，听取和反映他们对我县经济建设、教育、科技、卫生、体育、城乡规划和人口资源、环境保护等方面有关政策、决策的意见，发挥民主监督作用。发挥政协联系广泛的优势，推动经济界委员为我县引进资金、技术、人才和项目贡献力量；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r>
        <w:rPr>
          <w:rFonts w:hint="eastAsia" w:ascii="仿宋" w:hAnsi="仿宋" w:eastAsia="仿宋" w:cs="仿宋"/>
          <w:sz w:val="32"/>
          <w:szCs w:val="32"/>
        </w:rPr>
        <w:t>。</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40" w:firstLineChars="200"/>
        <w:jc w:val="left"/>
        <w:textAlignment w:val="auto"/>
        <w:rPr>
          <w:rFonts w:hint="eastAsia" w:ascii="仿宋" w:hAnsi="仿宋" w:eastAsia="仿宋" w:cs="仿宋"/>
          <w:color w:val="666666"/>
          <w:kern w:val="0"/>
          <w:sz w:val="32"/>
          <w:szCs w:val="32"/>
        </w:rPr>
      </w:pPr>
      <w:r>
        <w:rPr>
          <w:rFonts w:hint="eastAsia" w:ascii="仿宋" w:hAnsi="仿宋" w:eastAsia="仿宋" w:cs="仿宋"/>
          <w:color w:val="333333"/>
          <w:kern w:val="0"/>
          <w:sz w:val="32"/>
          <w:szCs w:val="32"/>
        </w:rPr>
        <w:t>4、</w:t>
      </w:r>
      <w:r>
        <w:rPr>
          <w:rFonts w:hint="eastAsia" w:ascii="仿宋" w:hAnsi="仿宋" w:eastAsia="仿宋" w:cs="仿宋"/>
          <w:bCs/>
          <w:sz w:val="32"/>
          <w:szCs w:val="32"/>
        </w:rPr>
        <w:t>外事联谊委员联络和文化文史学习委员会</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组织自治县政协委员学习习近平新时代中国特色社会主义思想，学习统一战线和人民政协理论、政策和规章制度，学习时事政治和经济、管理、科技、法律等方面的知识：负责组织自治县政协常委学习讲座、自治县政协委员学习报告会、自治县政协委员集中学习；负责与外县（区）政协和无党派人士、各人民团体等组织相关学习工作的联系和交流、联谊，并开展有利于学习的其它活动。根据自治县政协全体会议和常务委员会的决议精神，制定本专委年度工作计划并组织实施，年末向常务委员会提交工作报告。负责组织自治县政协委员及其所联系的社会各界人士撰写“三亲”(亲历、亲见、亲闻)史料，推动本县近现代重大历史事件和历史人物等资料的征集、整理、研究、编辑及对台港澳和海外的史料交流工作，为广泛团结海内外各界爱国人士、促进社会主义现代化建设和祖国统一服务。组织委员就文化文史和学习工作开展专题考察、调研，就文化文史和学习工作领域综合性、全局性、前瞻性重大问题进行研究，通过建议案、提案和其他形式向自治县党委、政府和其他有关组织提出建议和批评。积极加强与自治县党委、政府相关部门的工作联系，通过组织各种活动，积极为委员知情明政、履行职责创造条件。</w:t>
      </w:r>
      <w:r>
        <w:rPr>
          <w:rFonts w:hint="eastAsia" w:ascii="仿宋" w:hAnsi="仿宋" w:eastAsia="仿宋" w:cs="仿宋"/>
          <w:bCs/>
          <w:sz w:val="32"/>
          <w:szCs w:val="32"/>
        </w:rPr>
        <w:t>负责做好外事联谊和委员联络工作。</w:t>
      </w:r>
      <w:r>
        <w:rPr>
          <w:rFonts w:hint="eastAsia" w:ascii="仿宋" w:hAnsi="仿宋" w:eastAsia="仿宋" w:cs="仿宋"/>
          <w:sz w:val="32"/>
          <w:szCs w:val="32"/>
        </w:rPr>
        <w:t>加强本专委的自身建设，不断提高专委成员的思想、业务素质。承办政协常务委员会和主席会议交办的其他事项。</w:t>
      </w:r>
    </w:p>
    <w:p>
      <w:pPr>
        <w:keepNext w:val="0"/>
        <w:keepLines w:val="0"/>
        <w:pageBreakBefore w:val="0"/>
        <w:kinsoku/>
        <w:wordWrap/>
        <w:overflowPunct/>
        <w:topLinePunct w:val="0"/>
        <w:autoSpaceDE/>
        <w:autoSpaceDN/>
        <w:bidi w:val="0"/>
        <w:adjustRightInd/>
        <w:snapToGrid w:val="0"/>
        <w:spacing w:line="540" w:lineRule="exact"/>
        <w:ind w:left="210" w:leftChars="100" w:firstLine="640" w:firstLineChars="200"/>
        <w:textAlignment w:val="auto"/>
        <w:rPr>
          <w:rFonts w:hint="eastAsia" w:ascii="仿宋" w:hAnsi="仿宋" w:eastAsia="仿宋" w:cs="仿宋"/>
          <w:bCs/>
          <w:sz w:val="32"/>
          <w:szCs w:val="32"/>
        </w:rPr>
      </w:pPr>
      <w:r>
        <w:rPr>
          <w:rFonts w:hint="eastAsia" w:ascii="仿宋" w:hAnsi="仿宋" w:eastAsia="仿宋" w:cs="仿宋"/>
          <w:snapToGrid w:val="0"/>
          <w:color w:val="000000"/>
          <w:kern w:val="0"/>
          <w:sz w:val="32"/>
          <w:szCs w:val="32"/>
        </w:rPr>
        <w:t>5、农业和农村委员会</w:t>
      </w:r>
    </w:p>
    <w:p>
      <w:pPr>
        <w:keepNext w:val="0"/>
        <w:keepLines w:val="0"/>
        <w:pageBreakBefore w:val="0"/>
        <w:kinsoku/>
        <w:wordWrap/>
        <w:overflowPunct/>
        <w:topLinePunct w:val="0"/>
        <w:autoSpaceDE/>
        <w:autoSpaceDN/>
        <w:bidi w:val="0"/>
        <w:adjustRightInd/>
        <w:snapToGrid w:val="0"/>
        <w:spacing w:line="540" w:lineRule="exact"/>
        <w:ind w:left="210" w:leftChars="1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Cs/>
          <w:sz w:val="32"/>
          <w:szCs w:val="32"/>
        </w:rPr>
        <w:t>学习、宣传、贯彻党和国家</w:t>
      </w:r>
      <w:r>
        <w:rPr>
          <w:rFonts w:hint="eastAsia" w:ascii="仿宋" w:hAnsi="仿宋" w:eastAsia="仿宋" w:cs="仿宋"/>
          <w:sz w:val="32"/>
          <w:szCs w:val="32"/>
        </w:rPr>
        <w:t>农业、农村等方面的方针政策和法律法规，为委员知情明政、掌握政策、提高参政议政能力创造条件。根据自治县政协全体会议和常务委员会的决议精神，</w:t>
      </w:r>
      <w:r>
        <w:rPr>
          <w:rFonts w:hint="eastAsia" w:ascii="仿宋" w:hAnsi="仿宋" w:eastAsia="仿宋" w:cs="仿宋"/>
          <w:bCs/>
          <w:sz w:val="32"/>
          <w:szCs w:val="32"/>
        </w:rPr>
        <w:t>制定本专委年度工作计划并组织实施，年末向自治县政协常务委员会提交工作报告。组织委员就我县“三农问题”开展协商讨论、专题调研、视察、咨询服务等活动，向自治县党委、政府及有关部门提出意见和建议。广泛联系委员和各界人士，听取和反映他们对我县农业、农村发展方面有关政策、决策的意见和建议，发挥民主监督作用。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r>
        <w:rPr>
          <w:rFonts w:hint="eastAsia" w:ascii="仿宋" w:hAnsi="仿宋" w:eastAsia="仿宋" w:cs="仿宋"/>
          <w:bCs/>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both"/>
        <w:rPr>
          <w:rFonts w:hint="eastAsia" w:ascii="黑体" w:hAnsi="黑体" w:eastAsia="黑体" w:cs="黑体"/>
          <w:sz w:val="32"/>
          <w:szCs w:val="32"/>
          <w:highlight w:val="none"/>
          <w:lang w:val="en-US" w:eastAsia="zh-CN"/>
        </w:rPr>
      </w:pP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年度</w:t>
      </w:r>
      <w:r>
        <w:rPr>
          <w:rFonts w:hint="eastAsia" w:ascii="仿宋" w:hAnsi="仿宋" w:eastAsia="仿宋" w:cs="仿宋"/>
          <w:color w:val="333333"/>
          <w:kern w:val="0"/>
          <w:sz w:val="32"/>
          <w:szCs w:val="32"/>
          <w:lang w:eastAsia="zh-CN"/>
        </w:rPr>
        <w:t>中国人民政治协商会议</w:t>
      </w:r>
      <w:r>
        <w:rPr>
          <w:rFonts w:hint="eastAsia" w:ascii="仿宋" w:hAnsi="仿宋" w:eastAsia="仿宋" w:cs="仿宋"/>
          <w:color w:val="333333"/>
          <w:kern w:val="0"/>
          <w:sz w:val="32"/>
          <w:szCs w:val="32"/>
        </w:rPr>
        <w:t>环江毛南族自治县</w:t>
      </w:r>
      <w:r>
        <w:rPr>
          <w:rFonts w:hint="eastAsia" w:ascii="仿宋" w:hAnsi="仿宋" w:eastAsia="仿宋" w:cs="仿宋"/>
          <w:color w:val="333333"/>
          <w:kern w:val="0"/>
          <w:sz w:val="32"/>
          <w:szCs w:val="32"/>
          <w:lang w:eastAsia="zh-CN"/>
        </w:rPr>
        <w:t>委员会部</w:t>
      </w:r>
      <w:r>
        <w:rPr>
          <w:rFonts w:hint="eastAsia" w:ascii="仿宋" w:hAnsi="仿宋" w:eastAsia="仿宋" w:cs="仿宋"/>
          <w:color w:val="333333"/>
          <w:kern w:val="0"/>
          <w:sz w:val="32"/>
          <w:szCs w:val="32"/>
        </w:rPr>
        <w:t>门决算报表由本级1个单位决算报表构成。</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484.84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653.76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653.76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484.84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484.84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政协事务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478.70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478.70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368.97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368.97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委员视察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参政议政</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其他政协事务支出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653.76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519.26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134.50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484.84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350.34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政协事务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478.70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344.19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368.97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339.53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委员视察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参政议政</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其他政协事务支出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484.84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484.84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653.76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653.76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653.76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653.76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519.26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134.50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484.84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350.34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政协事务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478.70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344.19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368.97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委员视察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参政议政</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其他政协事务支出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457.94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139.73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474.03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45.23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广西河池市中国人民政治协商会议环江毛南族自治县委员会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0.17</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0.17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653.76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增加119.11</w:t>
      </w:r>
      <w:r>
        <w:rPr>
          <w:rFonts w:hint="eastAsia" w:ascii="仿宋" w:hAnsi="仿宋" w:eastAsia="仿宋" w:cs="仿宋"/>
          <w:sz w:val="32"/>
          <w:szCs w:val="32"/>
          <w:highlight w:val="none"/>
        </w:rPr>
        <w:t>万元，</w:t>
      </w:r>
      <w:r>
        <w:rPr>
          <w:rFonts w:ascii="仿宋" w:hAnsi="仿宋" w:eastAsia="仿宋" w:cs="仿宋"/>
          <w:sz w:val="32"/>
          <w:u w:color="auto"/>
        </w:rPr>
        <w:t>增长22.28%</w:t>
      </w:r>
      <w:r>
        <w:rPr>
          <w:rFonts w:hint="eastAsia" w:ascii="仿宋" w:hAnsi="仿宋" w:eastAsia="仿宋" w:cs="仿宋"/>
          <w:sz w:val="32"/>
          <w:szCs w:val="32"/>
          <w:highlight w:val="none"/>
        </w:rPr>
        <w:t>，其中本年收入</w:t>
      </w:r>
      <w:r>
        <w:rPr>
          <w:rFonts w:ascii="仿宋" w:hAnsi="仿宋" w:eastAsia="仿宋" w:cs="仿宋"/>
          <w:sz w:val="32"/>
          <w:u w:color="auto"/>
        </w:rPr>
        <w:t>653.76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653.76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119.11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22.28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color w:val="000000"/>
          <w:kern w:val="0"/>
          <w:sz w:val="32"/>
          <w:szCs w:val="32"/>
          <w:lang w:eastAsia="zh-CN"/>
        </w:rPr>
        <w:t>一是基本工资和津贴补贴比上年增加；二是由于财政经费紧张，上年部分项目经费不得及时支付而在今年支付。</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bCs/>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_GB2312" w:hAnsi="仿宋_GB2312" w:eastAsia="仿宋_GB2312" w:cs="仿宋_GB2312"/>
          <w:bCs/>
          <w:kern w:val="0"/>
          <w:sz w:val="32"/>
          <w:szCs w:val="32"/>
        </w:rPr>
        <w:t>政府性基金预算财政拨款收入。</w:t>
      </w:r>
    </w:p>
    <w:p>
      <w:pPr>
        <w:widowControl/>
        <w:shd w:val="clear" w:color="auto" w:fill="FFFFFF"/>
        <w:spacing w:line="503" w:lineRule="atLeast"/>
        <w:ind w:firstLine="571"/>
        <w:jc w:val="left"/>
        <w:rPr>
          <w:rFonts w:hint="eastAsia" w:ascii="仿宋_GB2312" w:hAnsi="仿宋_GB2312" w:eastAsia="仿宋_GB2312" w:cs="仿宋_GB2312"/>
          <w:bCs/>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_GB2312" w:hAnsi="仿宋_GB2312" w:eastAsia="仿宋_GB2312" w:cs="仿宋_GB2312"/>
          <w:bCs/>
          <w:kern w:val="0"/>
          <w:sz w:val="32"/>
          <w:szCs w:val="32"/>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上级补助收入</w:t>
      </w:r>
      <w:r>
        <w:rPr>
          <w:rFonts w:hint="eastAsia" w:ascii="仿宋_GB2312" w:hAnsi="仿宋_GB2312" w:eastAsia="仿宋_GB2312" w:cs="仿宋_GB2312"/>
          <w:bCs/>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减少1.80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bCs/>
          <w:kern w:val="0"/>
          <w:sz w:val="32"/>
          <w:szCs w:val="32"/>
        </w:rPr>
        <w:t>财政收回结转结余资金</w:t>
      </w:r>
      <w:r>
        <w:rPr>
          <w:rFonts w:hint="eastAsia" w:ascii="仿宋_GB2312" w:hAnsi="仿宋_GB2312" w:eastAsia="仿宋_GB2312" w:cs="仿宋_GB2312"/>
          <w:bCs/>
          <w:kern w:val="0"/>
          <w:sz w:val="32"/>
          <w:szCs w:val="32"/>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10560"/>
            <wp:effectExtent l="5080"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653.76</w:t>
      </w:r>
      <w:r>
        <w:rPr>
          <w:rFonts w:hint="eastAsia" w:ascii="仿宋" w:hAnsi="仿宋" w:eastAsia="仿宋" w:cs="仿宋"/>
          <w:sz w:val="32"/>
          <w:szCs w:val="32"/>
          <w:highlight w:val="none"/>
        </w:rPr>
        <w:t>万元，其中本年支出</w:t>
      </w:r>
      <w:r>
        <w:rPr>
          <w:rFonts w:ascii="仿宋" w:hAnsi="仿宋" w:eastAsia="仿宋" w:cs="仿宋"/>
          <w:sz w:val="32"/>
          <w:u w:color="auto"/>
        </w:rPr>
        <w:t>653.76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增加119.11</w:t>
      </w:r>
      <w:r>
        <w:rPr>
          <w:rFonts w:hint="eastAsia" w:ascii="仿宋" w:hAnsi="仿宋" w:eastAsia="仿宋" w:cs="仿宋"/>
          <w:sz w:val="32"/>
          <w:szCs w:val="32"/>
          <w:highlight w:val="none"/>
        </w:rPr>
        <w:t>万元，</w:t>
      </w:r>
      <w:r>
        <w:rPr>
          <w:rFonts w:ascii="仿宋" w:hAnsi="仿宋" w:eastAsia="仿宋" w:cs="仿宋"/>
          <w:sz w:val="32"/>
          <w:u w:color="auto"/>
        </w:rPr>
        <w:t>增长22.28%</w:t>
      </w:r>
      <w:r>
        <w:rPr>
          <w:rFonts w:hint="eastAsia" w:ascii="仿宋" w:hAnsi="仿宋" w:eastAsia="仿宋" w:cs="仿宋"/>
          <w:sz w:val="32"/>
          <w:szCs w:val="32"/>
          <w:highlight w:val="none"/>
        </w:rPr>
        <w:t>。支出具体情况如下：</w:t>
      </w:r>
    </w:p>
    <w:p>
      <w:pPr>
        <w:widowControl/>
        <w:shd w:val="clear" w:color="auto" w:fill="FFFFFF"/>
        <w:spacing w:line="503" w:lineRule="atLeast"/>
        <w:ind w:firstLine="571"/>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484.84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rPr>
        <w:t>单位为保证日常运转发生的基本支出</w:t>
      </w:r>
      <w:r>
        <w:rPr>
          <w:rFonts w:hint="eastAsia" w:ascii="仿宋_GB2312" w:hAnsi="仿宋_GB2312" w:eastAsia="仿宋_GB2312" w:cs="仿宋_GB2312"/>
          <w:color w:val="333333"/>
          <w:kern w:val="0"/>
          <w:sz w:val="32"/>
          <w:szCs w:val="32"/>
          <w:lang w:eastAsia="zh-CN"/>
        </w:rPr>
        <w:t>和为完成各项工作任务、保障单位事业发展而发生的项目支出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增加104.61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增长27.51%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000000"/>
          <w:kern w:val="0"/>
          <w:sz w:val="32"/>
          <w:szCs w:val="32"/>
          <w:lang w:eastAsia="zh-CN"/>
        </w:rPr>
        <w:t>基本工资和津贴补贴比上年增加。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333333"/>
          <w:kern w:val="0"/>
          <w:sz w:val="32"/>
          <w:szCs w:val="32"/>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42.85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eastAsia="zh-CN"/>
        </w:rPr>
        <w:t>缴纳在职在编人员养老保险单位部分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增加6.18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增长16.85%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eastAsia="zh-CN"/>
        </w:rPr>
        <w:t>养老保险缴费基数提高，养老保险单位缴纳部分增加</w:t>
      </w:r>
      <w:r>
        <w:rPr>
          <w:rFonts w:hint="eastAsia" w:ascii="仿宋_GB2312" w:hAnsi="仿宋_GB2312" w:eastAsia="仿宋_GB2312" w:cs="仿宋_GB2312"/>
          <w:color w:val="333333"/>
          <w:kern w:val="0"/>
          <w:sz w:val="32"/>
          <w:szCs w:val="32"/>
        </w:rPr>
        <w:t>。</w:t>
      </w:r>
    </w:p>
    <w:p>
      <w:pPr>
        <w:widowControl/>
        <w:shd w:val="clear" w:color="auto" w:fill="FFFFFF"/>
        <w:spacing w:line="503" w:lineRule="atLeast"/>
        <w:ind w:firstLine="571"/>
        <w:jc w:val="left"/>
        <w:rPr>
          <w:rFonts w:hint="eastAsia" w:ascii="仿宋_GB2312" w:hAnsi="仿宋_GB2312" w:eastAsia="仿宋_GB2312" w:cs="仿宋_GB2312"/>
          <w:color w:val="333333"/>
          <w:kern w:val="0"/>
          <w:sz w:val="32"/>
          <w:szCs w:val="32"/>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val="en-US" w:eastAsia="zh-CN"/>
        </w:rPr>
        <w:t>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增长12.86%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val="en-US" w:eastAsia="zh-CN"/>
        </w:rPr>
        <w:t>住房公积金缴费基数提高，住房公积金单位缴纳部分增加。</w:t>
      </w:r>
    </w:p>
    <w:p>
      <w:pPr>
        <w:widowControl/>
        <w:shd w:val="clear" w:color="auto" w:fill="FFFFFF"/>
        <w:spacing w:line="503" w:lineRule="atLeast"/>
        <w:ind w:firstLine="571"/>
        <w:jc w:val="left"/>
        <w:rPr>
          <w:rFonts w:hint="eastAsia" w:ascii="仿宋_GB2312" w:hAnsi="仿宋_GB2312" w:eastAsia="仿宋_GB2312" w:cs="仿宋_GB2312"/>
          <w:color w:val="333333"/>
          <w:kern w:val="0"/>
          <w:sz w:val="32"/>
          <w:szCs w:val="32"/>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93.24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val="en-US" w:eastAsia="zh-CN"/>
        </w:rPr>
        <w:t>单位按照有关规定向职工发放奖励性补贴和伙食补助支出。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增长5.18%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val="en-US" w:eastAsia="zh-CN"/>
        </w:rPr>
        <w:t>2022年度比2021年度增加了第一季度的伙食补助支出。</w:t>
      </w:r>
    </w:p>
    <w:p>
      <w:pPr>
        <w:keepNext w:val="0"/>
        <w:keepLines w:val="0"/>
        <w:widowControl w:val="0"/>
        <w:suppressLineNumbers w:val="0"/>
        <w:spacing w:before="0" w:beforeAutospacing="0" w:after="0" w:afterAutospacing="0"/>
        <w:ind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kern w:val="2"/>
          <w:sz w:val="32"/>
          <w:szCs w:val="32"/>
          <w:highlight w:val="none"/>
          <w:lang w:val="en-US" w:eastAsia="zh-CN" w:bidi="ar"/>
        </w:rPr>
        <w:t>本单位</w:t>
      </w:r>
      <w:r>
        <w:rPr>
          <w:rFonts w:hint="eastAsia" w:ascii="仿宋" w:hAnsi="仿宋" w:eastAsia="仿宋_GB2312" w:cs="仿宋"/>
          <w:sz w:val="32"/>
          <w:szCs w:val="32"/>
          <w:highlight w:val="none"/>
          <w:lang w:eastAsia="zh-CN" w:bidi="ar"/>
        </w:rPr>
        <w:t>无结余分配。</w:t>
      </w:r>
    </w:p>
    <w:p>
      <w:pPr>
        <w:widowControl/>
        <w:shd w:val="clear" w:color="auto" w:fill="FFFFFF"/>
        <w:spacing w:line="503" w:lineRule="atLeast"/>
        <w:ind w:firstLine="584"/>
        <w:jc w:val="left"/>
        <w:rPr>
          <w:rFonts w:hint="eastAsia" w:ascii="仿宋_GB2312" w:hAnsi="仿宋_GB2312" w:eastAsia="仿宋_GB2312" w:cs="仿宋_GB2312"/>
          <w:color w:val="auto"/>
          <w:kern w:val="0"/>
          <w:sz w:val="32"/>
          <w:szCs w:val="32"/>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lang w:eastAsia="zh-CN"/>
        </w:rPr>
        <w:t>财政收回结转结余资金</w:t>
      </w:r>
      <w:r>
        <w:rPr>
          <w:rFonts w:hint="eastAsia" w:ascii="仿宋_GB2312" w:hAnsi="仿宋_GB2312" w:eastAsia="仿宋_GB2312" w:cs="仿宋_GB2312"/>
          <w:color w:val="auto"/>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中国人民政治协商会议环江毛南族自治县委员会2022年度一般公共预算财政拨款支出</w:t>
      </w:r>
      <w:r>
        <w:rPr>
          <w:rFonts w:ascii="仿宋" w:hAnsi="仿宋" w:eastAsia="仿宋" w:cs="仿宋"/>
          <w:sz w:val="32"/>
          <w:u w:color="auto"/>
        </w:rPr>
        <w:t>653.76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增加119.11</w:t>
      </w:r>
      <w:r>
        <w:rPr>
          <w:rFonts w:hint="eastAsia" w:ascii="仿宋" w:hAnsi="仿宋" w:eastAsia="仿宋" w:cs="仿宋"/>
          <w:sz w:val="32"/>
          <w:szCs w:val="32"/>
          <w:highlight w:val="none"/>
        </w:rPr>
        <w:t>万元，</w:t>
      </w:r>
      <w:r>
        <w:rPr>
          <w:rFonts w:ascii="仿宋" w:hAnsi="仿宋" w:eastAsia="仿宋" w:cs="仿宋"/>
          <w:sz w:val="32"/>
          <w:u w:color="auto"/>
        </w:rPr>
        <w:t>增长22.28%</w:t>
      </w:r>
      <w:r>
        <w:rPr>
          <w:rFonts w:hint="eastAsia" w:ascii="仿宋" w:hAnsi="仿宋" w:eastAsia="仿宋" w:cs="仿宋"/>
          <w:sz w:val="32"/>
          <w:szCs w:val="32"/>
          <w:highlight w:val="none"/>
        </w:rPr>
        <w:t>。其中：基本支出</w:t>
      </w:r>
      <w:r>
        <w:rPr>
          <w:rFonts w:ascii="仿宋" w:hAnsi="仿宋" w:eastAsia="仿宋" w:cs="仿宋"/>
          <w:sz w:val="32"/>
          <w:u w:color="auto"/>
        </w:rPr>
        <w:t>519.26</w:t>
      </w:r>
      <w:r>
        <w:rPr>
          <w:rFonts w:hint="eastAsia" w:ascii="仿宋" w:hAnsi="仿宋" w:eastAsia="仿宋" w:cs="仿宋"/>
          <w:sz w:val="32"/>
          <w:szCs w:val="32"/>
          <w:highlight w:val="none"/>
        </w:rPr>
        <w:t>万元，项目支出</w:t>
      </w:r>
      <w:r>
        <w:rPr>
          <w:rFonts w:ascii="仿宋" w:hAnsi="仿宋" w:eastAsia="仿宋" w:cs="仿宋"/>
          <w:sz w:val="32"/>
          <w:u w:color="auto"/>
        </w:rPr>
        <w:t>134.50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中国人民政治协商会议环江毛南族自治县委员会2022 年度一般公共预算财政拨款支出年初预算为</w:t>
      </w:r>
      <w:r>
        <w:rPr>
          <w:rFonts w:ascii="仿宋" w:hAnsi="仿宋" w:eastAsia="仿宋" w:cs="仿宋"/>
          <w:sz w:val="32"/>
          <w:u w:color="auto"/>
        </w:rPr>
        <w:t>564.35</w:t>
      </w:r>
      <w:r>
        <w:rPr>
          <w:rFonts w:hint="eastAsia" w:ascii="仿宋" w:hAnsi="仿宋" w:eastAsia="仿宋" w:cs="仿宋"/>
          <w:sz w:val="32"/>
          <w:szCs w:val="32"/>
          <w:highlight w:val="none"/>
        </w:rPr>
        <w:t>万元，支出决算为</w:t>
      </w:r>
      <w:r>
        <w:rPr>
          <w:rFonts w:ascii="仿宋" w:hAnsi="仿宋" w:eastAsia="仿宋" w:cs="仿宋"/>
          <w:sz w:val="32"/>
          <w:u w:color="auto"/>
        </w:rPr>
        <w:t>653.76</w:t>
      </w:r>
      <w:r>
        <w:rPr>
          <w:rFonts w:hint="eastAsia" w:ascii="仿宋" w:hAnsi="仿宋" w:eastAsia="仿宋" w:cs="仿宋"/>
          <w:sz w:val="32"/>
          <w:szCs w:val="32"/>
          <w:highlight w:val="none"/>
        </w:rPr>
        <w:t>万元，完成年初预算的</w:t>
      </w:r>
      <w:r>
        <w:rPr>
          <w:rFonts w:ascii="仿宋" w:hAnsi="仿宋" w:eastAsia="仿宋" w:cs="仿宋"/>
          <w:sz w:val="32"/>
          <w:u w:color="auto"/>
        </w:rPr>
        <w:t>115.84%</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 xml:space="preserve"> </w:t>
      </w:r>
      <w:r>
        <w:rPr>
          <w:rFonts w:hint="eastAsia" w:ascii="仿宋" w:hAnsi="仿宋" w:eastAsia="仿宋"/>
          <w:sz w:val="32"/>
          <w:szCs w:val="32"/>
          <w:highlight w:val="none"/>
          <w:lang w:eastAsia="zh-CN"/>
        </w:rPr>
        <w:t>　（一）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477.79</w:t>
      </w:r>
      <w:r>
        <w:rPr>
          <w:rFonts w:hint="eastAsia" w:ascii="仿宋" w:hAnsi="仿宋" w:eastAsia="仿宋"/>
          <w:sz w:val="32"/>
          <w:szCs w:val="32"/>
          <w:highlight w:val="none"/>
        </w:rPr>
        <w:t>万元，支出决算为</w:t>
      </w:r>
      <w:r>
        <w:rPr>
          <w:rFonts w:ascii="仿宋" w:hAnsi="仿宋" w:eastAsia="仿宋"/>
          <w:sz w:val="32"/>
          <w:szCs w:val="32"/>
          <w:highlight w:val="none"/>
        </w:rPr>
        <w:t>484.84</w:t>
      </w:r>
      <w:r>
        <w:rPr>
          <w:rFonts w:hint="eastAsia" w:ascii="仿宋" w:hAnsi="仿宋" w:eastAsia="仿宋"/>
          <w:sz w:val="32"/>
          <w:szCs w:val="32"/>
          <w:highlight w:val="none"/>
        </w:rPr>
        <w:t>万元，完成年初预算的</w:t>
      </w:r>
      <w:r>
        <w:rPr>
          <w:rFonts w:ascii="仿宋" w:hAnsi="仿宋" w:eastAsia="仿宋"/>
          <w:sz w:val="32"/>
          <w:szCs w:val="32"/>
          <w:highlight w:val="none"/>
        </w:rPr>
        <w:t>101.48%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原因是：增加了</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年中追加的项目支出。</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356.73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368.97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numPr>
                <w:ilvl w:val="0"/>
                <w:numId w:val="0"/>
              </w:numPr>
              <w:suppressLineNumbers w:val="0"/>
              <w:shd w:val="clear" w:color="auto" w:fill="FFFFFF"/>
              <w:spacing w:before="0" w:beforeAutospacing="0" w:after="0" w:afterAutospacing="0" w:line="240" w:lineRule="auto"/>
              <w:ind w:left="0" w:right="0" w:firstLine="420" w:firstLineChars="200"/>
              <w:jc w:val="left"/>
              <w:rPr>
                <w:rFonts w:hint="eastAsia" w:ascii="仿宋" w:hAnsi="仿宋" w:eastAsia="仿宋" w:cs="仿宋"/>
                <w:color w:val="333333"/>
                <w:kern w:val="0"/>
                <w:sz w:val="21"/>
                <w:szCs w:val="21"/>
              </w:rPr>
            </w:pPr>
            <w:r>
              <w:rPr>
                <w:rFonts w:hint="eastAsia" w:ascii="仿宋" w:hAnsi="仿宋" w:eastAsia="仿宋" w:cs="仿宋"/>
                <w:color w:val="333333"/>
                <w:kern w:val="0"/>
                <w:sz w:val="21"/>
                <w:szCs w:val="21"/>
              </w:rPr>
              <w:t>本部门为保证日常运转发生的基本支出，如根据国家及自治区规定的基本工资和津补贴标准等安排的人员经费支出和日常公用经费支出。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21"/>
                <w:szCs w:val="21"/>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color w:val="333333"/>
                <w:kern w:val="0"/>
                <w:sz w:val="21"/>
                <w:szCs w:val="21"/>
                <w:lang w:eastAsia="zh-CN"/>
              </w:rPr>
              <w:t>　　增加了年中追加的项目支出。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numPr>
                <w:ilvl w:val="0"/>
                <w:numId w:val="0"/>
              </w:numPr>
              <w:suppressLineNumbers w:val="0"/>
              <w:shd w:val="clear" w:color="auto" w:fill="FFFFFF"/>
              <w:spacing w:before="0" w:beforeAutospacing="0" w:after="0" w:afterAutospacing="0" w:line="240" w:lineRule="auto"/>
              <w:ind w:left="0" w:right="0" w:firstLine="420" w:firstLineChars="20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九</w:t>
            </w:r>
            <w:r>
              <w:rPr>
                <w:rFonts w:hint="eastAsia" w:ascii="仿宋" w:hAnsi="仿宋" w:eastAsia="仿宋" w:cs="仿宋"/>
                <w:color w:val="333333"/>
                <w:kern w:val="0"/>
                <w:sz w:val="21"/>
                <w:szCs w:val="21"/>
                <w:lang w:val="en-US" w:eastAsia="zh-CN"/>
              </w:rPr>
              <w:t>届政协环江毛南族自治县委员会第一次会议经费支出。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21"/>
                <w:szCs w:val="21"/>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color w:val="333333"/>
                <w:kern w:val="0"/>
                <w:sz w:val="21"/>
                <w:szCs w:val="21"/>
                <w:lang w:eastAsia="zh-CN"/>
              </w:rPr>
              <w:t>　　因财政经费限制，</w:t>
            </w:r>
            <w:r>
              <w:rPr>
                <w:rFonts w:hint="eastAsia" w:ascii="仿宋" w:hAnsi="仿宋" w:eastAsia="仿宋" w:cs="仿宋"/>
                <w:color w:val="333333"/>
                <w:kern w:val="0"/>
                <w:sz w:val="21"/>
                <w:szCs w:val="21"/>
                <w:lang w:val="en-US" w:eastAsia="zh-CN"/>
              </w:rPr>
              <w:t>九届政协环江毛南族自治县委员会第一次会议（2021年9月份召开）经费当年没有及时支付，而在本年度支出</w:t>
            </w:r>
            <w:r>
              <w:rPr>
                <w:rFonts w:hint="eastAsia" w:ascii="仿宋" w:hAnsi="仿宋" w:eastAsia="仿宋" w:cs="仿宋"/>
                <w:color w:val="333333"/>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政协各委室</w:t>
            </w:r>
            <w:r>
              <w:rPr>
                <w:rFonts w:hint="eastAsia" w:ascii="仿宋" w:hAnsi="仿宋" w:eastAsia="仿宋" w:cs="仿宋"/>
                <w:color w:val="000000"/>
                <w:kern w:val="0"/>
                <w:sz w:val="18"/>
                <w:szCs w:val="18"/>
              </w:rPr>
              <w:t>办公经费</w:t>
            </w:r>
            <w:r>
              <w:rPr>
                <w:rFonts w:hint="eastAsia" w:ascii="仿宋" w:hAnsi="仿宋" w:eastAsia="仿宋" w:cs="仿宋"/>
                <w:color w:val="000000"/>
                <w:kern w:val="0"/>
                <w:sz w:val="18"/>
                <w:szCs w:val="18"/>
                <w:lang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历行节约，严格控制办公经费支出。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委员视察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42.90%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　　政协</w:t>
            </w:r>
            <w:r>
              <w:rPr>
                <w:rFonts w:hint="eastAsia" w:ascii="仿宋" w:hAnsi="仿宋" w:eastAsia="仿宋" w:cs="仿宋"/>
                <w:color w:val="000000"/>
                <w:kern w:val="0"/>
                <w:sz w:val="18"/>
                <w:szCs w:val="18"/>
              </w:rPr>
              <w:t>委员</w:t>
            </w:r>
            <w:r>
              <w:rPr>
                <w:rFonts w:hint="eastAsia" w:ascii="仿宋" w:hAnsi="仿宋" w:eastAsia="仿宋" w:cs="仿宋"/>
                <w:color w:val="000000"/>
                <w:kern w:val="0"/>
                <w:sz w:val="18"/>
                <w:szCs w:val="18"/>
                <w:lang w:eastAsia="zh-CN"/>
              </w:rPr>
              <w:t>培训费，外出考察、</w:t>
            </w:r>
            <w:r>
              <w:rPr>
                <w:rFonts w:hint="eastAsia" w:ascii="仿宋" w:hAnsi="仿宋" w:eastAsia="仿宋" w:cs="仿宋"/>
                <w:color w:val="000000"/>
                <w:kern w:val="0"/>
                <w:sz w:val="18"/>
                <w:szCs w:val="18"/>
              </w:rPr>
              <w:t>调研经费</w:t>
            </w:r>
            <w:r>
              <w:rPr>
                <w:rFonts w:hint="eastAsia" w:ascii="仿宋" w:hAnsi="仿宋" w:eastAsia="仿宋" w:cs="仿宋"/>
                <w:color w:val="000000"/>
                <w:kern w:val="0"/>
                <w:sz w:val="18"/>
                <w:szCs w:val="18"/>
                <w:lang w:eastAsia="zh-CN"/>
              </w:rPr>
              <w:t>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由于疫情原因，</w:t>
            </w:r>
            <w:r>
              <w:rPr>
                <w:rFonts w:hint="eastAsia" w:ascii="仿宋" w:hAnsi="仿宋" w:eastAsia="仿宋" w:cs="仿宋"/>
                <w:color w:val="333333"/>
                <w:kern w:val="0"/>
                <w:sz w:val="18"/>
                <w:szCs w:val="18"/>
                <w:lang w:val="en-US" w:eastAsia="zh-CN"/>
              </w:rPr>
              <w:t>2022年度没有举办政协委员区外学习培训班</w:t>
            </w:r>
            <w:r>
              <w:rPr>
                <w:rFonts w:hint="eastAsia" w:ascii="仿宋" w:hAnsi="仿宋" w:eastAsia="仿宋" w:cs="仿宋"/>
                <w:color w:val="333333"/>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参政议政</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rPr>
              <w:t>政协</w:t>
            </w:r>
            <w:r>
              <w:rPr>
                <w:rFonts w:hint="eastAsia" w:ascii="仿宋" w:hAnsi="仿宋" w:eastAsia="仿宋" w:cs="仿宋"/>
                <w:color w:val="333333"/>
                <w:kern w:val="0"/>
                <w:sz w:val="18"/>
                <w:szCs w:val="18"/>
                <w:lang w:eastAsia="zh-CN"/>
              </w:rPr>
              <w:t>常委会议、协商工作会议、政协联络站工作、政协宣传等</w:t>
            </w:r>
            <w:r>
              <w:rPr>
                <w:rFonts w:hint="eastAsia" w:ascii="仿宋" w:hAnsi="仿宋" w:eastAsia="仿宋" w:cs="仿宋"/>
                <w:color w:val="333333"/>
                <w:kern w:val="0"/>
                <w:sz w:val="18"/>
                <w:szCs w:val="18"/>
              </w:rPr>
              <w:t>委员参政议政工作经费。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因财政资金困难，部分核拨经费未能及时支付</w:t>
            </w:r>
            <w:r>
              <w:rPr>
                <w:rFonts w:hint="eastAsia" w:ascii="仿宋" w:hAnsi="仿宋" w:eastAsia="仿宋" w:cs="仿宋"/>
                <w:color w:val="000000"/>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其他政协事务支出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firstLine="584"/>
              <w:jc w:val="left"/>
              <w:rPr>
                <w:rFonts w:hint="eastAsia" w:ascii="仿宋" w:hAnsi="仿宋" w:eastAsia="仿宋" w:cs="仿宋"/>
                <w:color w:val="000000" w:themeColor="text1"/>
                <w:kern w:val="0"/>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eastAsia="zh-CN"/>
                <w14:textFill>
                  <w14:solidFill>
                    <w14:schemeClr w14:val="tx1"/>
                  </w14:solidFill>
                </w14:textFill>
              </w:rPr>
              <w:t>九届政协环江毛南族自治县二次会议</w:t>
            </w:r>
            <w:r>
              <w:rPr>
                <w:rFonts w:hint="eastAsia" w:ascii="仿宋" w:hAnsi="仿宋" w:eastAsia="仿宋" w:cs="仿宋"/>
                <w:color w:val="000000" w:themeColor="text1"/>
                <w:kern w:val="0"/>
                <w:sz w:val="18"/>
                <w:szCs w:val="18"/>
                <w14:textFill>
                  <w14:solidFill>
                    <w14:schemeClr w14:val="tx1"/>
                  </w14:solidFill>
                </w14:textFill>
              </w:rPr>
              <w:t>经费</w:t>
            </w:r>
            <w:r>
              <w:rPr>
                <w:rFonts w:hint="eastAsia" w:ascii="仿宋" w:hAnsi="仿宋" w:eastAsia="仿宋" w:cs="仿宋"/>
                <w:color w:val="000000" w:themeColor="text1"/>
                <w:kern w:val="0"/>
                <w:sz w:val="18"/>
                <w:szCs w:val="18"/>
                <w:lang w:eastAsia="zh-CN"/>
                <w14:textFill>
                  <w14:solidFill>
                    <w14:schemeClr w14:val="tx1"/>
                  </w14:solidFill>
                </w14:textFill>
              </w:rPr>
              <w:t>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val="en-US" w:eastAsia="zh-CN"/>
              </w:rPr>
              <w:t>　　其中35%用于工会上解经费，65%用于工会活动经费。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477.79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484.84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49.15</w:t>
      </w:r>
      <w:r>
        <w:rPr>
          <w:rFonts w:hint="eastAsia" w:ascii="仿宋" w:hAnsi="仿宋" w:eastAsia="仿宋"/>
          <w:sz w:val="32"/>
          <w:szCs w:val="32"/>
          <w:highlight w:val="none"/>
        </w:rPr>
        <w:t>万元，支出决算为</w:t>
      </w:r>
      <w:r>
        <w:rPr>
          <w:rFonts w:ascii="仿宋" w:hAnsi="仿宋" w:eastAsia="仿宋"/>
          <w:sz w:val="32"/>
          <w:szCs w:val="32"/>
          <w:highlight w:val="none"/>
        </w:rPr>
        <w:t>42.85</w:t>
      </w:r>
      <w:r>
        <w:rPr>
          <w:rFonts w:hint="eastAsia" w:ascii="仿宋" w:hAnsi="仿宋" w:eastAsia="仿宋"/>
          <w:sz w:val="32"/>
          <w:szCs w:val="32"/>
          <w:highlight w:val="none"/>
        </w:rPr>
        <w:t>万元，完成年初预算的</w:t>
      </w:r>
      <w:r>
        <w:rPr>
          <w:rFonts w:ascii="仿宋" w:hAnsi="仿宋" w:eastAsia="仿宋"/>
          <w:sz w:val="32"/>
          <w:szCs w:val="32"/>
          <w:highlight w:val="none"/>
        </w:rPr>
        <w:t>87.18%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年内有</w:t>
      </w:r>
      <w:r>
        <w:rPr>
          <w:rFonts w:hint="eastAsia" w:ascii="仿宋_GB2312" w:hAnsi="仿宋_GB2312" w:eastAsia="仿宋_GB2312" w:cs="仿宋_GB2312"/>
          <w:color w:val="000000"/>
          <w:kern w:val="0"/>
          <w:sz w:val="32"/>
          <w:szCs w:val="32"/>
          <w:lang w:val="en-US" w:eastAsia="zh-CN"/>
        </w:rPr>
        <w:t>3人退休，1人调出县外。</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87.18%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　　</w:t>
            </w:r>
            <w:r>
              <w:rPr>
                <w:rFonts w:hint="eastAsia" w:ascii="仿宋" w:hAnsi="仿宋" w:eastAsia="仿宋" w:cs="仿宋"/>
                <w:color w:val="000000"/>
                <w:kern w:val="0"/>
                <w:sz w:val="18"/>
                <w:szCs w:val="18"/>
              </w:rPr>
              <w:t>机关事业单位基本养老保险缴费</w:t>
            </w:r>
            <w:r>
              <w:rPr>
                <w:rFonts w:hint="eastAsia" w:ascii="仿宋" w:hAnsi="仿宋" w:eastAsia="仿宋" w:cs="仿宋"/>
                <w:color w:val="000000"/>
                <w:kern w:val="0"/>
                <w:sz w:val="18"/>
                <w:szCs w:val="18"/>
                <w:lang w:eastAsia="zh-CN"/>
              </w:rPr>
              <w:t>单位部分</w:t>
            </w:r>
            <w:r>
              <w:rPr>
                <w:rFonts w:hint="eastAsia" w:ascii="仿宋" w:hAnsi="仿宋" w:eastAsia="仿宋" w:cs="仿宋"/>
                <w:color w:val="000000"/>
                <w:kern w:val="0"/>
                <w:sz w:val="18"/>
                <w:szCs w:val="18"/>
              </w:rPr>
              <w:t>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年内有</w:t>
            </w:r>
            <w:r>
              <w:rPr>
                <w:rFonts w:hint="eastAsia" w:ascii="仿宋" w:hAnsi="仿宋" w:eastAsia="仿宋" w:cs="仿宋"/>
                <w:color w:val="000000"/>
                <w:kern w:val="0"/>
                <w:sz w:val="18"/>
                <w:szCs w:val="18"/>
                <w:lang w:val="en-US" w:eastAsia="zh-CN"/>
              </w:rPr>
              <w:t>3人退休，1人调出县外。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37.41</w:t>
      </w:r>
      <w:r>
        <w:rPr>
          <w:rFonts w:hint="eastAsia" w:ascii="仿宋" w:hAnsi="仿宋" w:eastAsia="仿宋"/>
          <w:sz w:val="32"/>
          <w:szCs w:val="32"/>
          <w:highlight w:val="none"/>
        </w:rPr>
        <w:t>万元，支出决算为</w:t>
      </w:r>
      <w:r>
        <w:rPr>
          <w:rFonts w:ascii="仿宋" w:hAnsi="仿宋" w:eastAsia="仿宋"/>
          <w:sz w:val="32"/>
          <w:szCs w:val="32"/>
          <w:highlight w:val="none"/>
        </w:rPr>
        <w:t>32.83</w:t>
      </w:r>
      <w:r>
        <w:rPr>
          <w:rFonts w:hint="eastAsia" w:ascii="仿宋" w:hAnsi="仿宋" w:eastAsia="仿宋"/>
          <w:sz w:val="32"/>
          <w:szCs w:val="32"/>
          <w:highlight w:val="none"/>
        </w:rPr>
        <w:t>万元，完成年初预算的</w:t>
      </w:r>
      <w:r>
        <w:rPr>
          <w:rFonts w:ascii="仿宋" w:hAnsi="仿宋" w:eastAsia="仿宋"/>
          <w:sz w:val="32"/>
          <w:szCs w:val="32"/>
          <w:highlight w:val="none"/>
        </w:rPr>
        <w:t>87.76%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年内有</w:t>
      </w:r>
      <w:r>
        <w:rPr>
          <w:rFonts w:hint="eastAsia" w:ascii="仿宋_GB2312" w:hAnsi="仿宋_GB2312" w:eastAsia="仿宋_GB2312" w:cs="仿宋_GB2312"/>
          <w:color w:val="000000"/>
          <w:kern w:val="0"/>
          <w:sz w:val="32"/>
          <w:szCs w:val="32"/>
          <w:lang w:val="en-US" w:eastAsia="zh-CN"/>
        </w:rPr>
        <w:t>3人退休，1人调出县外。</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　　缴纳本单位在职在编人员住房公积金单位部分。</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年内有</w:t>
            </w:r>
            <w:r>
              <w:rPr>
                <w:rFonts w:hint="eastAsia" w:ascii="仿宋" w:hAnsi="仿宋" w:eastAsia="仿宋" w:cs="仿宋"/>
                <w:color w:val="000000"/>
                <w:kern w:val="0"/>
                <w:sz w:val="18"/>
                <w:szCs w:val="18"/>
                <w:lang w:val="en-US" w:eastAsia="zh-CN"/>
              </w:rPr>
              <w:t>3人退休，1人调出县外。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93.24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根据年初预算工作要求，此</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不列入</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lang w:eastAsia="zh-CN"/>
        </w:rPr>
        <w:t>。</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themeColor="text1"/>
                <w:kern w:val="0"/>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val="en-US" w:eastAsia="zh-CN"/>
                <w14:textFill>
                  <w14:solidFill>
                    <w14:schemeClr w14:val="tx1"/>
                  </w14:solidFill>
                </w14:textFill>
              </w:rPr>
              <w:t>　　单位按照有关规定向职工发放奖励性补贴和伙食补助支出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根据年初预算工作要求，</w:t>
            </w:r>
            <w:r>
              <w:rPr>
                <w:rFonts w:hint="eastAsia" w:ascii="仿宋" w:hAnsi="仿宋" w:eastAsia="仿宋" w:cs="仿宋"/>
                <w:color w:val="000000"/>
                <w:kern w:val="0"/>
                <w:sz w:val="18"/>
                <w:szCs w:val="18"/>
              </w:rPr>
              <w:t>这项</w:t>
            </w:r>
            <w:r>
              <w:rPr>
                <w:rFonts w:hint="eastAsia" w:ascii="仿宋" w:hAnsi="仿宋" w:eastAsia="仿宋" w:cs="仿宋"/>
                <w:color w:val="000000"/>
                <w:kern w:val="0"/>
                <w:sz w:val="18"/>
                <w:szCs w:val="18"/>
                <w:lang w:eastAsia="zh-CN"/>
              </w:rPr>
              <w:t>不列入</w:t>
            </w:r>
            <w:r>
              <w:rPr>
                <w:rFonts w:hint="eastAsia" w:ascii="仿宋" w:hAnsi="仿宋" w:eastAsia="仿宋" w:cs="仿宋"/>
                <w:color w:val="000000"/>
                <w:kern w:val="0"/>
                <w:sz w:val="18"/>
                <w:szCs w:val="18"/>
              </w:rPr>
              <w:t>年初预算</w:t>
            </w:r>
            <w:r>
              <w:rPr>
                <w:rFonts w:hint="eastAsia" w:ascii="仿宋" w:hAnsi="仿宋" w:eastAsia="仿宋" w:cs="仿宋"/>
                <w:color w:val="000000"/>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中国人民政治协商会议环江毛南族自治县委员会2022年度一般公共预算财政拨款基本支出</w:t>
      </w:r>
      <w:r>
        <w:rPr>
          <w:rFonts w:ascii="仿宋" w:hAnsi="仿宋" w:eastAsia="仿宋" w:cs="仿宋"/>
          <w:sz w:val="32"/>
          <w:u w:color="auto"/>
        </w:rPr>
        <w:t>519.26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474.03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45.23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457.94万元，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120.48%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000000"/>
          <w:kern w:val="0"/>
          <w:sz w:val="32"/>
          <w:szCs w:val="32"/>
          <w:lang w:eastAsia="zh-CN"/>
        </w:rPr>
        <w:t>根据年初预算工作要求，奖励性补贴、伙食补助不列入</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333333"/>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139.73万元，30102津贴补贴71.15万元，30103奖金128.92万元，30106伙食补助费5.20万元，30107绩效工资1.95万元，30108机关事业单位基本养老保险缴费44.68万元，30110职工基本医疗保险缴费18.58万元，30112其他社会保障缴费5.15万元，30113住房公积金34.20万元，30114医疗费0.11万元，30199其他工资福利支出8.27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商品和服务支出</w:t>
      </w:r>
      <w:r>
        <w:rPr>
          <w:rFonts w:ascii="仿宋" w:hAnsi="仿宋" w:eastAsia="仿宋" w:cs="仿宋"/>
          <w:sz w:val="32"/>
          <w:u w:color="auto"/>
        </w:rPr>
        <w:t>45.23万元，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97.2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由于年内有人员减少，其他交通费、通讯补贴减少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30201办公费4.38万元，30205水费0.05万元，30206电费0.08万元，30207邮电费4.14万元，30209物业管理费0.08万元，30211差旅费4.13万元，30213维修（护）费0.06万元，30228工会经费6.14万元，30239其他交通费用26.18万元。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16.09万元，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110.43%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eastAsia="zh-CN"/>
        </w:rPr>
        <w:t>年内增加退休干部</w:t>
      </w:r>
      <w:r>
        <w:rPr>
          <w:rFonts w:hint="eastAsia" w:ascii="仿宋_GB2312" w:hAnsi="仿宋_GB2312" w:eastAsia="仿宋_GB2312" w:cs="仿宋_GB2312"/>
          <w:color w:val="333333"/>
          <w:kern w:val="0"/>
          <w:sz w:val="32"/>
          <w:szCs w:val="32"/>
          <w:lang w:val="en-US" w:eastAsia="zh-CN"/>
        </w:rPr>
        <w:t>3人</w:t>
      </w:r>
      <w:r>
        <w:rPr>
          <w:rFonts w:hint="eastAsia" w:ascii="仿宋_GB2312" w:hAnsi="仿宋_GB2312" w:eastAsia="仿宋_GB2312" w:cs="仿宋_GB2312"/>
          <w:color w:val="333333"/>
          <w:kern w:val="0"/>
          <w:sz w:val="32"/>
          <w:szCs w:val="32"/>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30305生活补助16.09万元。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3461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b w:val="0"/>
          <w:bCs w:val="0"/>
          <w:color w:val="auto"/>
          <w:sz w:val="32"/>
          <w:szCs w:val="32"/>
        </w:rPr>
        <w:t>中国人民政治协商会议环江毛南族自治县委员会</w:t>
      </w:r>
      <w:r>
        <w:rPr>
          <w:rFonts w:ascii="仿宋_GB2312" w:hAnsi="仿宋_GB2312" w:eastAsia="仿宋_GB2312" w:cs="仿宋_GB2312"/>
          <w:b w:val="0"/>
          <w:bCs w:val="0"/>
          <w:color w:val="auto"/>
          <w:sz w:val="32"/>
          <w:u w:color="auto"/>
        </w:rPr>
        <w:t>没有政府性基金收入，也没有政府性基金收入安排的支出</w:t>
      </w:r>
      <w:r>
        <w:rPr>
          <w:rFonts w:hint="eastAsia" w:ascii="仿宋_GB2312" w:hAnsi="仿宋_GB2312" w:eastAsia="仿宋_GB2312" w:cs="仿宋_GB2312"/>
          <w:b w:val="0"/>
          <w:bCs w:val="0"/>
          <w:color w:val="auto"/>
          <w:sz w:val="32"/>
          <w:u w:color="auto"/>
          <w:lang w:eastAsia="zh-CN"/>
        </w:rPr>
        <w:t>，</w:t>
      </w:r>
      <w:r>
        <w:rPr>
          <w:rFonts w:hint="eastAsia" w:ascii="仿宋_GB2312" w:hAnsi="Times New Roman" w:eastAsia="仿宋_GB2312" w:cs="Times New Roman"/>
          <w:b w:val="0"/>
          <w:bCs w:val="0"/>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中国人民政治协商会议环江毛南族自治县委员会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0.17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6.3%</w:t>
      </w:r>
      <w:r>
        <w:rPr>
          <w:rFonts w:hint="eastAsia" w:ascii="仿宋" w:hAnsi="仿宋" w:eastAsia="仿宋" w:cs="仿宋"/>
          <w:sz w:val="32"/>
          <w:szCs w:val="32"/>
          <w:highlight w:val="none"/>
        </w:rPr>
        <w:t>，比上年</w:t>
      </w:r>
      <w:r>
        <w:rPr>
          <w:rFonts w:ascii="仿宋" w:hAnsi="仿宋" w:eastAsia="仿宋" w:cs="仿宋"/>
          <w:sz w:val="32"/>
          <w:szCs w:val="32"/>
          <w:highlight w:val="none"/>
        </w:rPr>
        <w:t>减少2.51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lang w:val="en-US" w:eastAsia="zh-CN"/>
        </w:rPr>
        <w:t>认真贯彻落实“八项规定”精神和厉行节约要求，严控和压缩“三公”经费相关支出。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0.17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本单位无</w:t>
      </w:r>
      <w:r>
        <w:rPr>
          <w:rFonts w:hint="eastAsia" w:ascii="仿宋" w:hAnsi="仿宋" w:eastAsia="仿宋" w:cs="仿宋"/>
          <w:sz w:val="32"/>
          <w:szCs w:val="32"/>
          <w:highlight w:val="none"/>
        </w:rPr>
        <w:t>公务用车购置</w:t>
      </w:r>
      <w:bookmarkEnd w:id="5"/>
      <w:r>
        <w:rPr>
          <w:rFonts w:hint="eastAsia" w:ascii="仿宋" w:hAnsi="仿宋" w:eastAsia="仿宋" w:cs="仿宋"/>
          <w:sz w:val="32"/>
          <w:szCs w:val="32"/>
          <w:highlight w:val="none"/>
          <w:lang w:eastAsia="zh-CN"/>
        </w:rPr>
        <w:t>支出。</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本单位无</w:t>
      </w:r>
      <w:r>
        <w:rPr>
          <w:rFonts w:hint="eastAsia" w:ascii="仿宋" w:hAnsi="仿宋" w:eastAsia="仿宋" w:cs="仿宋"/>
          <w:sz w:val="32"/>
          <w:szCs w:val="32"/>
          <w:highlight w:val="none"/>
        </w:rPr>
        <w:t>公务用车运行维护</w:t>
      </w:r>
      <w:r>
        <w:rPr>
          <w:rFonts w:hint="eastAsia" w:ascii="仿宋" w:hAnsi="仿宋" w:eastAsia="仿宋" w:cs="仿宋"/>
          <w:sz w:val="32"/>
          <w:szCs w:val="32"/>
          <w:highlight w:val="none"/>
          <w:lang w:eastAsia="zh-CN"/>
        </w:rPr>
        <w:t>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0.17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6.3%</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减少2.51</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lang w:val="en-US" w:eastAsia="zh-CN"/>
        </w:rPr>
        <w:t>认真贯彻落实“八项规定”精神和厉行节约要求，严控和压缩“三公”经费相关支出。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sz w:val="32"/>
          <w:szCs w:val="32"/>
          <w:highlight w:val="none"/>
        </w:rPr>
        <w:t>次，人次</w:t>
      </w:r>
      <w:r>
        <w:rPr>
          <w:rFonts w:ascii="仿宋" w:hAnsi="仿宋" w:eastAsia="仿宋" w:cs="仿宋"/>
          <w:sz w:val="32"/>
          <w:szCs w:val="32"/>
          <w:highlight w:val="none"/>
        </w:rPr>
        <w:t>28</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（一） 机关运行经费支出情况说明</w:t>
      </w:r>
    </w:p>
    <w:p>
      <w:pPr>
        <w:widowControl/>
        <w:shd w:val="clear" w:color="auto" w:fill="FFFFFF"/>
        <w:spacing w:line="503" w:lineRule="atLeast"/>
        <w:ind w:firstLine="584"/>
        <w:jc w:val="left"/>
        <w:rPr>
          <w:rFonts w:hint="eastAsia" w:ascii="仿宋_GB2312" w:hAnsi="仿宋_GB2312" w:eastAsia="仿宋_GB2312" w:cs="仿宋_GB2312"/>
          <w:color w:val="333333"/>
          <w:kern w:val="0"/>
          <w:sz w:val="32"/>
          <w:szCs w:val="32"/>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45.23</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减少1.2</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万元，</w:t>
      </w:r>
      <w:r>
        <w:rPr>
          <w:rFonts w:ascii="仿宋" w:hAnsi="仿宋" w:eastAsia="仿宋" w:cs="仿宋"/>
          <w:sz w:val="32"/>
          <w:szCs w:val="32"/>
          <w:highlight w:val="none"/>
        </w:rPr>
        <w:t>下降2.7</w:t>
      </w:r>
      <w:r>
        <w:rPr>
          <w:rFonts w:hint="eastAsia" w:ascii="仿宋" w:hAnsi="仿宋" w:eastAsia="仿宋" w:cs="仿宋"/>
          <w:sz w:val="32"/>
          <w:szCs w:val="32"/>
          <w:highlight w:val="none"/>
          <w:lang w:val="en-US" w:eastAsia="zh-CN"/>
        </w:rPr>
        <w:t>7</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增加10.45</w:t>
      </w:r>
      <w:r>
        <w:rPr>
          <w:rFonts w:hint="eastAsia" w:ascii="仿宋" w:hAnsi="仿宋" w:eastAsia="仿宋" w:cs="仿宋"/>
          <w:sz w:val="32"/>
          <w:szCs w:val="32"/>
          <w:highlight w:val="none"/>
        </w:rPr>
        <w:t>万元，</w:t>
      </w:r>
      <w:r>
        <w:rPr>
          <w:rFonts w:ascii="仿宋" w:hAnsi="仿宋" w:eastAsia="仿宋" w:cs="仿宋"/>
          <w:sz w:val="32"/>
          <w:szCs w:val="32"/>
          <w:highlight w:val="none"/>
        </w:rPr>
        <w:t>增长30.05%</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_GB2312" w:hAnsi="仿宋_GB2312" w:eastAsia="仿宋_GB2312" w:cs="仿宋_GB2312"/>
          <w:color w:val="333333"/>
          <w:kern w:val="0"/>
          <w:sz w:val="32"/>
          <w:szCs w:val="32"/>
          <w:lang w:eastAsia="zh-CN"/>
        </w:rPr>
        <w:t>办公费支出增加、工会经费支出增加。</w:t>
      </w:r>
    </w:p>
    <w:p>
      <w:pPr>
        <w:widowControl/>
        <w:shd w:val="clear" w:color="auto" w:fill="FFFFFF"/>
        <w:spacing w:line="503" w:lineRule="atLeast"/>
        <w:ind w:firstLine="584"/>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15.15</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15.15</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15.15</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15.15</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sz w:val="32"/>
          <w:szCs w:val="32"/>
        </w:rPr>
      </w:pPr>
      <w:r>
        <w:rPr>
          <w:rFonts w:hint="eastAsia" w:ascii="仿宋" w:hAnsi="仿宋" w:eastAsia="仿宋" w:cs="仿宋"/>
          <w:color w:val="000000"/>
          <w:sz w:val="32"/>
          <w:szCs w:val="32"/>
        </w:rPr>
        <w:t>根据财政预算管理要求，本</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组织对</w:t>
      </w:r>
      <w:r>
        <w:rPr>
          <w:rFonts w:hint="eastAsia" w:ascii="仿宋" w:hAnsi="仿宋" w:eastAsia="仿宋" w:cs="仿宋"/>
          <w:color w:val="000000"/>
          <w:sz w:val="32"/>
          <w:szCs w:val="32"/>
          <w:lang w:eastAsia="zh-CN"/>
        </w:rPr>
        <w:t>2022年</w:t>
      </w:r>
      <w:r>
        <w:rPr>
          <w:rFonts w:hint="eastAsia" w:ascii="仿宋" w:hAnsi="仿宋" w:eastAsia="仿宋" w:cs="仿宋"/>
          <w:color w:val="000000"/>
          <w:sz w:val="32"/>
          <w:szCs w:val="32"/>
        </w:rPr>
        <w:t>度一般公共预算项目支出全面开展绩效自评。其中，一</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个，共涉及资金</w:t>
      </w:r>
      <w:r>
        <w:rPr>
          <w:rFonts w:hint="eastAsia" w:ascii="仿宋" w:hAnsi="仿宋" w:eastAsia="仿宋" w:cs="仿宋"/>
          <w:color w:val="000000"/>
          <w:sz w:val="32"/>
          <w:szCs w:val="32"/>
          <w:lang w:val="en-US" w:eastAsia="zh-CN"/>
        </w:rPr>
        <w:t>167.28</w:t>
      </w:r>
      <w:r>
        <w:rPr>
          <w:rFonts w:hint="eastAsia" w:ascii="仿宋" w:hAnsi="仿宋" w:eastAsia="仿宋" w:cs="仿宋"/>
          <w:color w:val="000000"/>
          <w:sz w:val="32"/>
          <w:szCs w:val="32"/>
        </w:rPr>
        <w:t>万元，占一般公共预算项目支出总额的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本部门无</w:t>
      </w:r>
      <w:r>
        <w:rPr>
          <w:rFonts w:hint="eastAsia" w:ascii="仿宋" w:hAnsi="仿宋" w:eastAsia="仿宋" w:cs="仿宋"/>
          <w:color w:val="000000"/>
          <w:sz w:val="32"/>
          <w:szCs w:val="32"/>
        </w:rPr>
        <w:t>政府性基金预算项目支出</w:t>
      </w:r>
      <w:r>
        <w:rPr>
          <w:rFonts w:hint="eastAsia" w:ascii="仿宋" w:hAnsi="仿宋" w:eastAsia="仿宋" w:cs="仿宋"/>
          <w:color w:val="000000"/>
          <w:sz w:val="32"/>
          <w:szCs w:val="32"/>
          <w:lang w:eastAsia="zh-CN"/>
        </w:rPr>
        <w:t>。本部门无</w:t>
      </w:r>
      <w:r>
        <w:rPr>
          <w:rFonts w:hint="eastAsia" w:ascii="仿宋" w:hAnsi="仿宋" w:eastAsia="仿宋" w:cs="仿宋"/>
          <w:color w:val="000000"/>
          <w:sz w:val="32"/>
          <w:szCs w:val="32"/>
        </w:rPr>
        <w:t>国有资本经营预算项目支出</w:t>
      </w:r>
      <w:r>
        <w:rPr>
          <w:rFonts w:hint="eastAsia" w:ascii="仿宋" w:hAnsi="仿宋" w:eastAsia="仿宋" w:cs="仿宋"/>
          <w:color w:val="000000"/>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组织对“党支部组织生活经费”等</w:t>
      </w:r>
      <w:r>
        <w:rPr>
          <w:rFonts w:hint="eastAsia" w:ascii="仿宋" w:hAnsi="仿宋" w:eastAsia="仿宋" w:cs="仿宋"/>
          <w:sz w:val="32"/>
          <w:szCs w:val="32"/>
          <w:lang w:val="en-US" w:eastAsia="zh-CN"/>
        </w:rPr>
        <w:t>10</w:t>
      </w:r>
      <w:r>
        <w:rPr>
          <w:rFonts w:hint="eastAsia" w:ascii="仿宋" w:hAnsi="仿宋" w:eastAsia="仿宋" w:cs="仿宋"/>
          <w:sz w:val="32"/>
          <w:szCs w:val="32"/>
        </w:rPr>
        <w:t>个项目进行了部门评价，涉及一般公共预算支出</w:t>
      </w:r>
      <w:r>
        <w:rPr>
          <w:rFonts w:hint="eastAsia" w:ascii="仿宋" w:hAnsi="仿宋" w:eastAsia="仿宋" w:cs="仿宋"/>
          <w:sz w:val="32"/>
          <w:szCs w:val="32"/>
          <w:lang w:val="en-US" w:eastAsia="zh-CN"/>
        </w:rPr>
        <w:t>167.28</w:t>
      </w:r>
      <w:r>
        <w:rPr>
          <w:rFonts w:hint="eastAsia" w:ascii="仿宋" w:hAnsi="仿宋" w:eastAsia="仿宋" w:cs="仿宋"/>
          <w:sz w:val="32"/>
          <w:szCs w:val="32"/>
        </w:rPr>
        <w:t>万元，政府性基金预算支出0万元，国有资本经营预算支出0万元。从评价情况来看，年初预算数</w:t>
      </w:r>
      <w:r>
        <w:rPr>
          <w:rFonts w:hint="eastAsia" w:ascii="仿宋" w:hAnsi="仿宋" w:eastAsia="仿宋" w:cs="仿宋"/>
          <w:sz w:val="32"/>
          <w:szCs w:val="32"/>
          <w:lang w:val="en-US" w:eastAsia="zh-CN"/>
        </w:rPr>
        <w:t>123.18</w:t>
      </w:r>
      <w:r>
        <w:rPr>
          <w:rFonts w:hint="eastAsia" w:ascii="仿宋" w:hAnsi="仿宋" w:eastAsia="仿宋" w:cs="仿宋"/>
          <w:sz w:val="32"/>
          <w:szCs w:val="32"/>
        </w:rPr>
        <w:t>万元，当年预算数</w:t>
      </w:r>
      <w:r>
        <w:rPr>
          <w:rFonts w:hint="eastAsia" w:ascii="仿宋" w:hAnsi="仿宋" w:eastAsia="仿宋" w:cs="仿宋"/>
          <w:sz w:val="32"/>
          <w:szCs w:val="32"/>
          <w:lang w:val="en-US" w:eastAsia="zh-CN"/>
        </w:rPr>
        <w:t>167.28</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136.22</w:t>
      </w:r>
      <w:r>
        <w:rPr>
          <w:rFonts w:hint="eastAsia" w:ascii="仿宋" w:hAnsi="仿宋" w:eastAsia="仿宋" w:cs="仿宋"/>
          <w:sz w:val="32"/>
          <w:szCs w:val="32"/>
        </w:rPr>
        <w:t>万元，完成执行率</w:t>
      </w:r>
      <w:r>
        <w:rPr>
          <w:rFonts w:hint="eastAsia" w:ascii="仿宋" w:hAnsi="仿宋" w:eastAsia="仿宋" w:cs="仿宋"/>
          <w:sz w:val="32"/>
          <w:szCs w:val="32"/>
          <w:lang w:val="en-US" w:eastAsia="zh-CN"/>
        </w:rPr>
        <w:t>81.43</w:t>
      </w:r>
      <w:r>
        <w:rPr>
          <w:rFonts w:hint="eastAsia" w:ascii="仿宋" w:hAnsi="仿宋" w:eastAsia="仿宋" w:cs="仿宋"/>
          <w:sz w:val="32"/>
          <w:szCs w:val="32"/>
        </w:rPr>
        <w:t>%，自评结论：一等。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组织对1个部门开展整体支出绩效评价，涉及一般公共预算支出</w:t>
      </w:r>
      <w:r>
        <w:rPr>
          <w:rFonts w:hint="eastAsia" w:ascii="仿宋" w:hAnsi="仿宋" w:eastAsia="仿宋" w:cs="仿宋"/>
          <w:sz w:val="32"/>
          <w:szCs w:val="32"/>
          <w:lang w:val="en-US" w:eastAsia="zh-CN"/>
        </w:rPr>
        <w:t>653.76</w:t>
      </w:r>
      <w:r>
        <w:rPr>
          <w:rFonts w:hint="eastAsia" w:ascii="仿宋" w:hAnsi="仿宋" w:eastAsia="仿宋" w:cs="仿宋"/>
          <w:sz w:val="32"/>
          <w:szCs w:val="32"/>
        </w:rPr>
        <w:t>万元，政府性基金预算支出0万元</w:t>
      </w:r>
      <w:r>
        <w:rPr>
          <w:rFonts w:hint="eastAsia" w:ascii="仿宋" w:hAnsi="仿宋" w:eastAsia="仿宋" w:cs="仿宋"/>
          <w:sz w:val="32"/>
          <w:szCs w:val="32"/>
          <w:lang w:eastAsia="zh-CN"/>
        </w:rPr>
        <w:t>，</w:t>
      </w:r>
      <w:r>
        <w:rPr>
          <w:rFonts w:hint="eastAsia" w:ascii="仿宋" w:hAnsi="仿宋" w:eastAsia="仿宋" w:cs="仿宋"/>
          <w:sz w:val="32"/>
          <w:szCs w:val="32"/>
        </w:rPr>
        <w:t>国有资本经营预算支出0万元。从评价情况来看，年初预算数</w:t>
      </w:r>
      <w:r>
        <w:rPr>
          <w:rFonts w:hint="eastAsia" w:ascii="仿宋" w:hAnsi="仿宋" w:eastAsia="仿宋" w:cs="仿宋"/>
          <w:sz w:val="32"/>
          <w:szCs w:val="32"/>
          <w:lang w:val="en-US" w:eastAsia="zh-CN"/>
        </w:rPr>
        <w:t>564.36</w:t>
      </w:r>
      <w:r>
        <w:rPr>
          <w:rFonts w:hint="eastAsia" w:ascii="仿宋" w:hAnsi="仿宋" w:eastAsia="仿宋" w:cs="仿宋"/>
          <w:sz w:val="32"/>
          <w:szCs w:val="32"/>
        </w:rPr>
        <w:t>万元，当年预算数</w:t>
      </w:r>
      <w:r>
        <w:rPr>
          <w:rFonts w:hint="eastAsia" w:ascii="仿宋" w:hAnsi="仿宋" w:eastAsia="仿宋" w:cs="仿宋"/>
          <w:sz w:val="32"/>
          <w:szCs w:val="32"/>
          <w:lang w:val="en-US" w:eastAsia="zh-CN"/>
        </w:rPr>
        <w:t>681.86</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653.76</w:t>
      </w:r>
      <w:r>
        <w:rPr>
          <w:rFonts w:hint="eastAsia" w:ascii="仿宋" w:hAnsi="仿宋" w:eastAsia="仿宋" w:cs="仿宋"/>
          <w:sz w:val="32"/>
          <w:szCs w:val="32"/>
        </w:rPr>
        <w:t>万元，完成执行率</w:t>
      </w:r>
      <w:r>
        <w:rPr>
          <w:rFonts w:hint="eastAsia" w:ascii="仿宋" w:hAnsi="仿宋" w:eastAsia="仿宋" w:cs="仿宋"/>
          <w:sz w:val="32"/>
          <w:szCs w:val="32"/>
          <w:lang w:val="en-US" w:eastAsia="zh-CN"/>
        </w:rPr>
        <w:t>95.88</w:t>
      </w:r>
      <w:r>
        <w:rPr>
          <w:rFonts w:hint="eastAsia" w:ascii="仿宋" w:hAnsi="仿宋" w:eastAsia="仿宋" w:cs="仿宋"/>
          <w:sz w:val="32"/>
          <w:szCs w:val="32"/>
        </w:rPr>
        <w:t>%，自评结论：一等。</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根据年初设定的绩效目标</w:t>
      </w:r>
      <w:r>
        <w:rPr>
          <w:rFonts w:hint="eastAsia" w:ascii="仿宋" w:hAnsi="仿宋" w:eastAsia="仿宋" w:cs="仿宋"/>
          <w:color w:val="000000"/>
          <w:sz w:val="32"/>
          <w:szCs w:val="32"/>
          <w:lang w:eastAsia="zh-CN"/>
        </w:rPr>
        <w:t>开展自评</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自评结果如下</w:t>
      </w:r>
      <w:r>
        <w:rPr>
          <w:rFonts w:hint="eastAsia" w:ascii="仿宋" w:hAnsi="仿宋" w:eastAsia="仿宋" w:cs="仿宋"/>
          <w:color w:val="000000"/>
          <w:sz w:val="32"/>
          <w:szCs w:val="32"/>
          <w:lang w:val="en-US" w:eastAsia="zh-CN"/>
        </w:rPr>
        <w:t>;</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（1）政协业务经费项目自评得分98.86分，</w:t>
      </w:r>
      <w:r>
        <w:rPr>
          <w:rFonts w:hint="eastAsia" w:ascii="仿宋" w:hAnsi="仿宋" w:eastAsia="仿宋" w:cs="仿宋"/>
          <w:b w:val="0"/>
          <w:bCs w:val="0"/>
          <w:sz w:val="30"/>
          <w:szCs w:val="30"/>
        </w:rPr>
        <w:t>发现的主要问题及原因：</w:t>
      </w:r>
      <w:r>
        <w:rPr>
          <w:rFonts w:hint="eastAsia" w:ascii="仿宋" w:hAnsi="仿宋" w:eastAsia="仿宋" w:cs="仿宋"/>
          <w:b w:val="0"/>
          <w:bCs w:val="0"/>
          <w:sz w:val="30"/>
          <w:szCs w:val="30"/>
          <w:lang w:eastAsia="zh-CN"/>
        </w:rPr>
        <w:t>一是</w:t>
      </w:r>
      <w:r>
        <w:rPr>
          <w:rFonts w:hint="eastAsia" w:ascii="仿宋" w:hAnsi="仿宋" w:eastAsia="仿宋" w:cs="仿宋"/>
          <w:b w:val="0"/>
          <w:bCs w:val="0"/>
          <w:sz w:val="30"/>
          <w:szCs w:val="30"/>
        </w:rPr>
        <w:t>资金使用方面的问题，因县财政制约，导致资金到位较慢，使用率低。</w:t>
      </w:r>
      <w:r>
        <w:rPr>
          <w:rFonts w:hint="eastAsia" w:ascii="仿宋" w:hAnsi="仿宋" w:eastAsia="仿宋" w:cs="仿宋"/>
          <w:b w:val="0"/>
          <w:bCs w:val="0"/>
          <w:sz w:val="30"/>
          <w:szCs w:val="30"/>
          <w:lang w:eastAsia="zh-CN"/>
        </w:rPr>
        <w:t>二是</w:t>
      </w:r>
      <w:r>
        <w:rPr>
          <w:rFonts w:hint="eastAsia" w:ascii="仿宋" w:hAnsi="仿宋" w:eastAsia="仿宋" w:cs="仿宋"/>
          <w:b w:val="0"/>
          <w:bCs w:val="0"/>
          <w:sz w:val="30"/>
          <w:szCs w:val="30"/>
        </w:rPr>
        <w:t>项目绩效方面的问题，绩效设置不能充分体现整年工作，可以</w:t>
      </w:r>
      <w:r>
        <w:rPr>
          <w:rFonts w:hint="eastAsia" w:ascii="仿宋" w:hAnsi="仿宋" w:eastAsia="仿宋" w:cs="仿宋"/>
          <w:b w:val="0"/>
          <w:bCs w:val="0"/>
          <w:sz w:val="30"/>
          <w:szCs w:val="30"/>
          <w:lang w:eastAsia="zh-CN"/>
        </w:rPr>
        <w:t>再</w:t>
      </w:r>
      <w:r>
        <w:rPr>
          <w:rFonts w:hint="eastAsia" w:ascii="仿宋" w:hAnsi="仿宋" w:eastAsia="仿宋" w:cs="仿宋"/>
          <w:b w:val="0"/>
          <w:bCs w:val="0"/>
          <w:sz w:val="30"/>
          <w:szCs w:val="30"/>
        </w:rPr>
        <w:t>细</w:t>
      </w:r>
      <w:r>
        <w:rPr>
          <w:rFonts w:hint="eastAsia" w:ascii="仿宋" w:hAnsi="仿宋" w:eastAsia="仿宋" w:cs="仿宋"/>
          <w:b w:val="0"/>
          <w:bCs w:val="0"/>
          <w:sz w:val="30"/>
          <w:szCs w:val="30"/>
          <w:lang w:eastAsia="zh-CN"/>
        </w:rPr>
        <w:t>化</w:t>
      </w:r>
      <w:r>
        <w:rPr>
          <w:rFonts w:hint="eastAsia" w:ascii="仿宋" w:hAnsi="仿宋" w:eastAsia="仿宋" w:cs="仿宋"/>
          <w:b w:val="0"/>
          <w:bCs w:val="0"/>
          <w:sz w:val="30"/>
          <w:szCs w:val="30"/>
        </w:rPr>
        <w:t>一些。</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color w:val="000000"/>
          <w:sz w:val="30"/>
          <w:szCs w:val="30"/>
          <w:lang w:eastAsia="zh-CN"/>
        </w:rPr>
        <w:t>一是</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。二是合理细化预算绩效指标。</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（2）政协机关业务费项目自评得分99.29分，</w:t>
      </w:r>
      <w:r>
        <w:rPr>
          <w:rFonts w:hint="eastAsia" w:ascii="仿宋" w:hAnsi="仿宋" w:eastAsia="仿宋" w:cs="仿宋"/>
          <w:b w:val="0"/>
          <w:bCs w:val="0"/>
          <w:sz w:val="30"/>
          <w:szCs w:val="30"/>
        </w:rPr>
        <w:t>发现的主要问题及原因：资金使用方面的问题，因县财政制约，导致资金到位较慢，使用率低。</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（3）党支部组织生活经费项目自评得分93.46分，</w:t>
      </w:r>
      <w:r>
        <w:rPr>
          <w:rFonts w:hint="eastAsia" w:ascii="仿宋" w:hAnsi="仿宋" w:eastAsia="仿宋" w:cs="仿宋"/>
          <w:b w:val="0"/>
          <w:bCs w:val="0"/>
          <w:sz w:val="30"/>
          <w:szCs w:val="30"/>
        </w:rPr>
        <w:t>发现的主要问题及原因：资金使用方面的问题，因县财政制约，导致资金到位较慢，使用率低。</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w:t>
      </w:r>
    </w:p>
    <w:p>
      <w:pPr>
        <w:numPr>
          <w:ilvl w:val="0"/>
          <w:numId w:val="0"/>
        </w:numPr>
        <w:ind w:firstLine="60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（4）维修办公场地项目自评得分98.72分，</w:t>
      </w:r>
      <w:r>
        <w:rPr>
          <w:rFonts w:hint="eastAsia" w:ascii="仿宋" w:hAnsi="仿宋" w:eastAsia="仿宋" w:cs="仿宋"/>
          <w:b w:val="0"/>
          <w:bCs w:val="0"/>
          <w:sz w:val="30"/>
          <w:szCs w:val="30"/>
        </w:rPr>
        <w:t>发现的主要问题及原因：资金使用方面的问题，因县财政制约，导致资金到位较慢，使用率低。</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w:t>
      </w:r>
    </w:p>
    <w:p>
      <w:pPr>
        <w:numPr>
          <w:ilvl w:val="0"/>
          <w:numId w:val="0"/>
        </w:numPr>
        <w:ind w:firstLine="60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（5）政协委员活动经费项目自评得分94.29分，</w:t>
      </w:r>
      <w:r>
        <w:rPr>
          <w:rFonts w:hint="eastAsia" w:ascii="仿宋" w:hAnsi="仿宋" w:eastAsia="仿宋" w:cs="仿宋"/>
          <w:b w:val="0"/>
          <w:bCs w:val="0"/>
          <w:sz w:val="30"/>
          <w:szCs w:val="30"/>
        </w:rPr>
        <w:t>发现的主要问题及原因：</w:t>
      </w:r>
      <w:r>
        <w:rPr>
          <w:rFonts w:hint="eastAsia" w:ascii="仿宋" w:hAnsi="仿宋" w:eastAsia="仿宋" w:cs="仿宋"/>
          <w:b w:val="0"/>
          <w:bCs w:val="0"/>
          <w:sz w:val="30"/>
          <w:szCs w:val="30"/>
          <w:lang w:eastAsia="zh-CN"/>
        </w:rPr>
        <w:t>一是</w:t>
      </w:r>
      <w:r>
        <w:rPr>
          <w:rFonts w:hint="eastAsia" w:ascii="仿宋" w:hAnsi="仿宋" w:eastAsia="仿宋" w:cs="仿宋"/>
          <w:b w:val="0"/>
          <w:bCs w:val="0"/>
          <w:sz w:val="30"/>
          <w:szCs w:val="30"/>
        </w:rPr>
        <w:t>资金使用方面的问题，因县财政制约，导致资金到位较慢，使用率低</w:t>
      </w:r>
      <w:r>
        <w:rPr>
          <w:rFonts w:hint="eastAsia" w:ascii="仿宋" w:hAnsi="仿宋" w:eastAsia="仿宋" w:cs="仿宋"/>
          <w:b w:val="0"/>
          <w:bCs w:val="0"/>
          <w:sz w:val="30"/>
          <w:szCs w:val="30"/>
          <w:lang w:eastAsia="zh-CN"/>
        </w:rPr>
        <w:t>；二是</w:t>
      </w:r>
      <w:r>
        <w:rPr>
          <w:rFonts w:hint="eastAsia" w:ascii="仿宋" w:hAnsi="仿宋" w:eastAsia="仿宋" w:cs="仿宋"/>
          <w:b w:val="0"/>
          <w:bCs w:val="0"/>
          <w:sz w:val="30"/>
          <w:szCs w:val="30"/>
        </w:rPr>
        <w:t>项目绩效方面的问题，绩效设置不能充分体现整年工作，可以</w:t>
      </w:r>
      <w:r>
        <w:rPr>
          <w:rFonts w:hint="eastAsia" w:ascii="仿宋" w:hAnsi="仿宋" w:eastAsia="仿宋" w:cs="仿宋"/>
          <w:b w:val="0"/>
          <w:bCs w:val="0"/>
          <w:sz w:val="30"/>
          <w:szCs w:val="30"/>
          <w:lang w:eastAsia="zh-CN"/>
        </w:rPr>
        <w:t>再</w:t>
      </w:r>
      <w:r>
        <w:rPr>
          <w:rFonts w:hint="eastAsia" w:ascii="仿宋" w:hAnsi="仿宋" w:eastAsia="仿宋" w:cs="仿宋"/>
          <w:b w:val="0"/>
          <w:bCs w:val="0"/>
          <w:sz w:val="30"/>
          <w:szCs w:val="30"/>
        </w:rPr>
        <w:t>细</w:t>
      </w:r>
      <w:r>
        <w:rPr>
          <w:rFonts w:hint="eastAsia" w:ascii="仿宋" w:hAnsi="仿宋" w:eastAsia="仿宋" w:cs="仿宋"/>
          <w:b w:val="0"/>
          <w:bCs w:val="0"/>
          <w:sz w:val="30"/>
          <w:szCs w:val="30"/>
          <w:lang w:eastAsia="zh-CN"/>
        </w:rPr>
        <w:t>化</w:t>
      </w:r>
      <w:r>
        <w:rPr>
          <w:rFonts w:hint="eastAsia" w:ascii="仿宋" w:hAnsi="仿宋" w:eastAsia="仿宋" w:cs="仿宋"/>
          <w:b w:val="0"/>
          <w:bCs w:val="0"/>
          <w:sz w:val="30"/>
          <w:szCs w:val="30"/>
        </w:rPr>
        <w:t>一些。</w:t>
      </w:r>
      <w:r>
        <w:rPr>
          <w:rFonts w:hint="eastAsia" w:ascii="仿宋" w:hAnsi="仿宋" w:eastAsia="仿宋" w:cs="仿宋"/>
          <w:b w:val="0"/>
          <w:bCs w:val="0"/>
          <w:sz w:val="30"/>
          <w:szCs w:val="30"/>
          <w:lang w:eastAsia="zh-CN"/>
        </w:rPr>
        <w:t>三是客观条件的问题，由于疫情影响，没有举办委员区外培训班。</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color w:val="000000"/>
          <w:sz w:val="30"/>
          <w:szCs w:val="30"/>
          <w:lang w:eastAsia="zh-CN"/>
        </w:rPr>
        <w:t>一是</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；二是合理细化预算绩效指标。</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（6）政协会议经费项目自评得分100分，</w:t>
      </w:r>
      <w:r>
        <w:rPr>
          <w:rFonts w:hint="eastAsia" w:ascii="仿宋" w:hAnsi="仿宋" w:eastAsia="仿宋" w:cs="仿宋"/>
          <w:b w:val="0"/>
          <w:bCs w:val="0"/>
          <w:sz w:val="30"/>
          <w:szCs w:val="30"/>
        </w:rPr>
        <w:t>发现的主要问题及原因：</w:t>
      </w:r>
      <w:r>
        <w:rPr>
          <w:rFonts w:hint="eastAsia" w:ascii="仿宋" w:hAnsi="仿宋" w:eastAsia="仿宋" w:cs="仿宋"/>
          <w:b w:val="0"/>
          <w:bCs w:val="0"/>
          <w:sz w:val="30"/>
          <w:szCs w:val="30"/>
          <w:lang w:eastAsia="zh-CN"/>
        </w:rPr>
        <w:t>无。</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（7）政协办业务经费项目自评得分99.61分，</w:t>
      </w:r>
      <w:r>
        <w:rPr>
          <w:rFonts w:hint="eastAsia" w:ascii="仿宋" w:hAnsi="仿宋" w:eastAsia="仿宋" w:cs="仿宋"/>
          <w:b w:val="0"/>
          <w:bCs w:val="0"/>
          <w:sz w:val="30"/>
          <w:szCs w:val="30"/>
        </w:rPr>
        <w:t>发现的主要问题及原因：资金使用方面的问题，因县财政制约，导致资金到位较慢，使用率低。</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（8）迎接自治区视察活动工作经费项目自评得分94.01分，</w:t>
      </w:r>
      <w:r>
        <w:rPr>
          <w:rFonts w:hint="eastAsia" w:ascii="仿宋" w:hAnsi="仿宋" w:eastAsia="仿宋" w:cs="仿宋"/>
          <w:b w:val="0"/>
          <w:bCs w:val="0"/>
          <w:sz w:val="30"/>
          <w:szCs w:val="30"/>
        </w:rPr>
        <w:t>发现的主要问题及原因：资金使用方面的问题，因县财政制约，导致资金到位较慢，使用率低。</w:t>
      </w:r>
      <w:r>
        <w:rPr>
          <w:rFonts w:hint="eastAsia" w:ascii="仿宋" w:hAnsi="仿宋" w:eastAsia="仿宋" w:cs="仿宋"/>
          <w:b w:val="0"/>
          <w:bCs w:val="0"/>
          <w:color w:val="000000"/>
          <w:sz w:val="30"/>
          <w:szCs w:val="30"/>
        </w:rPr>
        <w:t>下一步改进措施：</w:t>
      </w:r>
      <w:r>
        <w:rPr>
          <w:rFonts w:hint="eastAsia" w:ascii="仿宋" w:hAnsi="仿宋" w:eastAsia="仿宋" w:cs="仿宋"/>
          <w:b w:val="0"/>
          <w:bCs w:val="0"/>
          <w:sz w:val="30"/>
          <w:szCs w:val="30"/>
        </w:rPr>
        <w:t>加快资金拨付和支出进度</w:t>
      </w:r>
      <w:r>
        <w:rPr>
          <w:rFonts w:hint="eastAsia" w:ascii="仿宋" w:hAnsi="仿宋" w:eastAsia="仿宋" w:cs="仿宋"/>
          <w:b w:val="0"/>
          <w:bCs w:val="0"/>
          <w:sz w:val="30"/>
          <w:szCs w:val="30"/>
          <w:lang w:eastAsia="zh-CN"/>
        </w:rPr>
        <w:t>。</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（9）自治县政协机关办公楼维修工程增加项目经费项目自评得分100分，</w:t>
      </w:r>
      <w:r>
        <w:rPr>
          <w:rFonts w:hint="eastAsia" w:ascii="仿宋" w:hAnsi="仿宋" w:eastAsia="仿宋" w:cs="仿宋"/>
          <w:b w:val="0"/>
          <w:bCs w:val="0"/>
          <w:sz w:val="30"/>
          <w:szCs w:val="30"/>
        </w:rPr>
        <w:t>发现的主要问题及原因：</w:t>
      </w:r>
      <w:r>
        <w:rPr>
          <w:rFonts w:hint="eastAsia" w:ascii="仿宋" w:hAnsi="仿宋" w:eastAsia="仿宋" w:cs="仿宋"/>
          <w:b w:val="0"/>
          <w:bCs w:val="0"/>
          <w:sz w:val="30"/>
          <w:szCs w:val="30"/>
          <w:lang w:eastAsia="zh-CN"/>
        </w:rPr>
        <w:t>无。</w:t>
      </w:r>
    </w:p>
    <w:p>
      <w:pPr>
        <w:numPr>
          <w:ilvl w:val="0"/>
          <w:numId w:val="0"/>
        </w:numPr>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　　（10）奖励性补贴项目自评得分100分，</w:t>
      </w:r>
      <w:r>
        <w:rPr>
          <w:rFonts w:hint="eastAsia" w:ascii="仿宋" w:hAnsi="仿宋" w:eastAsia="仿宋" w:cs="仿宋"/>
          <w:b w:val="0"/>
          <w:bCs w:val="0"/>
          <w:sz w:val="30"/>
          <w:szCs w:val="30"/>
        </w:rPr>
        <w:t>发现的主要问题及原因：</w:t>
      </w:r>
      <w:r>
        <w:rPr>
          <w:rFonts w:hint="eastAsia" w:ascii="仿宋" w:hAnsi="仿宋" w:eastAsia="仿宋" w:cs="仿宋"/>
          <w:b w:val="0"/>
          <w:bCs w:val="0"/>
          <w:sz w:val="30"/>
          <w:szCs w:val="30"/>
          <w:lang w:eastAsia="zh-CN"/>
        </w:rPr>
        <w:t>无。</w:t>
      </w:r>
    </w:p>
    <w:p>
      <w:pPr>
        <w:ind w:firstLine="600" w:firstLineChars="200"/>
        <w:jc w:val="left"/>
        <w:rPr>
          <w:rFonts w:hint="eastAsia" w:ascii="仿宋" w:hAnsi="仿宋" w:eastAsia="仿宋" w:cs="仿宋"/>
          <w:b w:val="0"/>
          <w:bCs w:val="0"/>
          <w:sz w:val="30"/>
          <w:szCs w:val="30"/>
          <w:highlight w:val="none"/>
        </w:rPr>
      </w:pPr>
      <w:r>
        <w:rPr>
          <w:rFonts w:hint="eastAsia" w:ascii="仿宋" w:hAnsi="仿宋" w:eastAsia="仿宋" w:cs="仿宋"/>
          <w:b w:val="0"/>
          <w:bCs w:val="0"/>
          <w:sz w:val="30"/>
          <w:szCs w:val="30"/>
          <w:lang w:eastAsia="zh-CN"/>
        </w:rPr>
        <w:t>2022年度预算项目绩效自评表共</w:t>
      </w:r>
      <w:r>
        <w:rPr>
          <w:rFonts w:hint="eastAsia" w:ascii="仿宋" w:hAnsi="仿宋" w:eastAsia="仿宋" w:cs="仿宋"/>
          <w:b w:val="0"/>
          <w:bCs w:val="0"/>
          <w:sz w:val="30"/>
          <w:szCs w:val="30"/>
          <w:lang w:val="en-US" w:eastAsia="zh-CN"/>
        </w:rPr>
        <w:t>10张</w:t>
      </w:r>
      <w:r>
        <w:rPr>
          <w:rFonts w:hint="eastAsia" w:ascii="仿宋" w:hAnsi="仿宋" w:eastAsia="仿宋" w:cs="仿宋"/>
          <w:b w:val="0"/>
          <w:bCs w:val="0"/>
          <w:sz w:val="30"/>
          <w:szCs w:val="30"/>
        </w:rPr>
        <w:t>（详见附表），均</w:t>
      </w:r>
      <w:r>
        <w:rPr>
          <w:rFonts w:hint="eastAsia" w:ascii="仿宋" w:hAnsi="仿宋" w:eastAsia="仿宋" w:cs="仿宋"/>
          <w:b w:val="0"/>
          <w:bCs w:val="0"/>
          <w:sz w:val="30"/>
          <w:szCs w:val="30"/>
          <w:lang w:eastAsia="zh-CN"/>
        </w:rPr>
        <w:t>从预算一体化系统导出。</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3E175971"/>
    <w:multiLevelType w:val="singleLevel"/>
    <w:tmpl w:val="3E17597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A839B3"/>
    <w:rsid w:val="04E54546"/>
    <w:rsid w:val="05992762"/>
    <w:rsid w:val="061D58D0"/>
    <w:rsid w:val="07441231"/>
    <w:rsid w:val="07B0770E"/>
    <w:rsid w:val="0942143F"/>
    <w:rsid w:val="0C694B0F"/>
    <w:rsid w:val="0D100297"/>
    <w:rsid w:val="0D202B45"/>
    <w:rsid w:val="0D676F26"/>
    <w:rsid w:val="0EB368CC"/>
    <w:rsid w:val="0F8D4C87"/>
    <w:rsid w:val="10505FAA"/>
    <w:rsid w:val="105F7E7E"/>
    <w:rsid w:val="11E56B5B"/>
    <w:rsid w:val="12192A59"/>
    <w:rsid w:val="125C77AB"/>
    <w:rsid w:val="12E64874"/>
    <w:rsid w:val="13AE38F6"/>
    <w:rsid w:val="14CB726E"/>
    <w:rsid w:val="17BA1AFE"/>
    <w:rsid w:val="17E92249"/>
    <w:rsid w:val="18D304F1"/>
    <w:rsid w:val="19810695"/>
    <w:rsid w:val="19F32577"/>
    <w:rsid w:val="19F45B80"/>
    <w:rsid w:val="1B0C078D"/>
    <w:rsid w:val="1B275D87"/>
    <w:rsid w:val="1B2B31E2"/>
    <w:rsid w:val="1B397E34"/>
    <w:rsid w:val="1B4C295A"/>
    <w:rsid w:val="1B973C63"/>
    <w:rsid w:val="1BA1001E"/>
    <w:rsid w:val="1C3C4D04"/>
    <w:rsid w:val="1D317259"/>
    <w:rsid w:val="1D5020A4"/>
    <w:rsid w:val="1E664F5B"/>
    <w:rsid w:val="1EB34BE1"/>
    <w:rsid w:val="1EF22AD5"/>
    <w:rsid w:val="1FCF5244"/>
    <w:rsid w:val="210B5343"/>
    <w:rsid w:val="215E639F"/>
    <w:rsid w:val="21BC2F68"/>
    <w:rsid w:val="21EC3183"/>
    <w:rsid w:val="22571571"/>
    <w:rsid w:val="225E72CD"/>
    <w:rsid w:val="226E4F8A"/>
    <w:rsid w:val="246E2F77"/>
    <w:rsid w:val="254B4E2B"/>
    <w:rsid w:val="27B02913"/>
    <w:rsid w:val="28112CC9"/>
    <w:rsid w:val="283D7C94"/>
    <w:rsid w:val="28521A93"/>
    <w:rsid w:val="287603DB"/>
    <w:rsid w:val="29480E03"/>
    <w:rsid w:val="2983634D"/>
    <w:rsid w:val="29FE3F85"/>
    <w:rsid w:val="2B8778F7"/>
    <w:rsid w:val="2BB02055"/>
    <w:rsid w:val="2C5172CA"/>
    <w:rsid w:val="2C575A56"/>
    <w:rsid w:val="2D653489"/>
    <w:rsid w:val="2D760F49"/>
    <w:rsid w:val="2EEA6295"/>
    <w:rsid w:val="2F257714"/>
    <w:rsid w:val="2F3275E5"/>
    <w:rsid w:val="30AA08EF"/>
    <w:rsid w:val="30D23D1C"/>
    <w:rsid w:val="31221CF5"/>
    <w:rsid w:val="31400178"/>
    <w:rsid w:val="31450846"/>
    <w:rsid w:val="321E3342"/>
    <w:rsid w:val="327759C8"/>
    <w:rsid w:val="33185FE3"/>
    <w:rsid w:val="34A65AF3"/>
    <w:rsid w:val="34EE2E36"/>
    <w:rsid w:val="34FD6DF9"/>
    <w:rsid w:val="364C2DEF"/>
    <w:rsid w:val="36777241"/>
    <w:rsid w:val="371E78D5"/>
    <w:rsid w:val="384E4D17"/>
    <w:rsid w:val="38A951DB"/>
    <w:rsid w:val="38B31605"/>
    <w:rsid w:val="39003F4F"/>
    <w:rsid w:val="3B48408B"/>
    <w:rsid w:val="3C07002B"/>
    <w:rsid w:val="3D0D152A"/>
    <w:rsid w:val="3DF62756"/>
    <w:rsid w:val="3E435064"/>
    <w:rsid w:val="3E641245"/>
    <w:rsid w:val="3F1B7587"/>
    <w:rsid w:val="413E6F1A"/>
    <w:rsid w:val="41E57B4F"/>
    <w:rsid w:val="42430E61"/>
    <w:rsid w:val="432F26F6"/>
    <w:rsid w:val="43802E72"/>
    <w:rsid w:val="43880F63"/>
    <w:rsid w:val="43BB6C43"/>
    <w:rsid w:val="43C43565"/>
    <w:rsid w:val="441C5A6F"/>
    <w:rsid w:val="44C44FCC"/>
    <w:rsid w:val="44CC7369"/>
    <w:rsid w:val="457F5108"/>
    <w:rsid w:val="46951B6B"/>
    <w:rsid w:val="48210C25"/>
    <w:rsid w:val="49143FB4"/>
    <w:rsid w:val="49A34401"/>
    <w:rsid w:val="49E076C1"/>
    <w:rsid w:val="49FC2714"/>
    <w:rsid w:val="4A3E30AB"/>
    <w:rsid w:val="4A696166"/>
    <w:rsid w:val="4AC14DAC"/>
    <w:rsid w:val="4B8640FF"/>
    <w:rsid w:val="4C773E82"/>
    <w:rsid w:val="4CA73877"/>
    <w:rsid w:val="4D154C85"/>
    <w:rsid w:val="4E8F44F1"/>
    <w:rsid w:val="4EB35ECE"/>
    <w:rsid w:val="4F241610"/>
    <w:rsid w:val="508F4E24"/>
    <w:rsid w:val="51461E90"/>
    <w:rsid w:val="51463753"/>
    <w:rsid w:val="51DC28CF"/>
    <w:rsid w:val="52553A93"/>
    <w:rsid w:val="5256713B"/>
    <w:rsid w:val="53521F8B"/>
    <w:rsid w:val="53E22F47"/>
    <w:rsid w:val="54522FF8"/>
    <w:rsid w:val="55450629"/>
    <w:rsid w:val="56692963"/>
    <w:rsid w:val="568B0F48"/>
    <w:rsid w:val="56E576DD"/>
    <w:rsid w:val="574A04A7"/>
    <w:rsid w:val="5786217B"/>
    <w:rsid w:val="57DB5C9A"/>
    <w:rsid w:val="5864454A"/>
    <w:rsid w:val="59337A15"/>
    <w:rsid w:val="59810274"/>
    <w:rsid w:val="5A696437"/>
    <w:rsid w:val="5C0D541A"/>
    <w:rsid w:val="5CA96A00"/>
    <w:rsid w:val="5CF730BC"/>
    <w:rsid w:val="5E5F0DCE"/>
    <w:rsid w:val="5EFF4342"/>
    <w:rsid w:val="5FA40A7B"/>
    <w:rsid w:val="5FD56D29"/>
    <w:rsid w:val="5FEC7F3F"/>
    <w:rsid w:val="60056797"/>
    <w:rsid w:val="60F74BC3"/>
    <w:rsid w:val="617D3BF8"/>
    <w:rsid w:val="61841F6A"/>
    <w:rsid w:val="623007A9"/>
    <w:rsid w:val="63601881"/>
    <w:rsid w:val="637D7558"/>
    <w:rsid w:val="63D050DC"/>
    <w:rsid w:val="644F19AC"/>
    <w:rsid w:val="64DA02AC"/>
    <w:rsid w:val="654E3963"/>
    <w:rsid w:val="65AA4920"/>
    <w:rsid w:val="65E31D0B"/>
    <w:rsid w:val="67694F1E"/>
    <w:rsid w:val="69597934"/>
    <w:rsid w:val="6A953FED"/>
    <w:rsid w:val="6B964DDC"/>
    <w:rsid w:val="6C453FC6"/>
    <w:rsid w:val="6C783074"/>
    <w:rsid w:val="6D850E3D"/>
    <w:rsid w:val="6D9E65C6"/>
    <w:rsid w:val="6DA81947"/>
    <w:rsid w:val="6DB0501A"/>
    <w:rsid w:val="6E0C6B1E"/>
    <w:rsid w:val="6EA34E13"/>
    <w:rsid w:val="6EB66DE2"/>
    <w:rsid w:val="6ED3075F"/>
    <w:rsid w:val="6F2A2D4B"/>
    <w:rsid w:val="6F8A0C1E"/>
    <w:rsid w:val="703F45D4"/>
    <w:rsid w:val="7048033C"/>
    <w:rsid w:val="70D9705A"/>
    <w:rsid w:val="715D6546"/>
    <w:rsid w:val="71BE069E"/>
    <w:rsid w:val="73953409"/>
    <w:rsid w:val="73E069A3"/>
    <w:rsid w:val="74B27425"/>
    <w:rsid w:val="7704010E"/>
    <w:rsid w:val="773B7AF1"/>
    <w:rsid w:val="78104AA8"/>
    <w:rsid w:val="78650A4B"/>
    <w:rsid w:val="78E257C5"/>
    <w:rsid w:val="794B35BE"/>
    <w:rsid w:val="79585F52"/>
    <w:rsid w:val="7AF661D7"/>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653.76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380.23</c:v>
                </c:pt>
                <c:pt idx="1">
                  <c:v>36.67</c:v>
                </c:pt>
                <c:pt idx="2">
                  <c:v>29.09</c:v>
                </c:pt>
                <c:pt idx="3">
                  <c:v>88.65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484.84</c:v>
                </c:pt>
                <c:pt idx="1">
                  <c:v>42.85</c:v>
                </c:pt>
                <c:pt idx="2">
                  <c:v>32.83</c:v>
                </c:pt>
                <c:pt idx="3">
                  <c:v>93.24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2010201</c:v>
                </c:pt>
                <c:pt idx="1">
                  <c:v>2010202</c:v>
                </c:pt>
                <c:pt idx="2">
                  <c:v>2010203</c:v>
                </c:pt>
                <c:pt idx="3">
                  <c:v>2010205</c:v>
                </c:pt>
                <c:pt idx="4">
                  <c:v>2010206</c:v>
                </c:pt>
                <c:pt idx="5">
                  <c:v>2010299</c:v>
                </c:pt>
                <c:pt idx="6">
                  <c:v>2012999</c:v>
                </c:pt>
                <c:pt idx="7">
                  <c:v>201x</c:v>
                </c:pt>
              </c:strCache>
            </c:strRef>
          </c:cat>
          <c:val>
            <c:numRef>
              <c:f>Sheet1!$B$2:$B$9</c:f>
              <c:numCache>
                <c:formatCode>General</c:formatCode>
                <c:ptCount val="8"/>
                <c:pt idx="0">
                  <c:v>368.97</c:v>
                </c:pt>
                <c:pt idx="1">
                  <c:v>21.27</c:v>
                </c:pt>
                <c:pt idx="2">
                  <c:v>9.33</c:v>
                </c:pt>
                <c:pt idx="3">
                  <c:v>15.1</c:v>
                </c:pt>
                <c:pt idx="4">
                  <c:v>44.02</c:v>
                </c:pt>
                <c:pt idx="5">
                  <c:v>20</c:v>
                </c:pt>
                <c:pt idx="6">
                  <c:v>6.14</c:v>
                </c:pt>
                <c:pt idx="7">
                  <c:v>484.84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42.85</c:v>
                </c:pt>
                <c:pt idx="1">
                  <c:v>42.85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32.83</c:v>
                </c:pt>
                <c:pt idx="1">
                  <c:v>32.83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93.24</c:v>
                </c:pt>
                <c:pt idx="1">
                  <c:v>93.24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139.73</c:v>
                </c:pt>
                <c:pt idx="1">
                  <c:v>71.15</c:v>
                </c:pt>
                <c:pt idx="2">
                  <c:v>128.92</c:v>
                </c:pt>
                <c:pt idx="3">
                  <c:v>5.2</c:v>
                </c:pt>
                <c:pt idx="4">
                  <c:v>1.95</c:v>
                </c:pt>
                <c:pt idx="5">
                  <c:v>44.68</c:v>
                </c:pt>
                <c:pt idx="6">
                  <c:v>0</c:v>
                </c:pt>
                <c:pt idx="7">
                  <c:v>18.58</c:v>
                </c:pt>
                <c:pt idx="8">
                  <c:v>0</c:v>
                </c:pt>
                <c:pt idx="9">
                  <c:v>5.15</c:v>
                </c:pt>
                <c:pt idx="10">
                  <c:v>34.2</c:v>
                </c:pt>
                <c:pt idx="11">
                  <c:v>0.11</c:v>
                </c:pt>
                <c:pt idx="12">
                  <c:v>8.27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4.38</c:v>
                </c:pt>
                <c:pt idx="1">
                  <c:v>0</c:v>
                </c:pt>
                <c:pt idx="2">
                  <c:v>0</c:v>
                </c:pt>
                <c:pt idx="3">
                  <c:v>0</c:v>
                </c:pt>
                <c:pt idx="4">
                  <c:v>0.05</c:v>
                </c:pt>
                <c:pt idx="5">
                  <c:v>0.08</c:v>
                </c:pt>
                <c:pt idx="6">
                  <c:v>4.14</c:v>
                </c:pt>
                <c:pt idx="7">
                  <c:v>0</c:v>
                </c:pt>
                <c:pt idx="8">
                  <c:v>0.08</c:v>
                </c:pt>
                <c:pt idx="9">
                  <c:v>4.13</c:v>
                </c:pt>
                <c:pt idx="10">
                  <c:v>0</c:v>
                </c:pt>
                <c:pt idx="11">
                  <c:v>0.06</c:v>
                </c:pt>
                <c:pt idx="12">
                  <c:v>0</c:v>
                </c:pt>
                <c:pt idx="13">
                  <c:v>0</c:v>
                </c:pt>
                <c:pt idx="14">
                  <c:v>0</c:v>
                </c:pt>
                <c:pt idx="15">
                  <c:v>0</c:v>
                </c:pt>
                <c:pt idx="16">
                  <c:v>0</c:v>
                </c:pt>
                <c:pt idx="17">
                  <c:v>0</c:v>
                </c:pt>
                <c:pt idx="18">
                  <c:v>0</c:v>
                </c:pt>
                <c:pt idx="19">
                  <c:v>0</c:v>
                </c:pt>
                <c:pt idx="20">
                  <c:v>0</c:v>
                </c:pt>
                <c:pt idx="21">
                  <c:v>6.14</c:v>
                </c:pt>
                <c:pt idx="22">
                  <c:v>0</c:v>
                </c:pt>
                <c:pt idx="23">
                  <c:v>0</c:v>
                </c:pt>
                <c:pt idx="24">
                  <c:v>26.18</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16.09</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34</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2023-11-29T03:04:15Z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06202EE6B152489CAA5B92D569CA30EF</vt:lpwstr>
  </property>
</Properties>
</file>