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环江毛南族自治县委员会政法委员会2022年度部门决算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环江毛南族自治县委员会政法委员会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环江毛南族自治县委员会政法委员会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环江毛南族自治县委员会政法委员会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环江毛南族自治县委员会政法委员会</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ascii="仿宋_GB2312" w:eastAsia="仿宋_GB2312" w:cs="Times New Roman"/>
          <w:kern w:val="2"/>
          <w:sz w:val="32"/>
          <w:szCs w:val="32"/>
        </w:rPr>
      </w:pPr>
      <w:r>
        <w:rPr>
          <w:rFonts w:hint="eastAsia" w:ascii="仿宋_GB2312" w:eastAsia="仿宋_GB2312" w:cs="Times New Roman"/>
          <w:kern w:val="2"/>
          <w:sz w:val="32"/>
          <w:szCs w:val="32"/>
        </w:rPr>
        <w:t>（一）深入贯彻习近平新时代中国特色社会主义思想，深入贯彻党的路线方针政策和决策部署，统一政法各部门思想和行动，坚持党对政法工作的绝对领导，坚决维护党中央权威和集中统一领导。</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二）深入贯彻党中央决定和县委决策，对全县政法工作研究提出全局性部署，推进平安环江、法治环江建设，加强过硬队伍建设，深化智能化建设，坚决维护国家政治安全、确保社会大局稳定、促进社会公平正义、保障人民安居乐业。</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（三）了解掌握和分析研判政法工作情况动态，分析社会稳定形势，创新完善多部门参与的综治维稳工作机制，协调应对和处置重大突发事件。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（四）加强对政法工作的督查，统筹协调社会治安综合治理、维护社会稳定、反邪教、反暴恐等有关国家法律法规和政策的实施工作。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（五）组织开展政法领域的调查研究，研究拟订政法工作的重要措施，及时向县委提出建议；参与有关地方性法规的起草、修改工作。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（六）掌握分析政法舆情动态，指导和协调政法部门媒体网络宣传工作，指导政法部门做好涉及政法工作的重大宣传工作。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（七）监督和支持政法各部门依法行使职权，指导和协调政法单位密切配合，研究和协调重大、疑难案件，推进严格执法、公正司法。</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（八）组织研究政法改革中带有方向性、倾向性和普遍性重大问题，深化政法改革。</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_GB2312" w:eastAsia="仿宋_GB2312" w:cs="Times New Roman"/>
          <w:kern w:val="2"/>
          <w:sz w:val="32"/>
          <w:szCs w:val="32"/>
        </w:rPr>
      </w:pPr>
      <w:r>
        <w:rPr>
          <w:rFonts w:hint="eastAsia" w:ascii="仿宋_GB2312" w:eastAsia="仿宋_GB2312" w:cs="Times New Roman"/>
          <w:kern w:val="2"/>
          <w:sz w:val="32"/>
          <w:szCs w:val="32"/>
        </w:rPr>
        <w:t>（九）指导和推动政法系统党的建设和政法队伍建设，代管县法学会。</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FF0000"/>
          <w:sz w:val="32"/>
          <w:szCs w:val="32"/>
          <w:lang w:val="en-US" w:eastAsia="zh-CN"/>
        </w:rPr>
      </w:pPr>
      <w:r>
        <w:rPr>
          <w:rFonts w:hint="eastAsia" w:ascii="仿宋_GB2312" w:eastAsia="仿宋_GB2312" w:cs="Times New Roman"/>
          <w:kern w:val="2"/>
          <w:sz w:val="32"/>
          <w:szCs w:val="32"/>
        </w:rPr>
        <w:t>（十）完成县委和上级党委政法委员会交办的其他任务。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both"/>
        <w:rPr>
          <w:rFonts w:hint="eastAsia" w:ascii="仿宋" w:hAnsi="仿宋" w:eastAsia="仿宋" w:cs="仿宋"/>
          <w:sz w:val="32"/>
          <w:szCs w:val="32"/>
          <w:highlight w:val="none"/>
          <w:lang w:val="en-US" w:eastAsia="zh-CN"/>
        </w:rPr>
      </w:pPr>
      <w:r>
        <w:rPr>
          <w:rFonts w:hint="eastAsia" w:ascii="仿宋_GB2312" w:eastAsia="仿宋_GB2312" w:cs="Times New Roman" w:hAnsiTheme="minorHAnsi"/>
          <w:kern w:val="2"/>
          <w:sz w:val="32"/>
          <w:szCs w:val="32"/>
          <w:lang w:val="en-US" w:eastAsia="zh-CN" w:bidi="ar-SA"/>
        </w:rPr>
        <w:t>中共环江县县委政法委员会内设2个办公室（科、委），预算管理单位1个。人员编制总数为16人，其中行政编制10人，事业编制6人，机关后勤服务中心聘用人员控制数0人。实有财政供养人数23人，其中行政在职10人，事业在职4人，离退休人员6人（其中离休0人）。编外在职实有人数3人。</w:t>
      </w: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环江毛南族自治县委员会政法委员会</w:t>
      </w:r>
      <w:r>
        <w:rPr>
          <w:rFonts w:hint="eastAsia" w:ascii="黑体" w:hAnsi="黑体" w:eastAsia="黑体" w:cs="黑体"/>
          <w:sz w:val="32"/>
          <w:szCs w:val="32"/>
          <w:highlight w:val="none"/>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691.61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691.61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商贸事务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其他共产党事务支出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593.60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593.60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274.65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274.65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其他共产党事务支出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318.94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318.94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691.61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280.93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410.67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189.65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408.27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商贸事务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其他共产党事务支出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593.60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185.32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408.27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274.65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185.32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89.33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2013699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其他共产党事务支出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318.94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318.94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公安</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2049999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597.93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597.93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21.03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44.56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44.56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691.61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691.61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691.61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691.61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280.93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410.67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597.93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189.65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408.27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商贸事务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20136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其他共产党事务支出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185.32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408.27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2013601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274.65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185.32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89.33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2013699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其他共产党事务支出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318.94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318.94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公安</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2049999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256.33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259.74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21.19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firstLine="440" w:firstLineChars="20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本部门</w:t>
      </w:r>
      <w:r>
        <w:rPr>
          <w:rFonts w:hint="default" w:ascii="宋体" w:hAnsi="宋体" w:eastAsia="宋体" w:cs="宋体"/>
          <w:color w:val="000000"/>
          <w:kern w:val="0"/>
          <w:sz w:val="22"/>
          <w:szCs w:val="22"/>
          <w:highlight w:val="none"/>
          <w:lang w:val="en-US" w:eastAsia="zh-CN" w:bidi="ar"/>
        </w:rPr>
        <w:t>2022</w:t>
      </w:r>
      <w:r>
        <w:rPr>
          <w:rFonts w:hint="eastAsia" w:ascii="宋体" w:hAnsi="宋体" w:eastAsia="宋体" w:cs="宋体"/>
          <w:color w:val="000000"/>
          <w:kern w:val="0"/>
          <w:sz w:val="22"/>
          <w:szCs w:val="22"/>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广西河池市环江毛南族自治县委员会政法委员会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3.01</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3.01</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3.01</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环江毛南族自治县委员会政法委员会</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691.61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增加350.36</w:t>
      </w:r>
      <w:r>
        <w:rPr>
          <w:rFonts w:hint="eastAsia" w:ascii="仿宋" w:hAnsi="仿宋" w:eastAsia="仿宋" w:cs="仿宋"/>
          <w:sz w:val="32"/>
          <w:szCs w:val="32"/>
          <w:highlight w:val="none"/>
        </w:rPr>
        <w:t>万元，</w:t>
      </w:r>
      <w:r>
        <w:rPr>
          <w:rFonts w:ascii="仿宋" w:hAnsi="仿宋" w:eastAsia="仿宋" w:cs="仿宋"/>
          <w:sz w:val="32"/>
          <w:u w:color="auto"/>
        </w:rPr>
        <w:t>增长102.67%</w:t>
      </w:r>
      <w:r>
        <w:rPr>
          <w:rFonts w:hint="eastAsia" w:ascii="仿宋" w:hAnsi="仿宋" w:eastAsia="仿宋" w:cs="仿宋"/>
          <w:sz w:val="32"/>
          <w:szCs w:val="32"/>
          <w:highlight w:val="none"/>
        </w:rPr>
        <w:t>，其中本年收入</w:t>
      </w:r>
      <w:r>
        <w:rPr>
          <w:rFonts w:ascii="仿宋" w:hAnsi="仿宋" w:eastAsia="仿宋" w:cs="仿宋"/>
          <w:sz w:val="32"/>
          <w:u w:color="auto"/>
        </w:rPr>
        <w:t>691.61</w:t>
      </w:r>
      <w:r>
        <w:rPr>
          <w:rFonts w:hint="eastAsia" w:ascii="仿宋" w:hAnsi="仿宋" w:eastAsia="仿宋" w:cs="仿宋"/>
          <w:sz w:val="32"/>
          <w:szCs w:val="32"/>
          <w:highlight w:val="none"/>
        </w:rPr>
        <w:t>万元。收入具体情况如下。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691.61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增加352.79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增长104.12%</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追加“安居乡村”百姓天网工程经费、村级综治视联网建设经费党的二十大维稳安保信访专项工作经费等项目。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本单位没有政府性基金预算财政拨款收入。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本单位没有国有资本经营预算财政拨款收入。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本单位没有事业收入。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本单位无附属单位上缴收入。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本单位没有其他收入。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2"/>
          <w:sz w:val="32"/>
          <w:szCs w:val="32"/>
          <w:highlight w:val="none"/>
          <w:lang w:val="en-US" w:eastAsia="zh-CN" w:bidi="ar"/>
        </w:rPr>
        <w:t>本单位没有非财政拨款结余。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减少2.43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0103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691.61</w:t>
      </w:r>
      <w:r>
        <w:rPr>
          <w:rFonts w:hint="eastAsia" w:ascii="仿宋" w:hAnsi="仿宋" w:eastAsia="仿宋" w:cs="仿宋"/>
          <w:sz w:val="32"/>
          <w:szCs w:val="32"/>
          <w:highlight w:val="none"/>
        </w:rPr>
        <w:t>万元，其中本年支出</w:t>
      </w:r>
      <w:r>
        <w:rPr>
          <w:rFonts w:ascii="仿宋" w:hAnsi="仿宋" w:eastAsia="仿宋" w:cs="仿宋"/>
          <w:sz w:val="32"/>
          <w:u w:color="auto"/>
        </w:rPr>
        <w:t>691.61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增加350.36</w:t>
      </w:r>
      <w:r>
        <w:rPr>
          <w:rFonts w:hint="eastAsia" w:ascii="仿宋" w:hAnsi="仿宋" w:eastAsia="仿宋" w:cs="仿宋"/>
          <w:sz w:val="32"/>
          <w:szCs w:val="32"/>
          <w:highlight w:val="none"/>
        </w:rPr>
        <w:t>万元，</w:t>
      </w:r>
      <w:r>
        <w:rPr>
          <w:rFonts w:ascii="仿宋" w:hAnsi="仿宋" w:eastAsia="仿宋" w:cs="仿宋"/>
          <w:sz w:val="32"/>
          <w:u w:color="auto"/>
        </w:rPr>
        <w:t>增长102.67%</w:t>
      </w:r>
      <w:r>
        <w:rPr>
          <w:rFonts w:hint="eastAsia" w:ascii="仿宋" w:hAnsi="仿宋" w:eastAsia="仿宋" w:cs="仿宋"/>
          <w:sz w:val="32"/>
          <w:szCs w:val="32"/>
          <w:highlight w:val="none"/>
        </w:rPr>
        <w:t>。支出具体情况如下：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597.93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rPr>
        <w:t>主要用于本部门为保证日常运转发生的基本支出</w:t>
      </w:r>
      <w:r>
        <w:rPr>
          <w:rFonts w:hint="eastAsia" w:ascii="仿宋_GB2312" w:hAnsi="仿宋_GB2312" w:eastAsia="仿宋_GB2312" w:cs="仿宋_GB2312"/>
          <w:bCs/>
          <w:kern w:val="0"/>
          <w:sz w:val="32"/>
          <w:szCs w:val="32"/>
          <w:lang w:val="en-US" w:eastAsia="zh-CN"/>
        </w:rPr>
        <w:t>和项目支出</w:t>
      </w:r>
      <w:r>
        <w:rPr>
          <w:rFonts w:hint="eastAsia" w:ascii="仿宋_GB2312" w:hAnsi="仿宋_GB2312" w:eastAsia="仿宋_GB2312" w:cs="仿宋_GB2312"/>
          <w:bCs/>
          <w:kern w:val="0"/>
          <w:sz w:val="32"/>
          <w:szCs w:val="32"/>
        </w:rPr>
        <w:t>，如根据国家及自治区规定</w:t>
      </w:r>
      <w:r>
        <w:rPr>
          <w:rFonts w:hint="eastAsia" w:ascii="仿宋_GB2312" w:hAnsi="仿宋_GB2312" w:eastAsia="仿宋_GB2312" w:cs="仿宋_GB2312"/>
          <w:bCs/>
          <w:spacing w:val="-3"/>
          <w:kern w:val="0"/>
          <w:sz w:val="32"/>
          <w:szCs w:val="32"/>
        </w:rPr>
        <w:t>的基本工资和津补贴标准等安排的人员经费支出和日常公用经</w:t>
      </w:r>
      <w:r>
        <w:rPr>
          <w:rFonts w:hint="eastAsia" w:ascii="仿宋_GB2312" w:hAnsi="仿宋_GB2312" w:eastAsia="仿宋_GB2312" w:cs="仿宋_GB2312"/>
          <w:bCs/>
          <w:kern w:val="0"/>
          <w:sz w:val="32"/>
          <w:szCs w:val="32"/>
        </w:rPr>
        <w:t>费支出</w:t>
      </w:r>
      <w:r>
        <w:rPr>
          <w:rFonts w:hint="eastAsia" w:ascii="仿宋_GB2312" w:hAnsi="仿宋_GB2312" w:eastAsia="仿宋_GB2312" w:cs="仿宋_GB2312"/>
          <w:bCs/>
          <w:kern w:val="0"/>
          <w:sz w:val="32"/>
          <w:szCs w:val="32"/>
          <w:lang w:val="en-US" w:eastAsia="zh-CN"/>
        </w:rPr>
        <w:t>以及工作职能范围内的项目支出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增加354.99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增长146.12%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3"/>
          <w:kern w:val="0"/>
          <w:sz w:val="32"/>
          <w:szCs w:val="32"/>
          <w:lang w:val="en-US" w:eastAsia="zh-CN"/>
        </w:rPr>
        <w:t>追加“安居乡村”百姓天网工程经费、村级综治视联网建设经费党的二十大维稳安保信访专项工作经费等项目。</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公共安全支出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2.76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lang w:val="en-US" w:eastAsia="zh-CN"/>
        </w:rPr>
        <w:t>扫黑除恶工作日常支出。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下降40.00%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olor w:val="333333"/>
          <w:sz w:val="32"/>
          <w:szCs w:val="32"/>
          <w:shd w:val="clear" w:color="auto" w:fill="FFFFFF"/>
        </w:rPr>
        <w:t>认真贯彻落实中央“八项规定”精神和厉行节约要求，严控压缩办公经费</w:t>
      </w:r>
      <w:r>
        <w:rPr>
          <w:rFonts w:hint="eastAsia" w:ascii="仿宋_GB2312" w:hAnsi="黑体" w:eastAsia="仿宋_GB2312" w:cs="仿宋_GB2312"/>
          <w:kern w:val="0"/>
          <w:sz w:val="32"/>
          <w:szCs w:val="32"/>
        </w:rPr>
        <w:t>。</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_GB2312" w:eastAsia="仿宋_GB2312"/>
          <w:color w:val="333333"/>
          <w:sz w:val="32"/>
          <w:szCs w:val="32"/>
          <w:shd w:val="clear" w:color="auto" w:fill="FFFFFF"/>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25.33</w:t>
      </w:r>
      <w:r>
        <w:rPr>
          <w:rFonts w:hint="eastAsia" w:ascii="仿宋" w:hAnsi="仿宋" w:eastAsia="仿宋" w:cs="仿宋"/>
          <w:sz w:val="32"/>
          <w:szCs w:val="32"/>
          <w:highlight w:val="none"/>
        </w:rPr>
        <w:t>万元：</w:t>
      </w:r>
      <w:r>
        <w:rPr>
          <w:rFonts w:hint="eastAsia" w:ascii="仿宋_GB2312" w:hAnsi="仿宋_GB2312" w:eastAsia="仿宋_GB2312" w:cs="仿宋_GB2312"/>
          <w:bCs/>
          <w:kern w:val="0"/>
          <w:sz w:val="32"/>
          <w:szCs w:val="32"/>
        </w:rPr>
        <w:t>主要用于</w:t>
      </w:r>
      <w:r>
        <w:rPr>
          <w:rFonts w:hint="eastAsia" w:ascii="仿宋_GB2312" w:hAnsi="仿宋_GB2312" w:eastAsia="仿宋_GB2312" w:cs="仿宋_GB2312"/>
          <w:bCs/>
          <w:kern w:val="0"/>
          <w:sz w:val="32"/>
          <w:szCs w:val="32"/>
          <w:lang w:eastAsia="zh-CN"/>
        </w:rPr>
        <w:t>：</w:t>
      </w:r>
      <w:r>
        <w:rPr>
          <w:rFonts w:hint="eastAsia" w:ascii="仿宋_GB2312" w:eastAsia="仿宋_GB2312"/>
          <w:color w:val="333333"/>
          <w:sz w:val="32"/>
          <w:szCs w:val="32"/>
          <w:shd w:val="clear" w:color="auto" w:fill="FFFFFF"/>
        </w:rPr>
        <w:t>职工各项保险方面支出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增加2.80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增长12.43%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olor w:val="333333"/>
          <w:sz w:val="32"/>
          <w:szCs w:val="32"/>
          <w:shd w:val="clear" w:color="auto" w:fill="FFFFFF"/>
        </w:rPr>
        <w:t>人员调</w:t>
      </w:r>
      <w:r>
        <w:rPr>
          <w:rFonts w:hint="eastAsia" w:ascii="仿宋_GB2312" w:eastAsia="仿宋_GB2312"/>
          <w:color w:val="333333"/>
          <w:sz w:val="32"/>
          <w:szCs w:val="32"/>
          <w:shd w:val="clear" w:color="auto" w:fill="FFFFFF"/>
          <w:lang w:val="en-US" w:eastAsia="zh-CN"/>
        </w:rPr>
        <w:t>动，及社保基数调整。</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21.03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rPr>
        <w:t>本部门按规定的比例计缴的住房公积金。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增加2.18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增长11.56%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olor w:val="333333"/>
          <w:sz w:val="32"/>
          <w:szCs w:val="32"/>
          <w:shd w:val="clear" w:color="auto" w:fill="FFFFFF"/>
        </w:rPr>
        <w:t>人员调</w:t>
      </w:r>
      <w:r>
        <w:rPr>
          <w:rFonts w:hint="eastAsia" w:ascii="仿宋_GB2312" w:eastAsia="仿宋_GB2312"/>
          <w:color w:val="333333"/>
          <w:sz w:val="32"/>
          <w:szCs w:val="32"/>
          <w:shd w:val="clear" w:color="auto" w:fill="FFFFFF"/>
          <w:lang w:val="en-US" w:eastAsia="zh-CN"/>
        </w:rPr>
        <w:t>动及住房公积金基数调</w:t>
      </w:r>
      <w:r>
        <w:rPr>
          <w:rFonts w:hint="eastAsia" w:ascii="仿宋_GB2312" w:hAnsi="仿宋_GB2312" w:eastAsia="仿宋_GB2312" w:cs="仿宋_GB2312"/>
          <w:bCs/>
          <w:kern w:val="0"/>
          <w:sz w:val="32"/>
          <w:szCs w:val="32"/>
          <w:lang w:val="en-US" w:eastAsia="zh-CN"/>
        </w:rPr>
        <w:t>整</w:t>
      </w:r>
      <w:r>
        <w:rPr>
          <w:rFonts w:hint="eastAsia" w:ascii="仿宋" w:hAnsi="仿宋" w:eastAsia="仿宋" w:cs="仿宋"/>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44.56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val="en-US" w:eastAsia="zh-CN"/>
        </w:rPr>
        <w:t>职工奖励性补贴</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减少7.77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下降14.85%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人员变动</w:t>
      </w:r>
      <w:r>
        <w:rPr>
          <w:rFonts w:hint="eastAsia" w:ascii="仿宋" w:hAnsi="仿宋" w:eastAsia="仿宋" w:cs="仿宋"/>
          <w:sz w:val="32"/>
          <w:szCs w:val="32"/>
          <w:highlight w:val="none"/>
          <w:lang w:val="en-US"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sz w:val="32"/>
          <w:szCs w:val="32"/>
          <w:highlight w:val="none"/>
          <w:lang w:val="en-US" w:eastAsia="zh-CN" w:bidi="ar"/>
        </w:rPr>
        <w:t>本单位没有结余资金。</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bidi="ar"/>
        </w:rPr>
        <w:t>本单位年末没有结转结余资金。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环江毛南族自治县委员会政法委员会2022年度一般公共预算财政拨款支出</w:t>
      </w:r>
      <w:r>
        <w:rPr>
          <w:rFonts w:ascii="仿宋" w:hAnsi="仿宋" w:eastAsia="仿宋" w:cs="仿宋"/>
          <w:sz w:val="32"/>
          <w:u w:color="auto"/>
        </w:rPr>
        <w:t>691.61</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增加350.36</w:t>
      </w:r>
      <w:r>
        <w:rPr>
          <w:rFonts w:hint="eastAsia" w:ascii="仿宋" w:hAnsi="仿宋" w:eastAsia="仿宋" w:cs="仿宋"/>
          <w:sz w:val="32"/>
          <w:szCs w:val="32"/>
          <w:highlight w:val="none"/>
        </w:rPr>
        <w:t>万元，</w:t>
      </w:r>
      <w:r>
        <w:rPr>
          <w:rFonts w:ascii="仿宋" w:hAnsi="仿宋" w:eastAsia="仿宋" w:cs="仿宋"/>
          <w:sz w:val="32"/>
          <w:u w:color="auto"/>
        </w:rPr>
        <w:t>增长102.67%</w:t>
      </w:r>
      <w:r>
        <w:rPr>
          <w:rFonts w:hint="eastAsia" w:ascii="仿宋" w:hAnsi="仿宋" w:eastAsia="仿宋" w:cs="仿宋"/>
          <w:sz w:val="32"/>
          <w:szCs w:val="32"/>
          <w:highlight w:val="none"/>
        </w:rPr>
        <w:t>。其中：基本支出</w:t>
      </w:r>
      <w:r>
        <w:rPr>
          <w:rFonts w:ascii="仿宋" w:hAnsi="仿宋" w:eastAsia="仿宋" w:cs="仿宋"/>
          <w:sz w:val="32"/>
          <w:u w:color="auto"/>
        </w:rPr>
        <w:t>280.93</w:t>
      </w:r>
      <w:r>
        <w:rPr>
          <w:rFonts w:hint="eastAsia" w:ascii="仿宋" w:hAnsi="仿宋" w:eastAsia="仿宋" w:cs="仿宋"/>
          <w:sz w:val="32"/>
          <w:szCs w:val="32"/>
          <w:highlight w:val="none"/>
        </w:rPr>
        <w:t>万元，项目支出</w:t>
      </w:r>
      <w:r>
        <w:rPr>
          <w:rFonts w:ascii="仿宋" w:hAnsi="仿宋" w:eastAsia="仿宋" w:cs="仿宋"/>
          <w:sz w:val="32"/>
          <w:u w:color="auto"/>
        </w:rPr>
        <w:t>410.67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环江毛南族自治县委员会政法委员会2022 年度一般公共预算财政拨款支出年初预算为</w:t>
      </w:r>
      <w:r>
        <w:rPr>
          <w:rFonts w:ascii="仿宋" w:hAnsi="仿宋" w:eastAsia="仿宋" w:cs="仿宋"/>
          <w:sz w:val="32"/>
          <w:u w:color="auto"/>
        </w:rPr>
        <w:t>312.50</w:t>
      </w:r>
      <w:r>
        <w:rPr>
          <w:rFonts w:hint="eastAsia" w:ascii="仿宋" w:hAnsi="仿宋" w:eastAsia="仿宋" w:cs="仿宋"/>
          <w:sz w:val="32"/>
          <w:szCs w:val="32"/>
          <w:highlight w:val="none"/>
        </w:rPr>
        <w:t>万元，支出决算为</w:t>
      </w:r>
      <w:r>
        <w:rPr>
          <w:rFonts w:ascii="仿宋" w:hAnsi="仿宋" w:eastAsia="仿宋" w:cs="仿宋"/>
          <w:sz w:val="32"/>
          <w:u w:color="auto"/>
        </w:rPr>
        <w:t>691.61</w:t>
      </w:r>
      <w:r>
        <w:rPr>
          <w:rFonts w:hint="eastAsia" w:ascii="仿宋" w:hAnsi="仿宋" w:eastAsia="仿宋" w:cs="仿宋"/>
          <w:sz w:val="32"/>
          <w:szCs w:val="32"/>
          <w:highlight w:val="none"/>
        </w:rPr>
        <w:t>万元，完成年初预算的</w:t>
      </w:r>
      <w:r>
        <w:rPr>
          <w:rFonts w:ascii="仿宋" w:hAnsi="仿宋" w:eastAsia="仿宋" w:cs="仿宋"/>
          <w:sz w:val="32"/>
          <w:u w:color="auto"/>
        </w:rPr>
        <w:t>221.32%</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255.58</w:t>
      </w:r>
      <w:r>
        <w:rPr>
          <w:rFonts w:hint="eastAsia" w:ascii="仿宋" w:hAnsi="仿宋" w:eastAsia="仿宋"/>
          <w:sz w:val="32"/>
          <w:szCs w:val="32"/>
          <w:highlight w:val="none"/>
        </w:rPr>
        <w:t>万元，支出决算为</w:t>
      </w:r>
      <w:r>
        <w:rPr>
          <w:rFonts w:ascii="仿宋" w:hAnsi="仿宋" w:eastAsia="仿宋"/>
          <w:sz w:val="32"/>
          <w:szCs w:val="32"/>
          <w:highlight w:val="none"/>
        </w:rPr>
        <w:t>597.93</w:t>
      </w:r>
      <w:r>
        <w:rPr>
          <w:rFonts w:hint="eastAsia" w:ascii="仿宋" w:hAnsi="仿宋" w:eastAsia="仿宋"/>
          <w:sz w:val="32"/>
          <w:szCs w:val="32"/>
          <w:highlight w:val="none"/>
        </w:rPr>
        <w:t>万元，完成年初预算的</w:t>
      </w:r>
      <w:r>
        <w:rPr>
          <w:rFonts w:ascii="仿宋" w:hAnsi="仿宋" w:eastAsia="仿宋"/>
          <w:sz w:val="32"/>
          <w:szCs w:val="32"/>
          <w:highlight w:val="none"/>
        </w:rPr>
        <w:t>233.95%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追加“安居乡村”百姓天网工程经费146万元，村级综治视联网建设经费168.94万元，党的二十大维稳安保信访专项工作经费22.3万元。</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2011301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聘用、后勤控编政府购买服务人员社会保险费用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人员变动及社保基数调整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244.05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274.65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112.54%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本部门为保证日常运转发生的基本支出和项目支出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5"/>
                <w:szCs w:val="15"/>
                <w:highlight w:val="none"/>
                <w:u w:val="none"/>
                <w:lang w:val="en-US" w:eastAsia="zh-CN"/>
              </w:rPr>
              <w:t>因人员变动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其他共产党事务支出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318.94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3923.00%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工作职能范围内的项目支出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追加“安居乡村”百姓天网工程经费146万元，村级综治视联网建设经费168.94万元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255.58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597.93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为保证日常运转发生的基本支出和项目支出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追加“安居乡村”百姓天网工程经费146万元，村级综治视联网建设经费168.94万元</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240" w:lineRule="auto"/>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公共安全支出</w:t>
      </w:r>
      <w:r>
        <w:rPr>
          <w:rFonts w:ascii="仿宋" w:hAnsi="仿宋" w:eastAsia="仿宋"/>
          <w:sz w:val="32"/>
          <w:u w:color="auto"/>
        </w:rPr>
        <w:t>（204</w:t>
      </w:r>
      <w:r>
        <w:rPr>
          <w:rFonts w:hint="eastAsia" w:ascii="仿宋" w:hAnsi="仿宋" w:eastAsia="仿宋"/>
          <w:sz w:val="32"/>
          <w:szCs w:val="32"/>
          <w:highlight w:val="none"/>
        </w:rPr>
        <w:t>类）年初预算为</w:t>
      </w:r>
      <w:r>
        <w:rPr>
          <w:rFonts w:ascii="仿宋" w:hAnsi="仿宋" w:eastAsia="仿宋"/>
          <w:sz w:val="32"/>
          <w:szCs w:val="32"/>
          <w:highlight w:val="none"/>
        </w:rPr>
        <w:t>9.00</w:t>
      </w:r>
      <w:r>
        <w:rPr>
          <w:rFonts w:hint="eastAsia" w:ascii="仿宋" w:hAnsi="仿宋" w:eastAsia="仿宋"/>
          <w:sz w:val="32"/>
          <w:szCs w:val="32"/>
          <w:highlight w:val="none"/>
        </w:rPr>
        <w:t>万元，支出决算为</w:t>
      </w:r>
      <w:r>
        <w:rPr>
          <w:rFonts w:ascii="仿宋" w:hAnsi="仿宋" w:eastAsia="仿宋"/>
          <w:sz w:val="32"/>
          <w:szCs w:val="32"/>
          <w:highlight w:val="none"/>
        </w:rPr>
        <w:t>2.76</w:t>
      </w:r>
      <w:r>
        <w:rPr>
          <w:rFonts w:hint="eastAsia" w:ascii="仿宋" w:hAnsi="仿宋" w:eastAsia="仿宋"/>
          <w:sz w:val="32"/>
          <w:szCs w:val="32"/>
          <w:highlight w:val="none"/>
        </w:rPr>
        <w:t>万元，完成年初预算的</w:t>
      </w:r>
      <w:r>
        <w:rPr>
          <w:rFonts w:ascii="仿宋" w:hAnsi="仿宋" w:eastAsia="仿宋"/>
          <w:sz w:val="32"/>
          <w:szCs w:val="32"/>
          <w:highlight w:val="none"/>
        </w:rPr>
        <w:t>30.67%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财政项目调整，不在本单位列支司法救助项目。</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补拨2022年新聘用、后勤控制政府购买服务人员社会保险费（政法委）</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因人员变动及社保基数调整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其他公共安全支出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扫黑除恶工作经费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上级下达扫黑除恶工作经费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扫黑除恶工作经费等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财政项目调整，不在本单位列支司法救助补助</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27.20</w:t>
      </w:r>
      <w:r>
        <w:rPr>
          <w:rFonts w:hint="eastAsia" w:ascii="仿宋" w:hAnsi="仿宋" w:eastAsia="仿宋"/>
          <w:sz w:val="32"/>
          <w:szCs w:val="32"/>
          <w:highlight w:val="none"/>
        </w:rPr>
        <w:t>万元，支出决算为</w:t>
      </w:r>
      <w:r>
        <w:rPr>
          <w:rFonts w:ascii="仿宋" w:hAnsi="仿宋" w:eastAsia="仿宋"/>
          <w:sz w:val="32"/>
          <w:szCs w:val="32"/>
          <w:highlight w:val="none"/>
        </w:rPr>
        <w:t>25.33</w:t>
      </w:r>
      <w:r>
        <w:rPr>
          <w:rFonts w:hint="eastAsia" w:ascii="仿宋" w:hAnsi="仿宋" w:eastAsia="仿宋"/>
          <w:sz w:val="32"/>
          <w:szCs w:val="32"/>
          <w:highlight w:val="none"/>
        </w:rPr>
        <w:t>万元，完成年初预算的</w:t>
      </w:r>
      <w:r>
        <w:rPr>
          <w:rFonts w:ascii="仿宋" w:hAnsi="仿宋" w:eastAsia="仿宋"/>
          <w:sz w:val="32"/>
          <w:szCs w:val="32"/>
          <w:highlight w:val="none"/>
        </w:rPr>
        <w:t>93.13%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人员变动及社保基数调整。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职工养老保险方面支出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人员变动及社保基数调整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职工养老保险方面支出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人员变动及社保基数调整</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20.72</w:t>
      </w:r>
      <w:r>
        <w:rPr>
          <w:rFonts w:hint="eastAsia" w:ascii="仿宋" w:hAnsi="仿宋" w:eastAsia="仿宋"/>
          <w:sz w:val="32"/>
          <w:szCs w:val="32"/>
          <w:highlight w:val="none"/>
        </w:rPr>
        <w:t>万元，支出决算为</w:t>
      </w:r>
      <w:r>
        <w:rPr>
          <w:rFonts w:ascii="仿宋" w:hAnsi="仿宋" w:eastAsia="仿宋"/>
          <w:sz w:val="32"/>
          <w:szCs w:val="32"/>
          <w:highlight w:val="none"/>
        </w:rPr>
        <w:t>21.03</w:t>
      </w:r>
      <w:r>
        <w:rPr>
          <w:rFonts w:hint="eastAsia" w:ascii="仿宋" w:hAnsi="仿宋" w:eastAsia="仿宋"/>
          <w:sz w:val="32"/>
          <w:szCs w:val="32"/>
          <w:highlight w:val="none"/>
        </w:rPr>
        <w:t>万元，完成年初预算的</w:t>
      </w:r>
      <w:r>
        <w:rPr>
          <w:rFonts w:ascii="仿宋" w:hAnsi="仿宋" w:eastAsia="仿宋"/>
          <w:sz w:val="32"/>
          <w:szCs w:val="32"/>
          <w:highlight w:val="none"/>
        </w:rPr>
        <w:t>101.50%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人员变动及住房公积金基数调整。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101.50%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职工住房公积金方面支出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人员变动及住房公积金基数调整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职工住房公积金方面支出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人员变动及住房公积金基数调整</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44.56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原因是：追加职工奖励性补贴。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追加职工奖励性补贴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追加职工奖励性补贴</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环江毛南族自治县委员会政法委员会2022年度一般公共预算财政拨款基本支出</w:t>
      </w:r>
      <w:r>
        <w:rPr>
          <w:rFonts w:ascii="仿宋" w:hAnsi="仿宋" w:eastAsia="仿宋" w:cs="仿宋"/>
          <w:sz w:val="32"/>
          <w:u w:color="auto"/>
        </w:rPr>
        <w:t>280.93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259.74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21.19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256.33万元，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123.44%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人员变动。</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70.37万元，30102津贴补贴46.34万元，30103奖金62.92万元，30106伙食补助费3.00万元，30107绩效工资6.66万元，30108机关事业单位基本养老保险缴费24.20万元，30110职工基本医疗保险缴费9.84万元，30112其他社会保障缴费3.02万元，30113住房公积金21.03万元，30199其他工资福利支出8.94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34615"/>
            <wp:effectExtent l="4445" t="4445" r="1651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sz w:val="32"/>
          <w:u w:color="auto"/>
        </w:rPr>
      </w:pPr>
      <w:r>
        <w:rPr>
          <w:rFonts w:hint="eastAsia" w:ascii="仿宋" w:hAnsi="仿宋" w:eastAsia="仿宋" w:cs="仿宋"/>
          <w:sz w:val="32"/>
          <w:szCs w:val="32"/>
          <w:highlight w:val="none"/>
        </w:rPr>
        <w:t>商品和服务支出</w:t>
      </w:r>
      <w:r>
        <w:rPr>
          <w:rFonts w:ascii="仿宋" w:hAnsi="仿宋" w:eastAsia="仿宋" w:cs="仿宋"/>
          <w:sz w:val="32"/>
          <w:u w:color="auto"/>
        </w:rPr>
        <w:t>21.19万元，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98.01%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u w:color="auto"/>
          <w:lang w:val="en-US" w:eastAsia="zh-CN"/>
        </w:rPr>
        <w:t>主要原因是：</w:t>
      </w:r>
      <w:r>
        <w:rPr>
          <w:rFonts w:hint="eastAsia" w:ascii="仿宋" w:hAnsi="仿宋" w:eastAsia="仿宋" w:cs="仿宋"/>
          <w:sz w:val="32"/>
          <w:u w:color="auto"/>
        </w:rPr>
        <w:t>认真贯彻落实中央“八项规定”精神和厉行节约要求，严控压缩办公经费</w:t>
      </w:r>
      <w:r>
        <w:rPr>
          <w:rFonts w:hint="eastAsia" w:ascii="仿宋" w:hAnsi="仿宋" w:eastAsia="仿宋" w:cs="仿宋"/>
          <w:sz w:val="32"/>
          <w:u w:color="auto"/>
          <w:lang w:val="en-US"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30201办公费1.82万元，30205水费0.04万元，30206电费0.05万元，30207邮电费2.45万元，30211差旅费2.25万元，30213维修（护）费0.02万元，30228工会经费3.40万元，30239其他交通费用11.16万元。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3.41万元，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104.28%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统计口径不同，原退休人员生活补助项目不在此科目反映。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30305生活补助3.39万元，30309奖励金0.02万元。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1081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本单位无总债务。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2022年本单位无资本性支出。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84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0129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中国共产党环江毛南族自治县委员会政法委员会</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中国共产党环江毛南族自治县委员会政法委员会</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中国共产党环江毛南族自治县委员会政法委员会</w:t>
      </w:r>
      <w:r>
        <w:rPr>
          <w:rFonts w:hint="eastAsia" w:ascii="仿宋" w:hAnsi="仿宋" w:eastAsia="仿宋" w:cs="仿宋"/>
          <w:sz w:val="32"/>
          <w:szCs w:val="32"/>
          <w:highlight w:val="none"/>
        </w:rPr>
        <w:t>没有政府性基金收入，也没有政府性基金收入安排的支出</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中国共产党环江毛南族自治县委员会政法委员会</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中国共产党环江毛南族自治县委员会政法委员会</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 w:hAnsi="仿宋" w:eastAsia="仿宋" w:cs="仿宋"/>
          <w:sz w:val="32"/>
          <w:szCs w:val="32"/>
          <w:highlight w:val="none"/>
          <w:lang w:val="en-US" w:eastAsia="zh-CN"/>
        </w:rPr>
        <w:t>中国共产党环江毛南族自治县委员会政法委员会</w:t>
      </w:r>
      <w:r>
        <w:rPr>
          <w:rFonts w:hint="eastAsia" w:ascii="仿宋" w:hAnsi="仿宋" w:eastAsia="仿宋" w:cs="仿宋"/>
          <w:sz w:val="32"/>
          <w:szCs w:val="32"/>
          <w:highlight w:val="none"/>
        </w:rPr>
        <w:t>没有国有资本经营预算收入，也没有国有资本经营预算收入安排的支出。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3.01</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145.41%</w:t>
      </w:r>
      <w:r>
        <w:rPr>
          <w:rFonts w:hint="eastAsia" w:ascii="仿宋" w:hAnsi="仿宋" w:eastAsia="仿宋" w:cs="仿宋"/>
          <w:sz w:val="32"/>
          <w:szCs w:val="32"/>
          <w:highlight w:val="none"/>
        </w:rPr>
        <w:t>，比上年</w:t>
      </w:r>
      <w:r>
        <w:rPr>
          <w:rFonts w:ascii="仿宋" w:hAnsi="仿宋" w:eastAsia="仿宋" w:cs="仿宋"/>
          <w:sz w:val="32"/>
          <w:szCs w:val="32"/>
          <w:highlight w:val="none"/>
        </w:rPr>
        <w:t>增加1.41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党的二十大维稳安保督导等工作增加的业务接待费。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3.01</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因公出国（境）费支出0.00万元，完成年初预算的0%，比上年增加0.00 万元。</w:t>
      </w:r>
      <w:r>
        <w:rPr>
          <w:rFonts w:hint="eastAsia" w:ascii="仿宋" w:hAnsi="仿宋" w:eastAsia="仿宋" w:cs="仿宋"/>
          <w:sz w:val="32"/>
          <w:szCs w:val="32"/>
          <w:highlight w:val="none"/>
          <w:lang w:val="en-US" w:eastAsia="zh-CN"/>
        </w:rPr>
        <w:t>原因是：本部门无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 xml:space="preserve">全年使用财政拨款安排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（局、办、镇）机关、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个所属单位出国团组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个，参加其他单位组织的出国团组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个，全年因公出国（境）团组共计0个，累计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万元。主要原因是</w:t>
      </w:r>
      <w:bookmarkStart w:id="5" w:name="PO_part3A6B2IncReason1"/>
      <w:r>
        <w:rPr>
          <w:rFonts w:hint="eastAsia" w:ascii="仿宋" w:hAnsi="仿宋" w:eastAsia="仿宋" w:cs="仿宋"/>
          <w:sz w:val="32"/>
          <w:szCs w:val="32"/>
          <w:highlight w:val="none"/>
        </w:rPr>
        <w:t>本部门无公务用车购置</w:t>
      </w:r>
      <w:bookmarkEnd w:id="5"/>
      <w:r>
        <w:rPr>
          <w:rFonts w:hint="eastAsia" w:ascii="仿宋" w:hAnsi="仿宋" w:eastAsia="仿宋" w:cs="仿宋"/>
          <w:sz w:val="32"/>
          <w:szCs w:val="32"/>
          <w:highlight w:val="none"/>
        </w:rPr>
        <w:t>。</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sz w:val="32"/>
          <w:szCs w:val="32"/>
          <w:highlight w:val="none"/>
        </w:rPr>
        <w:t>本部门无公务用车。</w:t>
      </w:r>
      <w:r>
        <w:rPr>
          <w:rFonts w:hint="eastAsia" w:ascii="仿宋" w:hAnsi="仿宋" w:eastAsia="仿宋" w:cs="仿宋"/>
          <w:sz w:val="32"/>
          <w:szCs w:val="32"/>
          <w:highlight w:val="none"/>
          <w:lang w:val="en-US" w:eastAsia="zh-CN"/>
        </w:rPr>
        <w:t xml:space="preserve"> </w:t>
      </w:r>
    </w:p>
    <w:p>
      <w:pPr>
        <w:ind w:firstLine="640" w:firstLineChars="200"/>
        <w:jc w:val="left"/>
        <w:rPr>
          <w:rFonts w:ascii="仿宋" w:hAnsi="仿宋" w:eastAsia="仿宋" w:cs="仿宋"/>
          <w:sz w:val="32"/>
          <w:u w:color="auto"/>
        </w:rPr>
      </w:pPr>
      <w:r>
        <w:rPr>
          <w:rFonts w:hint="eastAsia" w:ascii="仿宋" w:hAnsi="仿宋" w:eastAsia="仿宋" w:cs="仿宋"/>
          <w:sz w:val="32"/>
          <w:u w:color="auto"/>
        </w:rPr>
        <w:t>2022年，</w:t>
      </w:r>
      <w:r>
        <w:rPr>
          <w:rFonts w:ascii="仿宋" w:hAnsi="仿宋" w:eastAsia="仿宋" w:cs="仿宋"/>
          <w:sz w:val="32"/>
          <w:u w:color="auto"/>
        </w:rPr>
        <w:t>环江毛南族自治县委员会政法委员会</w:t>
      </w:r>
      <w:r>
        <w:rPr>
          <w:rFonts w:hint="eastAsia" w:ascii="仿宋" w:hAnsi="仿宋" w:eastAsia="仿宋" w:cs="仿宋"/>
          <w:sz w:val="32"/>
          <w:u w:color="auto"/>
        </w:rPr>
        <w:t>及</w:t>
      </w:r>
      <w:r>
        <w:rPr>
          <w:rFonts w:hint="eastAsia" w:ascii="仿宋" w:hAnsi="仿宋" w:eastAsia="仿宋" w:cs="仿宋"/>
          <w:sz w:val="32"/>
          <w:u w:color="auto"/>
          <w:lang w:val="en-US" w:eastAsia="zh-CN"/>
        </w:rPr>
        <w:t>0个</w:t>
      </w:r>
      <w:r>
        <w:rPr>
          <w:rFonts w:hint="eastAsia" w:ascii="仿宋" w:hAnsi="仿宋" w:eastAsia="仿宋" w:cs="仿宋"/>
          <w:sz w:val="32"/>
          <w:u w:color="auto"/>
        </w:rPr>
        <w:t>所属单位开支财政拨款的公务用车保有量为</w:t>
      </w:r>
      <w:r>
        <w:rPr>
          <w:rFonts w:ascii="仿宋" w:hAnsi="仿宋" w:eastAsia="仿宋" w:cs="仿宋"/>
          <w:sz w:val="32"/>
          <w:u w:color="auto"/>
        </w:rPr>
        <w:t>0</w:t>
      </w:r>
      <w:r>
        <w:rPr>
          <w:rFonts w:hint="eastAsia" w:ascii="仿宋" w:hAnsi="仿宋" w:eastAsia="仿宋" w:cs="仿宋"/>
          <w:sz w:val="32"/>
          <w:u w:color="auto"/>
        </w:rPr>
        <w:t>辆，全年运行费支出</w:t>
      </w:r>
      <w:r>
        <w:rPr>
          <w:rFonts w:ascii="仿宋" w:hAnsi="仿宋" w:eastAsia="仿宋" w:cs="仿宋"/>
          <w:sz w:val="32"/>
          <w:u w:color="auto"/>
        </w:rPr>
        <w:t>0.00</w:t>
      </w:r>
      <w:r>
        <w:rPr>
          <w:rFonts w:hint="eastAsia" w:ascii="仿宋" w:hAnsi="仿宋" w:eastAsia="仿宋" w:cs="仿宋"/>
          <w:sz w:val="32"/>
          <w:u w:color="auto"/>
        </w:rPr>
        <w:t>万元</w:t>
      </w:r>
      <w:r>
        <w:rPr>
          <w:rFonts w:hint="eastAsia" w:ascii="仿宋" w:hAnsi="仿宋" w:eastAsia="仿宋" w:cs="仿宋"/>
          <w:sz w:val="32"/>
          <w:u w:color="auto"/>
          <w:lang w:eastAsia="zh-CN"/>
        </w:rPr>
        <w:t>，</w:t>
      </w:r>
      <w:r>
        <w:rPr>
          <w:rFonts w:hint="eastAsia" w:ascii="仿宋" w:hAnsi="仿宋" w:eastAsia="仿宋" w:cs="仿宋"/>
          <w:sz w:val="32"/>
          <w:u w:color="auto"/>
        </w:rPr>
        <w:t xml:space="preserve">平均每辆 </w:t>
      </w:r>
      <w:r>
        <w:rPr>
          <w:rFonts w:hint="eastAsia" w:ascii="仿宋" w:hAnsi="仿宋" w:eastAsia="仿宋" w:cs="仿宋"/>
          <w:sz w:val="32"/>
          <w:u w:color="auto"/>
          <w:lang w:val="en-US" w:eastAsia="zh-CN"/>
        </w:rPr>
        <w:t>0</w:t>
      </w:r>
      <w:r>
        <w:rPr>
          <w:rFonts w:hint="eastAsia" w:ascii="仿宋" w:hAnsi="仿宋" w:eastAsia="仿宋" w:cs="仿宋"/>
          <w:sz w:val="32"/>
          <w:u w:color="auto"/>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3.01</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145.41%</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主要原因是：党的二十大维稳安保督导等工作增加的业务接待费。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35</w:t>
      </w:r>
      <w:r>
        <w:rPr>
          <w:rFonts w:hint="eastAsia" w:ascii="仿宋" w:hAnsi="仿宋" w:eastAsia="仿宋" w:cs="仿宋"/>
          <w:sz w:val="32"/>
          <w:szCs w:val="32"/>
          <w:highlight w:val="none"/>
        </w:rPr>
        <w:t>次，人次</w:t>
      </w:r>
      <w:r>
        <w:rPr>
          <w:rFonts w:ascii="仿宋" w:hAnsi="仿宋" w:eastAsia="仿宋" w:cs="仿宋"/>
          <w:sz w:val="32"/>
          <w:szCs w:val="32"/>
          <w:highlight w:val="none"/>
        </w:rPr>
        <w:t>232</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kinsoku/>
        <w:wordWrap/>
        <w:overflowPunct/>
        <w:topLinePunct w:val="0"/>
        <w:bidi w:val="0"/>
        <w:snapToGrid/>
        <w:spacing w:line="24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21.19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减少0.43</w:t>
      </w:r>
      <w:r>
        <w:rPr>
          <w:rFonts w:hint="eastAsia" w:ascii="仿宋" w:hAnsi="仿宋" w:eastAsia="仿宋" w:cs="仿宋"/>
          <w:sz w:val="32"/>
          <w:szCs w:val="32"/>
          <w:highlight w:val="none"/>
        </w:rPr>
        <w:t>万元，</w:t>
      </w:r>
      <w:r>
        <w:rPr>
          <w:rFonts w:ascii="仿宋" w:hAnsi="仿宋" w:eastAsia="仿宋" w:cs="仿宋"/>
          <w:sz w:val="32"/>
          <w:szCs w:val="32"/>
          <w:highlight w:val="none"/>
        </w:rPr>
        <w:t>下降1.99%</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增加1.87</w:t>
      </w:r>
      <w:r>
        <w:rPr>
          <w:rFonts w:hint="eastAsia" w:ascii="仿宋" w:hAnsi="仿宋" w:eastAsia="仿宋" w:cs="仿宋"/>
          <w:sz w:val="32"/>
          <w:szCs w:val="32"/>
          <w:highlight w:val="none"/>
        </w:rPr>
        <w:t>万元，</w:t>
      </w:r>
      <w:r>
        <w:rPr>
          <w:rFonts w:ascii="仿宋" w:hAnsi="仿宋" w:eastAsia="仿宋" w:cs="仿宋"/>
          <w:sz w:val="32"/>
          <w:szCs w:val="32"/>
          <w:highlight w:val="none"/>
        </w:rPr>
        <w:t>增长9.68%</w:t>
      </w:r>
      <w:r>
        <w:rPr>
          <w:rFonts w:hint="eastAsia" w:ascii="仿宋" w:hAnsi="仿宋" w:eastAsia="仿宋" w:cs="仿宋"/>
          <w:sz w:val="32"/>
          <w:szCs w:val="32"/>
          <w:highlight w:val="none"/>
        </w:rPr>
        <w:t>。原因是：</w:t>
      </w:r>
      <w:r>
        <w:rPr>
          <w:rFonts w:hint="eastAsia" w:ascii="仿宋" w:hAnsi="仿宋" w:eastAsia="仿宋" w:cs="仿宋"/>
          <w:sz w:val="32"/>
          <w:szCs w:val="32"/>
          <w:highlight w:val="none"/>
          <w:lang w:val="en-US" w:eastAsia="zh-CN"/>
        </w:rPr>
        <w:t>人员变动，机关运行支出稍有变化</w:t>
      </w:r>
      <w:r>
        <w:rPr>
          <w:rFonts w:hint="eastAsia"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kinsoku/>
        <w:wordWrap/>
        <w:overflowPunct/>
        <w:topLinePunct w:val="0"/>
        <w:bidi w:val="0"/>
        <w:snapToGrid/>
        <w:spacing w:line="24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keepNext w:val="0"/>
        <w:keepLines w:val="0"/>
        <w:pageBreakBefore w:val="0"/>
        <w:kinsoku/>
        <w:wordWrap/>
        <w:overflowPunct/>
        <w:topLinePunct w:val="0"/>
        <w:bidi w:val="0"/>
        <w:snapToGrid/>
        <w:spacing w:line="24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410.67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bidi w:val="0"/>
        <w:snapToGrid/>
        <w:spacing w:line="24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shd w:val="clear" w:fill="FFFFFF" w:themeFill="background1"/>
          <w14:textFill>
            <w14:solidFill>
              <w14:schemeClr w14:val="tx1"/>
            </w14:solidFill>
          </w14:textFill>
        </w:rPr>
        <w:t>“2022年县、乡、村综治视联网线路服务费”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410.26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70.15</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501.97</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410.67</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81.81</w:t>
      </w:r>
      <w:r>
        <w:rPr>
          <w:rFonts w:hint="eastAsia" w:ascii="仿宋" w:hAnsi="仿宋" w:eastAsia="仿宋" w:cs="仿宋"/>
          <w:color w:val="000000" w:themeColor="text1"/>
          <w:sz w:val="32"/>
          <w:szCs w:val="32"/>
          <w14:textFill>
            <w14:solidFill>
              <w14:schemeClr w14:val="tx1"/>
            </w14:solidFill>
          </w14:textFill>
        </w:rPr>
        <w:t>%，自评结论：一等。</w:t>
      </w:r>
    </w:p>
    <w:p>
      <w:pPr>
        <w:keepNext w:val="0"/>
        <w:keepLines w:val="0"/>
        <w:pageBreakBefore w:val="0"/>
        <w:kinsoku/>
        <w:wordWrap/>
        <w:overflowPunct/>
        <w:topLinePunct w:val="0"/>
        <w:bidi w:val="0"/>
        <w:snapToGrid/>
        <w:spacing w:line="240" w:lineRule="auto"/>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691.21</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312.50</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779.68</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691.21</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88.65</w:t>
      </w:r>
      <w:r>
        <w:rPr>
          <w:rFonts w:hint="eastAsia" w:ascii="仿宋" w:hAnsi="仿宋" w:eastAsia="仿宋" w:cs="仿宋"/>
          <w:color w:val="000000" w:themeColor="text1"/>
          <w:sz w:val="32"/>
          <w:szCs w:val="32"/>
          <w14:textFill>
            <w14:solidFill>
              <w14:schemeClr w14:val="tx1"/>
            </w14:solidFill>
          </w14:textFill>
        </w:rPr>
        <w:t>%，自评结论：一等。</w:t>
      </w:r>
    </w:p>
    <w:p>
      <w:pPr>
        <w:keepNext w:val="0"/>
        <w:keepLines w:val="0"/>
        <w:pageBreakBefore w:val="0"/>
        <w:kinsoku/>
        <w:wordWrap/>
        <w:overflowPunct/>
        <w:topLinePunct w:val="0"/>
        <w:bidi w:val="0"/>
        <w:snapToGrid/>
        <w:spacing w:line="240" w:lineRule="auto"/>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keepNext w:val="0"/>
        <w:keepLines w:val="0"/>
        <w:pageBreakBefore w:val="0"/>
        <w:kinsoku/>
        <w:wordWrap/>
        <w:overflowPunct/>
        <w:topLinePunct w:val="0"/>
        <w:bidi w:val="0"/>
        <w:snapToGrid/>
        <w:spacing w:line="240" w:lineRule="auto"/>
        <w:ind w:firstLine="640" w:firstLineChars="200"/>
        <w:outlineLvl w:val="2"/>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情况如下：</w:t>
      </w:r>
    </w:p>
    <w:p>
      <w:pPr>
        <w:keepNext w:val="0"/>
        <w:keepLines w:val="0"/>
        <w:pageBreakBefore w:val="0"/>
        <w:kinsoku/>
        <w:wordWrap/>
        <w:overflowPunct/>
        <w:topLinePunct w:val="0"/>
        <w:bidi w:val="0"/>
        <w:snapToGrid/>
        <w:spacing w:line="240" w:lineRule="auto"/>
        <w:ind w:firstLine="640" w:firstLineChars="200"/>
        <w:outlineLvl w:val="2"/>
        <w:rPr>
          <w:rFonts w:hint="eastAsia" w:ascii="Times New Roman" w:hAnsi="Times New Roman" w:eastAsia="仿宋" w:cs="Times New Roman"/>
          <w:sz w:val="30"/>
          <w:szCs w:val="30"/>
          <w:lang w:eastAsia="zh-CN"/>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2022年县、乡、村综治视联网线路服务费自评得分为</w:t>
      </w:r>
      <w:r>
        <w:rPr>
          <w:rFonts w:hint="eastAsia" w:ascii="仿宋" w:hAnsi="仿宋" w:eastAsia="仿宋" w:cs="仿宋"/>
          <w:b/>
          <w:bCs/>
          <w:color w:val="000000" w:themeColor="text1"/>
          <w:sz w:val="32"/>
          <w:szCs w:val="32"/>
          <w:lang w:val="en-US" w:eastAsia="zh-CN"/>
          <w14:textFill>
            <w14:solidFill>
              <w14:schemeClr w14:val="tx1"/>
            </w14:solidFill>
          </w14:textFill>
        </w:rPr>
        <w:t>99.97</w:t>
      </w:r>
      <w:r>
        <w:rPr>
          <w:rFonts w:hint="eastAsia" w:ascii="仿宋" w:hAnsi="仿宋" w:eastAsia="仿宋" w:cs="仿宋"/>
          <w:b/>
          <w:bCs/>
          <w:color w:val="000000" w:themeColor="text1"/>
          <w:sz w:val="32"/>
          <w:szCs w:val="32"/>
          <w14:textFill>
            <w14:solidFill>
              <w14:schemeClr w14:val="tx1"/>
            </w14:solidFill>
          </w14:textFill>
        </w:rPr>
        <w:t>分。发现的主要问题及原因：</w:t>
      </w:r>
      <w:bookmarkStart w:id="6" w:name="_Toc13601"/>
      <w:bookmarkStart w:id="7" w:name="_Toc13827"/>
      <w:r>
        <w:rPr>
          <w:rFonts w:hint="default" w:ascii="Times New Roman" w:hAnsi="Times New Roman" w:eastAsia="仿宋" w:cs="Times New Roman"/>
          <w:sz w:val="30"/>
          <w:szCs w:val="30"/>
        </w:rPr>
        <w:t>①日常管理制度有待完善，项目监管质量有待加强</w:t>
      </w:r>
      <w:bookmarkEnd w:id="6"/>
      <w:bookmarkEnd w:id="7"/>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项目单位制定有采购管理制度、合同管理制度、资产管理制度等，为项目实施中政府采购、合同签订、项目验收等提供了基本保障。但缺少视频系统日常管理制度，未明确视频日常使用各方职责分工、工作流程、服务质量控制等要求。</w:t>
      </w:r>
      <w:bookmarkStart w:id="8" w:name="_Toc23446"/>
      <w:bookmarkStart w:id="9" w:name="_Toc22628"/>
      <w:r>
        <w:rPr>
          <w:rFonts w:hint="default" w:ascii="Times New Roman" w:hAnsi="Times New Roman" w:eastAsia="仿宋" w:cs="Times New Roman"/>
          <w:sz w:val="30"/>
          <w:szCs w:val="30"/>
        </w:rPr>
        <w:t>②项目绩效目标设置有待规范</w:t>
      </w:r>
      <w:bookmarkEnd w:id="8"/>
      <w:bookmarkEnd w:id="9"/>
      <w:bookmarkStart w:id="10" w:name="_Toc144114997"/>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预算绩效目标管理存在不足，导致存在绩效指标设置不够全面、规范等问题。</w:t>
      </w:r>
      <w:bookmarkEnd w:id="10"/>
      <w:r>
        <w:rPr>
          <w:rFonts w:hint="eastAsia" w:ascii="Times New Roman" w:hAnsi="Times New Roman" w:eastAsia="仿宋" w:cs="Times New Roman"/>
          <w:sz w:val="30"/>
          <w:szCs w:val="30"/>
        </w:rPr>
        <w:t>下一步改进措施：</w:t>
      </w:r>
      <w:bookmarkStart w:id="11" w:name="_Toc25960"/>
      <w:bookmarkStart w:id="12" w:name="_Toc4418"/>
      <w:r>
        <w:rPr>
          <w:rFonts w:hint="default" w:ascii="Times New Roman" w:hAnsi="Times New Roman" w:eastAsia="仿宋" w:cs="Times New Roman"/>
          <w:sz w:val="30"/>
          <w:szCs w:val="30"/>
        </w:rPr>
        <w:t>①完善制度建设，强化质量控制和监督管理</w:t>
      </w:r>
      <w:bookmarkEnd w:id="11"/>
      <w:bookmarkEnd w:id="12"/>
      <w:r>
        <w:rPr>
          <w:rFonts w:hint="eastAsia" w:ascii="Times New Roman" w:hAnsi="Times New Roman" w:eastAsia="仿宋" w:cs="Times New Roman"/>
          <w:sz w:val="30"/>
          <w:szCs w:val="30"/>
          <w:lang w:eastAsia="zh-CN"/>
        </w:rPr>
        <w:t>。</w:t>
      </w:r>
      <w:bookmarkStart w:id="13" w:name="_Toc31635"/>
      <w:bookmarkStart w:id="14" w:name="_Toc80"/>
      <w:bookmarkStart w:id="15" w:name="_Toc144114998"/>
      <w:r>
        <w:rPr>
          <w:rFonts w:hint="default" w:ascii="Times New Roman" w:hAnsi="Times New Roman" w:eastAsia="仿宋" w:cs="Times New Roman"/>
          <w:sz w:val="30"/>
          <w:szCs w:val="30"/>
        </w:rPr>
        <w:t>项目单位应建立健全项目日常运行维护管理标准、实施细则及质量控制制度，形成管</w:t>
      </w:r>
      <w:r>
        <w:rPr>
          <w:rFonts w:hint="default" w:ascii="Times New Roman" w:hAnsi="Times New Roman" w:eastAsia="仿宋" w:cs="Times New Roman"/>
          <w:b w:val="0"/>
          <w:bCs w:val="0"/>
          <w:sz w:val="30"/>
          <w:szCs w:val="30"/>
        </w:rPr>
        <w:t>理有序、监控明确的项目管理制度，并严格按照制度规定执行。使项目管理工作制度化、规范化，做到有章可循，按章办事。让项目实施过程中的每一个环节都有质量要求，重视服务成果质量考核记录管理，清晰、完整地填写各项服务考核结果，全面反映项目监督管理情况，并将服务质量控制要求逐一落实到位，发现问题及时纠偏，以便更好地控制服务成果质量，提升服务水平。</w:t>
      </w:r>
      <w:bookmarkEnd w:id="13"/>
      <w:bookmarkEnd w:id="14"/>
      <w:bookmarkEnd w:id="15"/>
      <w:bookmarkStart w:id="16" w:name="_Toc27353"/>
      <w:bookmarkStart w:id="17" w:name="_Toc22888"/>
      <w:r>
        <w:rPr>
          <w:rFonts w:hint="default" w:ascii="Calibri" w:hAnsi="Calibri" w:eastAsia="仿宋" w:cs="Calibri"/>
          <w:sz w:val="30"/>
          <w:szCs w:val="30"/>
        </w:rPr>
        <w:t>②</w:t>
      </w:r>
      <w:r>
        <w:rPr>
          <w:rFonts w:hint="default" w:ascii="Times New Roman" w:hAnsi="Times New Roman" w:eastAsia="仿宋" w:cs="Times New Roman"/>
          <w:sz w:val="30"/>
          <w:szCs w:val="30"/>
        </w:rPr>
        <w:t>强化项目绩效目标管理，提高绩效目标设置质量</w:t>
      </w:r>
      <w:bookmarkEnd w:id="16"/>
      <w:bookmarkEnd w:id="17"/>
      <w:r>
        <w:rPr>
          <w:rFonts w:hint="eastAsia" w:ascii="Times New Roman" w:hAnsi="Times New Roman" w:eastAsia="仿宋" w:cs="Times New Roman"/>
          <w:sz w:val="30"/>
          <w:szCs w:val="30"/>
          <w:lang w:eastAsia="zh-CN"/>
        </w:rPr>
        <w:t>。</w:t>
      </w:r>
    </w:p>
    <w:p>
      <w:pPr>
        <w:keepNext w:val="0"/>
        <w:keepLines w:val="0"/>
        <w:pageBreakBefore w:val="0"/>
        <w:kinsoku/>
        <w:wordWrap/>
        <w:overflowPunct/>
        <w:topLinePunct w:val="0"/>
        <w:bidi w:val="0"/>
        <w:snapToGrid/>
        <w:spacing w:line="240" w:lineRule="auto"/>
        <w:ind w:firstLine="643" w:firstLineChars="200"/>
        <w:outlineLvl w:val="2"/>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default" w:ascii="仿宋" w:hAnsi="仿宋" w:eastAsia="仿宋" w:cs="仿宋"/>
          <w:b/>
          <w:bCs/>
          <w:color w:val="000000" w:themeColor="text1"/>
          <w:sz w:val="32"/>
          <w:szCs w:val="32"/>
          <w14:textFill>
            <w14:solidFill>
              <w14:schemeClr w14:val="tx1"/>
            </w14:solidFill>
          </w14:textFill>
        </w:rPr>
        <w:t>扫黑除恶斗争经费</w:t>
      </w:r>
      <w:r>
        <w:rPr>
          <w:rFonts w:hint="eastAsia" w:ascii="仿宋" w:hAnsi="仿宋" w:eastAsia="仿宋" w:cs="仿宋"/>
          <w:b/>
          <w:bCs/>
          <w:color w:val="000000" w:themeColor="text1"/>
          <w:sz w:val="32"/>
          <w:szCs w:val="32"/>
          <w14:textFill>
            <w14:solidFill>
              <w14:schemeClr w14:val="tx1"/>
            </w14:solidFill>
          </w14:textFill>
        </w:rPr>
        <w:t>项目自评得分为</w:t>
      </w:r>
      <w:r>
        <w:rPr>
          <w:rFonts w:hint="eastAsia" w:ascii="仿宋" w:hAnsi="仿宋" w:eastAsia="仿宋" w:cs="仿宋"/>
          <w:b/>
          <w:bCs/>
          <w:color w:val="000000" w:themeColor="text1"/>
          <w:sz w:val="32"/>
          <w:szCs w:val="32"/>
          <w:lang w:val="en-US" w:eastAsia="zh-CN"/>
          <w14:textFill>
            <w14:solidFill>
              <w14:schemeClr w14:val="tx1"/>
            </w14:solidFill>
          </w14:textFill>
        </w:rPr>
        <w:t>100</w:t>
      </w:r>
      <w:r>
        <w:rPr>
          <w:rFonts w:hint="eastAsia" w:ascii="仿宋" w:hAnsi="仿宋" w:eastAsia="仿宋" w:cs="仿宋"/>
          <w:b/>
          <w:bCs/>
          <w:color w:val="000000" w:themeColor="text1"/>
          <w:sz w:val="32"/>
          <w:szCs w:val="32"/>
          <w14:textFill>
            <w14:solidFill>
              <w14:schemeClr w14:val="tx1"/>
            </w14:solidFill>
          </w14:textFill>
        </w:rPr>
        <w:t>分。</w:t>
      </w:r>
    </w:p>
    <w:p>
      <w:pPr>
        <w:pStyle w:val="6"/>
        <w:keepNext w:val="0"/>
        <w:keepLines w:val="0"/>
        <w:pageBreakBefore w:val="0"/>
        <w:shd w:val="clear" w:fill="FFFFFF" w:themeFill="background1"/>
        <w:kinsoku/>
        <w:wordWrap/>
        <w:overflowPunct/>
        <w:topLinePunct w:val="0"/>
        <w:bidi w:val="0"/>
        <w:snapToGrid/>
        <w:spacing w:line="240" w:lineRule="auto"/>
        <w:ind w:firstLine="643" w:firstLineChars="200"/>
        <w:jc w:val="both"/>
        <w:rPr>
          <w:rFonts w:hint="default" w:ascii="Times New Roman" w:hAnsi="Times New Roman" w:eastAsia="仿宋" w:cs="Times New Roman"/>
          <w:b w:val="0"/>
          <w:bCs w:val="0"/>
          <w:kern w:val="2"/>
          <w:sz w:val="30"/>
          <w:szCs w:val="30"/>
          <w:lang w:val="en-US" w:eastAsia="zh-CN" w:bidi="ar-SA"/>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（3）</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37个村级综治视联网建设经费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w:t>
      </w:r>
      <w:r>
        <w:rPr>
          <w:rFonts w:hint="eastAsia" w:ascii="仿宋" w:hAnsi="仿宋" w:eastAsia="仿宋" w:cs="仿宋"/>
          <w:b/>
          <w:bCs/>
          <w:color w:val="000000" w:themeColor="text1"/>
          <w:sz w:val="32"/>
          <w:szCs w:val="32"/>
          <w14:textFill>
            <w14:solidFill>
              <w14:schemeClr w14:val="tx1"/>
            </w14:solidFill>
          </w14:textFill>
        </w:rPr>
        <w:t>自评得分为</w:t>
      </w:r>
      <w:r>
        <w:rPr>
          <w:rFonts w:hint="eastAsia" w:ascii="仿宋" w:hAnsi="仿宋" w:eastAsia="仿宋" w:cs="仿宋"/>
          <w:b/>
          <w:bCs/>
          <w:color w:val="000000" w:themeColor="text1"/>
          <w:sz w:val="32"/>
          <w:szCs w:val="32"/>
          <w:lang w:val="en-US" w:eastAsia="zh-CN"/>
          <w14:textFill>
            <w14:solidFill>
              <w14:schemeClr w14:val="tx1"/>
            </w14:solidFill>
          </w14:textFill>
        </w:rPr>
        <w:t>90</w:t>
      </w:r>
      <w:r>
        <w:rPr>
          <w:rFonts w:hint="eastAsia" w:ascii="仿宋" w:hAnsi="仿宋" w:eastAsia="仿宋" w:cs="仿宋"/>
          <w:b/>
          <w:bCs/>
          <w:color w:val="000000" w:themeColor="text1"/>
          <w:sz w:val="32"/>
          <w:szCs w:val="32"/>
          <w14:textFill>
            <w14:solidFill>
              <w14:schemeClr w14:val="tx1"/>
            </w14:solidFill>
          </w14:textFill>
        </w:rPr>
        <w:t>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pStyle w:val="6"/>
        <w:keepNext w:val="0"/>
        <w:keepLines w:val="0"/>
        <w:pageBreakBefore w:val="0"/>
        <w:shd w:val="clear" w:fill="FFFFFF" w:themeFill="background1"/>
        <w:kinsoku/>
        <w:wordWrap/>
        <w:overflowPunct/>
        <w:topLinePunct w:val="0"/>
        <w:bidi w:val="0"/>
        <w:snapToGrid/>
        <w:spacing w:line="240" w:lineRule="auto"/>
        <w:ind w:firstLine="643" w:firstLineChars="200"/>
        <w:jc w:val="both"/>
        <w:rPr>
          <w:rFonts w:hint="eastAsia" w:ascii="Times New Roman" w:hAnsi="Times New Roman" w:eastAsia="仿宋" w:cs="Times New Roman"/>
          <w:b w:val="0"/>
          <w:bCs w:val="0"/>
          <w:kern w:val="2"/>
          <w:sz w:val="30"/>
          <w:szCs w:val="30"/>
          <w:lang w:val="en-US" w:eastAsia="zh-CN" w:bidi="ar-SA"/>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（4）</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2022年综治、维稳和反邪教经费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项目自评得分为99.39分。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pStyle w:val="6"/>
        <w:keepNext w:val="0"/>
        <w:keepLines w:val="0"/>
        <w:pageBreakBefore w:val="0"/>
        <w:numPr>
          <w:ilvl w:val="0"/>
          <w:numId w:val="4"/>
        </w:numPr>
        <w:shd w:val="clear" w:fill="FFFFFF" w:themeFill="background1"/>
        <w:kinsoku/>
        <w:wordWrap/>
        <w:overflowPunct/>
        <w:topLinePunct w:val="0"/>
        <w:bidi w:val="0"/>
        <w:snapToGrid/>
        <w:spacing w:line="240" w:lineRule="auto"/>
        <w:ind w:firstLine="643" w:firstLineChars="200"/>
        <w:jc w:val="both"/>
        <w:rPr>
          <w:rFonts w:hint="eastAsia" w:ascii="Times New Roman" w:hAnsi="Times New Roman" w:eastAsia="仿宋" w:cs="Times New Roman"/>
          <w:b w:val="0"/>
          <w:bCs w:val="0"/>
          <w:kern w:val="2"/>
          <w:sz w:val="30"/>
          <w:szCs w:val="30"/>
          <w:lang w:val="en-US" w:eastAsia="zh-CN" w:bidi="ar-SA"/>
        </w:rPr>
      </w:pP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党的二十大维稳安保信访专项工作经费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项目自评得分为96.38分。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pStyle w:val="6"/>
        <w:keepNext w:val="0"/>
        <w:keepLines w:val="0"/>
        <w:pageBreakBefore w:val="0"/>
        <w:numPr>
          <w:ilvl w:val="0"/>
          <w:numId w:val="0"/>
        </w:numPr>
        <w:shd w:val="clear" w:fill="FFFFFF" w:themeFill="background1"/>
        <w:kinsoku/>
        <w:wordWrap/>
        <w:overflowPunct/>
        <w:topLinePunct w:val="0"/>
        <w:bidi w:val="0"/>
        <w:snapToGrid/>
        <w:spacing w:line="240" w:lineRule="auto"/>
        <w:ind w:firstLine="643" w:firstLineChars="200"/>
        <w:jc w:val="both"/>
        <w:rPr>
          <w:rFonts w:hint="default" w:ascii="Times New Roman" w:hAnsi="Times New Roman" w:eastAsia="仿宋" w:cs="Times New Roman"/>
          <w:b w:val="0"/>
          <w:bCs w:val="0"/>
          <w:kern w:val="2"/>
          <w:sz w:val="30"/>
          <w:szCs w:val="30"/>
          <w:lang w:val="en-US" w:eastAsia="zh-CN" w:bidi="ar-SA"/>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（6）</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2021年度村级综治视联网建设经费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项目自评得分为92.66分。</w:t>
      </w:r>
      <w:r>
        <w:rPr>
          <w:rFonts w:hint="eastAsia" w:ascii="Times New Roman" w:hAnsi="Times New Roman" w:eastAsia="仿宋" w:cs="Times New Roman"/>
          <w:b w:val="0"/>
          <w:bCs w:val="0"/>
          <w:kern w:val="2"/>
          <w:sz w:val="30"/>
          <w:szCs w:val="30"/>
          <w:lang w:val="en-US" w:eastAsia="zh-CN" w:bidi="ar-SA"/>
        </w:rPr>
        <w:t>发现的主要问题及原因：预算执行率比较低，预算资金不足（短收）。下一步改进措施：待资金允许时支付。</w:t>
      </w:r>
    </w:p>
    <w:p>
      <w:pPr>
        <w:keepNext w:val="0"/>
        <w:keepLines w:val="0"/>
        <w:pageBreakBefore w:val="0"/>
        <w:numPr>
          <w:ilvl w:val="0"/>
          <w:numId w:val="0"/>
        </w:numPr>
        <w:kinsoku/>
        <w:wordWrap/>
        <w:overflowPunct/>
        <w:topLinePunct w:val="0"/>
        <w:bidi w:val="0"/>
        <w:snapToGrid/>
        <w:spacing w:line="240" w:lineRule="auto"/>
        <w:ind w:firstLine="643" w:firstLineChars="200"/>
        <w:rPr>
          <w:rFonts w:hint="eastAsia" w:ascii="Times New Roman" w:hAnsi="Times New Roman" w:eastAsia="仿宋" w:cs="Times New Roman"/>
          <w:b w:val="0"/>
          <w:bCs w:val="0"/>
          <w:kern w:val="2"/>
          <w:sz w:val="30"/>
          <w:szCs w:val="30"/>
          <w:lang w:val="en-US" w:eastAsia="zh-CN" w:bidi="ar-SA"/>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（7）</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解决自治县党委政法委机关改善办公条件经费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项目自评得分为90分。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pStyle w:val="6"/>
        <w:keepNext w:val="0"/>
        <w:keepLines w:val="0"/>
        <w:pageBreakBefore w:val="0"/>
        <w:kinsoku/>
        <w:wordWrap/>
        <w:overflowPunct/>
        <w:topLinePunct w:val="0"/>
        <w:bidi w:val="0"/>
        <w:snapToGrid/>
        <w:spacing w:line="240" w:lineRule="auto"/>
        <w:jc w:val="both"/>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lang w:val="en-US" w:eastAsia="zh-CN"/>
        </w:rPr>
        <w:t xml:space="preserve"> </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  （8）</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2022年法学会经费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项目自评得分为96.5分。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pStyle w:val="6"/>
        <w:keepNext w:val="0"/>
        <w:keepLines w:val="0"/>
        <w:pageBreakBefore w:val="0"/>
        <w:kinsoku/>
        <w:wordWrap/>
        <w:overflowPunct/>
        <w:topLinePunct w:val="0"/>
        <w:bidi w:val="0"/>
        <w:snapToGrid/>
        <w:spacing w:line="240" w:lineRule="auto"/>
        <w:jc w:val="both"/>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  （9）“安居乡村”百姓天网工程经费项目自评得分为90分。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keepNext w:val="0"/>
        <w:keepLines w:val="0"/>
        <w:pageBreakBefore w:val="0"/>
        <w:numPr>
          <w:ilvl w:val="0"/>
          <w:numId w:val="0"/>
        </w:numPr>
        <w:kinsoku/>
        <w:wordWrap/>
        <w:overflowPunct/>
        <w:topLinePunct w:val="0"/>
        <w:bidi w:val="0"/>
        <w:snapToGrid/>
        <w:spacing w:line="240" w:lineRule="auto"/>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   （10）</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国家安全人民防线经费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自评得分为96.34分。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keepNext w:val="0"/>
        <w:keepLines w:val="0"/>
        <w:pageBreakBefore w:val="0"/>
        <w:numPr>
          <w:ilvl w:val="0"/>
          <w:numId w:val="0"/>
        </w:numPr>
        <w:kinsoku/>
        <w:wordWrap/>
        <w:overflowPunct/>
        <w:topLinePunct w:val="0"/>
        <w:bidi w:val="0"/>
        <w:snapToGrid/>
        <w:spacing w:line="240" w:lineRule="auto"/>
        <w:ind w:firstLine="321" w:firstLineChars="100"/>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（11）</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2022年政法业务费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自评得分为90分。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keepNext w:val="0"/>
        <w:keepLines w:val="0"/>
        <w:pageBreakBefore w:val="0"/>
        <w:numPr>
          <w:ilvl w:val="0"/>
          <w:numId w:val="0"/>
        </w:numPr>
        <w:kinsoku/>
        <w:wordWrap/>
        <w:overflowPunct/>
        <w:topLinePunct w:val="0"/>
        <w:bidi w:val="0"/>
        <w:snapToGrid/>
        <w:spacing w:line="240" w:lineRule="auto"/>
        <w:ind w:firstLine="321" w:firstLineChars="100"/>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（12）</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2022年县、乡、村综治中心建设经费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自评得分为90分。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keepNext w:val="0"/>
        <w:keepLines w:val="0"/>
        <w:pageBreakBefore w:val="0"/>
        <w:numPr>
          <w:ilvl w:val="0"/>
          <w:numId w:val="0"/>
        </w:numPr>
        <w:kinsoku/>
        <w:wordWrap/>
        <w:overflowPunct/>
        <w:topLinePunct w:val="0"/>
        <w:bidi w:val="0"/>
        <w:snapToGrid/>
        <w:spacing w:line="240" w:lineRule="auto"/>
        <w:ind w:firstLine="321" w:firstLineChars="100"/>
        <w:rPr>
          <w:rFonts w:hint="default"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（13）</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2022年广西综治信息平台运维费用</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自评得分为90分。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keepNext w:val="0"/>
        <w:keepLines w:val="0"/>
        <w:pageBreakBefore w:val="0"/>
        <w:numPr>
          <w:ilvl w:val="0"/>
          <w:numId w:val="0"/>
        </w:numPr>
        <w:kinsoku/>
        <w:wordWrap/>
        <w:overflowPunct/>
        <w:topLinePunct w:val="0"/>
        <w:bidi w:val="0"/>
        <w:snapToGrid/>
        <w:spacing w:line="240" w:lineRule="auto"/>
        <w:ind w:firstLine="321" w:firstLineChars="100"/>
        <w:rPr>
          <w:rFonts w:hint="eastAsia" w:ascii="Times New Roman" w:hAnsi="Times New Roman" w:eastAsia="仿宋" w:cs="Times New Roman"/>
          <w:b w:val="0"/>
          <w:bCs w:val="0"/>
          <w:kern w:val="2"/>
          <w:sz w:val="30"/>
          <w:szCs w:val="30"/>
          <w:lang w:val="en-US" w:eastAsia="zh-CN" w:bidi="ar-SA"/>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（14）</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2022年党支部组织生活经费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自评得分为99.47分。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p>
    <w:p>
      <w:pPr>
        <w:pStyle w:val="6"/>
        <w:keepNext w:val="0"/>
        <w:keepLines w:val="0"/>
        <w:pageBreakBefore w:val="0"/>
        <w:numPr>
          <w:ilvl w:val="0"/>
          <w:numId w:val="0"/>
        </w:numPr>
        <w:shd w:val="clear" w:fill="FFFFFF" w:themeFill="background1"/>
        <w:kinsoku/>
        <w:wordWrap/>
        <w:overflowPunct/>
        <w:topLinePunct w:val="0"/>
        <w:bidi w:val="0"/>
        <w:snapToGrid/>
        <w:spacing w:line="240" w:lineRule="auto"/>
        <w:ind w:firstLine="643" w:firstLineChars="200"/>
        <w:jc w:val="both"/>
        <w:rPr>
          <w:rFonts w:hint="eastAsia" w:ascii="Times New Roman" w:hAnsi="Times New Roman" w:eastAsia="仿宋" w:cs="Times New Roman"/>
          <w:b w:val="0"/>
          <w:bCs w:val="0"/>
          <w:kern w:val="2"/>
          <w:sz w:val="30"/>
          <w:szCs w:val="30"/>
          <w:lang w:val="en-US" w:eastAsia="zh-CN" w:bidi="ar-SA"/>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（15）</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2022年法制宣传经费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自评得分为94.77分。</w:t>
      </w:r>
      <w:r>
        <w:rPr>
          <w:rFonts w:hint="eastAsia" w:ascii="Times New Roman" w:hAnsi="Times New Roman" w:eastAsia="仿宋" w:cs="Times New Roman"/>
          <w:b w:val="0"/>
          <w:bCs w:val="0"/>
          <w:kern w:val="2"/>
          <w:sz w:val="30"/>
          <w:szCs w:val="30"/>
          <w:lang w:val="en-US" w:eastAsia="zh-CN" w:bidi="ar-SA"/>
        </w:rPr>
        <w:t>发现的主要问题及原因：预算执行率比较低，预算资金不足（短收）。下一步改进措施：待资金允许时支付。</w:t>
      </w:r>
    </w:p>
    <w:p>
      <w:pPr>
        <w:keepNext w:val="0"/>
        <w:keepLines w:val="0"/>
        <w:pageBreakBefore w:val="0"/>
        <w:numPr>
          <w:ilvl w:val="0"/>
          <w:numId w:val="0"/>
        </w:numPr>
        <w:kinsoku/>
        <w:wordWrap/>
        <w:overflowPunct/>
        <w:topLinePunct w:val="0"/>
        <w:bidi w:val="0"/>
        <w:snapToGrid/>
        <w:spacing w:line="240" w:lineRule="auto"/>
        <w:ind w:firstLine="300" w:firstLineChars="100"/>
        <w:rPr>
          <w:rFonts w:hint="eastAsia" w:ascii="仿宋" w:hAnsi="仿宋" w:eastAsia="仿宋" w:cs="仿宋"/>
          <w:sz w:val="32"/>
          <w:szCs w:val="32"/>
          <w:highlight w:val="none"/>
        </w:rPr>
      </w:pPr>
      <w:r>
        <w:rPr>
          <w:rFonts w:hint="eastAsia" w:ascii="Times New Roman" w:hAnsi="Times New Roman" w:eastAsia="仿宋" w:cs="Times New Roman"/>
          <w:b w:val="0"/>
          <w:bCs w:val="0"/>
          <w:kern w:val="2"/>
          <w:sz w:val="30"/>
          <w:szCs w:val="30"/>
          <w:lang w:val="en-US" w:eastAsia="zh-CN" w:bidi="ar-SA"/>
        </w:rPr>
        <w:t xml:space="preserve"> </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  （16）</w:t>
      </w:r>
      <w:r>
        <w:rPr>
          <w:rFonts w:hint="default" w:ascii="仿宋" w:hAnsi="仿宋" w:eastAsia="仿宋" w:cs="仿宋"/>
          <w:b/>
          <w:bCs/>
          <w:color w:val="000000" w:themeColor="text1"/>
          <w:kern w:val="2"/>
          <w:sz w:val="32"/>
          <w:szCs w:val="32"/>
          <w:lang w:val="en-US" w:eastAsia="zh-CN" w:bidi="ar-SA"/>
          <w14:textFill>
            <w14:solidFill>
              <w14:schemeClr w14:val="tx1"/>
            </w14:solidFill>
          </w14:textFill>
        </w:rPr>
        <w:t>2022年驻京驻邕劝返维稳工作经费</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自评得分为98.08分。</w:t>
      </w:r>
      <w:r>
        <w:rPr>
          <w:rFonts w:hint="eastAsia" w:ascii="Times New Roman" w:hAnsi="Times New Roman" w:eastAsia="仿宋" w:cs="Times New Roman"/>
          <w:b w:val="0"/>
          <w:bCs w:val="0"/>
          <w:kern w:val="2"/>
          <w:sz w:val="30"/>
          <w:szCs w:val="30"/>
          <w:lang w:val="en-US" w:eastAsia="zh-CN" w:bidi="ar-SA"/>
        </w:rPr>
        <w:t>发现的主要问题及原因：</w:t>
      </w:r>
      <w:r>
        <w:rPr>
          <w:rFonts w:hint="default" w:ascii="Times New Roman" w:hAnsi="Times New Roman" w:eastAsia="仿宋" w:cs="Times New Roman"/>
          <w:b w:val="0"/>
          <w:bCs w:val="0"/>
          <w:kern w:val="2"/>
          <w:sz w:val="30"/>
          <w:szCs w:val="30"/>
          <w:lang w:val="en-US" w:eastAsia="zh-CN" w:bidi="ar-SA"/>
        </w:rPr>
        <w:t>项目绩效目标设置有待规范</w:t>
      </w:r>
      <w:r>
        <w:rPr>
          <w:rFonts w:hint="eastAsia" w:ascii="Times New Roman" w:hAnsi="Times New Roman" w:eastAsia="仿宋" w:cs="Times New Roman"/>
          <w:b w:val="0"/>
          <w:bCs w:val="0"/>
          <w:kern w:val="2"/>
          <w:sz w:val="30"/>
          <w:szCs w:val="30"/>
          <w:lang w:val="en-US" w:eastAsia="zh-CN" w:bidi="ar-SA"/>
        </w:rPr>
        <w:t>。</w:t>
      </w:r>
      <w:r>
        <w:rPr>
          <w:rFonts w:hint="default" w:ascii="Times New Roman" w:hAnsi="Times New Roman" w:eastAsia="仿宋" w:cs="Times New Roman"/>
          <w:b w:val="0"/>
          <w:bCs w:val="0"/>
          <w:kern w:val="2"/>
          <w:sz w:val="30"/>
          <w:szCs w:val="30"/>
          <w:lang w:val="en-US" w:eastAsia="zh-CN" w:bidi="ar-SA"/>
        </w:rPr>
        <w:t>预算绩效目标管理存在不足，导致存在绩效指标设置不够全面、规范等问题。</w:t>
      </w:r>
      <w:r>
        <w:rPr>
          <w:rFonts w:hint="eastAsia" w:ascii="Times New Roman" w:hAnsi="Times New Roman" w:eastAsia="仿宋" w:cs="Times New Roman"/>
          <w:b w:val="0"/>
          <w:bCs w:val="0"/>
          <w:kern w:val="2"/>
          <w:sz w:val="30"/>
          <w:szCs w:val="30"/>
          <w:lang w:val="en-US" w:eastAsia="zh-CN" w:bidi="ar-SA"/>
        </w:rPr>
        <w:t>下一步改进措施：</w:t>
      </w:r>
      <w:r>
        <w:rPr>
          <w:rFonts w:hint="default" w:ascii="Times New Roman" w:hAnsi="Times New Roman" w:eastAsia="仿宋" w:cs="Times New Roman"/>
          <w:b w:val="0"/>
          <w:bCs w:val="0"/>
          <w:kern w:val="2"/>
          <w:sz w:val="30"/>
          <w:szCs w:val="30"/>
          <w:lang w:val="en-US" w:eastAsia="zh-CN" w:bidi="ar-SA"/>
        </w:rPr>
        <w:t>强化项目绩效目标管理，提高绩效目标设置质量</w:t>
      </w:r>
      <w:r>
        <w:rPr>
          <w:rFonts w:hint="eastAsia" w:ascii="Times New Roman" w:hAnsi="Times New Roman" w:eastAsia="仿宋" w:cs="Times New Roman"/>
          <w:b w:val="0"/>
          <w:bCs w:val="0"/>
          <w:kern w:val="2"/>
          <w:sz w:val="30"/>
          <w:szCs w:val="30"/>
          <w:lang w:val="en-US" w:eastAsia="zh-CN" w:bidi="ar-SA"/>
        </w:rPr>
        <w:t>。</w:t>
      </w:r>
      <w:bookmarkStart w:id="18" w:name="_GoBack"/>
      <w:bookmarkEnd w:id="18"/>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16BAB2A3"/>
    <w:multiLevelType w:val="singleLevel"/>
    <w:tmpl w:val="16BAB2A3"/>
    <w:lvl w:ilvl="0" w:tentative="0">
      <w:start w:val="5"/>
      <w:numFmt w:val="decimal"/>
      <w:suff w:val="nothing"/>
      <w:lvlText w:val="（%1）"/>
      <w:lvlJc w:val="left"/>
    </w:lvl>
  </w:abstractNum>
  <w:abstractNum w:abstractNumId="3">
    <w:nsid w:val="340C3D19"/>
    <w:multiLevelType w:val="singleLevel"/>
    <w:tmpl w:val="340C3D19"/>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6BB3C31"/>
    <w:rsid w:val="371E78D5"/>
    <w:rsid w:val="38A951DB"/>
    <w:rsid w:val="38B31605"/>
    <w:rsid w:val="39003F4F"/>
    <w:rsid w:val="3A624015"/>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58D19CA"/>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qFormat/>
    <w:uiPriority w:val="0"/>
    <w:pPr>
      <w:spacing w:before="240" w:after="60"/>
      <w:jc w:val="center"/>
      <w:outlineLvl w:val="0"/>
    </w:pPr>
    <w:rPr>
      <w:rFonts w:ascii="Cambria" w:hAnsi="Cambria" w:eastAsia="宋体"/>
      <w:b/>
      <w:bCs/>
      <w:sz w:val="32"/>
      <w:szCs w:val="32"/>
    </w:r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691.61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3.39</c:v>
                </c:pt>
                <c:pt idx="5">
                  <c:v>0</c:v>
                </c:pt>
                <c:pt idx="6">
                  <c:v>0</c:v>
                </c:pt>
                <c:pt idx="7">
                  <c:v>0</c:v>
                </c:pt>
                <c:pt idx="8">
                  <c:v>0.02</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公共安全支出</c:v>
                </c:pt>
                <c:pt idx="2">
                  <c:v>社会保障和就业支出</c:v>
                </c:pt>
                <c:pt idx="3">
                  <c:v>住房保障支出</c:v>
                </c:pt>
                <c:pt idx="4">
                  <c:v>其他支出</c:v>
                </c:pt>
              </c:strCache>
            </c:strRef>
          </c:cat>
          <c:val>
            <c:numRef>
              <c:f>Sheet1!$B$2:$B$6</c:f>
              <c:numCache>
                <c:formatCode>General</c:formatCode>
                <c:ptCount val="5"/>
                <c:pt idx="0">
                  <c:v>242.94</c:v>
                </c:pt>
                <c:pt idx="1">
                  <c:v>4.6</c:v>
                </c:pt>
                <c:pt idx="2">
                  <c:v>22.53</c:v>
                </c:pt>
                <c:pt idx="3">
                  <c:v>18.85</c:v>
                </c:pt>
                <c:pt idx="4">
                  <c:v>52.33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公共安全支出</c:v>
                </c:pt>
                <c:pt idx="2">
                  <c:v>社会保障和就业支出</c:v>
                </c:pt>
                <c:pt idx="3">
                  <c:v>住房保障支出</c:v>
                </c:pt>
                <c:pt idx="4">
                  <c:v>其他支出</c:v>
                </c:pt>
              </c:strCache>
            </c:strRef>
          </c:cat>
          <c:val>
            <c:numRef>
              <c:f>Sheet1!$C$2:$C$6</c:f>
              <c:numCache>
                <c:formatCode>General</c:formatCode>
                <c:ptCount val="5"/>
                <c:pt idx="0">
                  <c:v>597.93</c:v>
                </c:pt>
                <c:pt idx="1">
                  <c:v>2.76</c:v>
                </c:pt>
                <c:pt idx="2">
                  <c:v>25.33</c:v>
                </c:pt>
                <c:pt idx="3">
                  <c:v>21.03</c:v>
                </c:pt>
                <c:pt idx="4">
                  <c:v>44.56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2011301</c:v>
                </c:pt>
                <c:pt idx="1">
                  <c:v>2012999</c:v>
                </c:pt>
                <c:pt idx="2">
                  <c:v>2013601</c:v>
                </c:pt>
                <c:pt idx="3">
                  <c:v>2013699</c:v>
                </c:pt>
                <c:pt idx="4">
                  <c:v>201x</c:v>
                </c:pt>
              </c:strCache>
            </c:strRef>
          </c:cat>
          <c:val>
            <c:numRef>
              <c:f>Sheet1!$B$2:$B$6</c:f>
              <c:numCache>
                <c:formatCode>General</c:formatCode>
                <c:ptCount val="5"/>
                <c:pt idx="0">
                  <c:v>0.93</c:v>
                </c:pt>
                <c:pt idx="1">
                  <c:v>3.4</c:v>
                </c:pt>
                <c:pt idx="2">
                  <c:v>274.65</c:v>
                </c:pt>
                <c:pt idx="3">
                  <c:v>318.94</c:v>
                </c:pt>
                <c:pt idx="4">
                  <c:v>597.93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公共安全支出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2040201</c:v>
                </c:pt>
                <c:pt idx="1">
                  <c:v>2049999</c:v>
                </c:pt>
                <c:pt idx="2">
                  <c:v>204x</c:v>
                </c:pt>
              </c:strCache>
            </c:strRef>
          </c:cat>
          <c:val>
            <c:numRef>
              <c:f>Sheet1!$B$2:$B$4</c:f>
              <c:numCache>
                <c:formatCode>General</c:formatCode>
                <c:ptCount val="3"/>
                <c:pt idx="0">
                  <c:v>0.36</c:v>
                </c:pt>
                <c:pt idx="1">
                  <c:v>2.4</c:v>
                </c:pt>
                <c:pt idx="2">
                  <c:v>2.76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25.33</c:v>
                </c:pt>
                <c:pt idx="1">
                  <c:v>25.33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21.03</c:v>
                </c:pt>
                <c:pt idx="1">
                  <c:v>21.03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44.56</c:v>
                </c:pt>
                <c:pt idx="1">
                  <c:v>44.56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70.37</c:v>
                </c:pt>
                <c:pt idx="1">
                  <c:v>46.34</c:v>
                </c:pt>
                <c:pt idx="2">
                  <c:v>62.92</c:v>
                </c:pt>
                <c:pt idx="3">
                  <c:v>3</c:v>
                </c:pt>
                <c:pt idx="4">
                  <c:v>6.66</c:v>
                </c:pt>
                <c:pt idx="5">
                  <c:v>24.2</c:v>
                </c:pt>
                <c:pt idx="6">
                  <c:v>0</c:v>
                </c:pt>
                <c:pt idx="7">
                  <c:v>9.84</c:v>
                </c:pt>
                <c:pt idx="8">
                  <c:v>0</c:v>
                </c:pt>
                <c:pt idx="9">
                  <c:v>3.02</c:v>
                </c:pt>
                <c:pt idx="10">
                  <c:v>21.03</c:v>
                </c:pt>
                <c:pt idx="11">
                  <c:v>0</c:v>
                </c:pt>
                <c:pt idx="12">
                  <c:v>8.94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1.82</c:v>
                </c:pt>
                <c:pt idx="1">
                  <c:v>0</c:v>
                </c:pt>
                <c:pt idx="2">
                  <c:v>0</c:v>
                </c:pt>
                <c:pt idx="3">
                  <c:v>0</c:v>
                </c:pt>
                <c:pt idx="4">
                  <c:v>0.04</c:v>
                </c:pt>
                <c:pt idx="5">
                  <c:v>0.05</c:v>
                </c:pt>
                <c:pt idx="6">
                  <c:v>2.45</c:v>
                </c:pt>
                <c:pt idx="7">
                  <c:v>0</c:v>
                </c:pt>
                <c:pt idx="8">
                  <c:v>0</c:v>
                </c:pt>
                <c:pt idx="9">
                  <c:v>2.25</c:v>
                </c:pt>
                <c:pt idx="10">
                  <c:v>0</c:v>
                </c:pt>
                <c:pt idx="11">
                  <c:v>0.02</c:v>
                </c:pt>
                <c:pt idx="12">
                  <c:v>0</c:v>
                </c:pt>
                <c:pt idx="13">
                  <c:v>0</c:v>
                </c:pt>
                <c:pt idx="14">
                  <c:v>0</c:v>
                </c:pt>
                <c:pt idx="15">
                  <c:v>0</c:v>
                </c:pt>
                <c:pt idx="16">
                  <c:v>0</c:v>
                </c:pt>
                <c:pt idx="17">
                  <c:v>0</c:v>
                </c:pt>
                <c:pt idx="18">
                  <c:v>0</c:v>
                </c:pt>
                <c:pt idx="19">
                  <c:v>0</c:v>
                </c:pt>
                <c:pt idx="20">
                  <c:v>0</c:v>
                </c:pt>
                <c:pt idx="21">
                  <c:v>3.4</c:v>
                </c:pt>
                <c:pt idx="22">
                  <c:v>0</c:v>
                </c:pt>
                <c:pt idx="23">
                  <c:v>0</c:v>
                </c:pt>
                <c:pt idx="24">
                  <c:v>11.16</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2023-11-29T03:24:48Z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