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环江毛南族自治县司法局</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环江毛南族自治县司法局</w:t>
      </w:r>
      <w:r>
        <w:rPr>
          <w:rFonts w:hint="eastAsia" w:ascii="黑体" w:hAnsi="黑体" w:eastAsia="黑体" w:cs="黑体"/>
          <w:sz w:val="32"/>
          <w:szCs w:val="32"/>
          <w:highlight w:val="none"/>
        </w:rPr>
        <w:t>概况</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一、主要职能</w:t>
      </w:r>
      <w:r>
        <w:rPr>
          <w:rFonts w:hint="eastAsia" w:ascii="仿宋" w:hAnsi="仿宋" w:eastAsia="仿宋" w:cs="仿宋"/>
          <w:sz w:val="32"/>
          <w:szCs w:val="32"/>
          <w:highlight w:val="none"/>
          <w:lang w:val="en-US" w:eastAsia="zh-CN"/>
        </w:rPr>
        <w:t xml:space="preserve"> </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val="en-US" w:eastAsia="zh-CN"/>
        </w:rPr>
        <w:t>环江毛南族自治县司法局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val="en-US" w:eastAsia="zh-CN"/>
        </w:rPr>
        <w:t>环江毛南族自治县司法局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val="en-US" w:eastAsia="zh-CN"/>
        </w:rPr>
        <w:t>环江毛南族自治县司法局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贯彻执行国家司法行政工作的方针、政策和法律、法规规定的工作职责，研究制定全县司法行政工作的中长期发展规划、年度工作计划并组织实施。</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拟订本县普法依法治理工作规划报党委、政府通过后组织实施，承担县依法治县领导小组办公室的日常工作。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指导管理全县基层司法所、人民调解和基层法律服务工作，参与重大疑难民间纠纷调解处理工作。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指导、监督、管理全县社区矫正工作，承担县社区矫正工作领导小组办公室的日常工作。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指导管理全县刑释解教人员的安置帮教工作，承担县刑释解教人员安置帮教工作领导小组办公室的日常工作。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指导管理全县公证机构和公证业务工作。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7、</w:t>
      </w:r>
      <w:r>
        <w:rPr>
          <w:rFonts w:hint="eastAsia" w:ascii="仿宋_GB2312" w:eastAsia="仿宋_GB2312" w:cs="Times New Roman"/>
          <w:sz w:val="32"/>
          <w:szCs w:val="32"/>
        </w:rPr>
        <w:t>指导管理全县律师和律师事务所的工作。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8、</w:t>
      </w:r>
      <w:r>
        <w:rPr>
          <w:rFonts w:hint="eastAsia" w:ascii="仿宋_GB2312" w:eastAsia="仿宋_GB2312" w:cs="Times New Roman"/>
          <w:sz w:val="32"/>
          <w:szCs w:val="32"/>
        </w:rPr>
        <w:t>指导管理全县法律援助工作。　　</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9、</w:t>
      </w:r>
      <w:r>
        <w:rPr>
          <w:rFonts w:hint="eastAsia" w:ascii="仿宋_GB2312" w:eastAsia="仿宋_GB2312" w:cs="Times New Roman"/>
          <w:sz w:val="32"/>
          <w:szCs w:val="32"/>
        </w:rPr>
        <w:t>指导管理全县面向社会服务的司法鉴定工作。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10、</w:t>
      </w:r>
      <w:r>
        <w:rPr>
          <w:rFonts w:hint="eastAsia" w:ascii="仿宋_GB2312" w:eastAsia="仿宋_GB2312" w:cs="Times New Roman"/>
          <w:sz w:val="32"/>
          <w:szCs w:val="32"/>
        </w:rPr>
        <w:t>参与地方性法规、规章的草拟工作，管理系统内部法制建设，承担司法行政应诉工作。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11、</w:t>
      </w:r>
      <w:r>
        <w:rPr>
          <w:rFonts w:hint="eastAsia" w:ascii="仿宋_GB2312" w:eastAsia="仿宋_GB2312" w:cs="Times New Roman"/>
          <w:sz w:val="32"/>
          <w:szCs w:val="32"/>
        </w:rPr>
        <w:t>负责全县司法行政系统的队伍建设和思想政治工作，管理机关和直属单位的人事工作，负责全县司法行政系统警务管理和警务督察工作。</w:t>
      </w:r>
    </w:p>
    <w:p>
      <w:pPr>
        <w:ind w:left="645"/>
        <w:rPr>
          <w:rFonts w:hint="eastAsia" w:ascii="仿宋_GB2312" w:eastAsia="仿宋_GB2312" w:cs="Times New Roman"/>
          <w:sz w:val="32"/>
          <w:szCs w:val="32"/>
        </w:rPr>
      </w:pPr>
      <w:r>
        <w:rPr>
          <w:rFonts w:hint="eastAsia" w:ascii="仿宋_GB2312" w:eastAsia="仿宋_GB2312" w:cs="Times New Roman"/>
          <w:sz w:val="32"/>
          <w:szCs w:val="32"/>
          <w:lang w:val="en-US" w:eastAsia="zh-CN"/>
        </w:rPr>
        <w:t>12、</w:t>
      </w:r>
      <w:r>
        <w:rPr>
          <w:rFonts w:hint="eastAsia" w:ascii="仿宋_GB2312" w:eastAsia="仿宋_GB2312" w:cs="Times New Roman"/>
          <w:sz w:val="32"/>
          <w:szCs w:val="32"/>
        </w:rPr>
        <w:t>承办县人民政府和上级业务主管部门交办的其他工作事项。</w:t>
      </w:r>
    </w:p>
    <w:p>
      <w:pPr>
        <w:jc w:val="left"/>
        <w:rPr>
          <w:rFonts w:hint="eastAsia" w:ascii="仿宋_GB2312" w:eastAsia="仿宋_GB2312" w:cs="Times New Roman"/>
          <w:sz w:val="32"/>
          <w:szCs w:val="32"/>
        </w:rPr>
      </w:pPr>
      <w:r>
        <w:rPr>
          <w:rFonts w:hint="eastAsia" w:ascii="仿宋_GB2312" w:eastAsia="仿宋_GB2312" w:cs="Times New Roman"/>
          <w:sz w:val="32"/>
          <w:szCs w:val="32"/>
          <w:lang w:val="en-US" w:eastAsia="zh-CN"/>
        </w:rPr>
        <w:t>13、</w:t>
      </w:r>
      <w:r>
        <w:rPr>
          <w:rFonts w:hint="eastAsia" w:ascii="仿宋_GB2312" w:eastAsia="仿宋_GB2312" w:cs="Times New Roman"/>
          <w:sz w:val="32"/>
          <w:szCs w:val="32"/>
        </w:rPr>
        <w:t>承办自治区人民政府交办的其他事项。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568" w:lineRule="exact"/>
        <w:ind w:firstLine="640" w:firstLineChars="200"/>
        <w:rPr>
          <w:rFonts w:hint="eastAsia" w:ascii="仿宋_GB2312" w:eastAsia="仿宋_GB2312"/>
          <w:color w:val="auto"/>
          <w:sz w:val="32"/>
          <w:szCs w:val="32"/>
          <w:lang w:eastAsia="zh-CN"/>
        </w:rPr>
      </w:pPr>
      <w:r>
        <w:rPr>
          <w:rFonts w:hint="eastAsia" w:ascii="仿宋_GB2312" w:eastAsia="仿宋_GB2312"/>
          <w:sz w:val="32"/>
          <w:szCs w:val="32"/>
        </w:rPr>
        <w:t>根据上述职责，司法局设5个内设机构。</w:t>
      </w:r>
      <w:r>
        <w:rPr>
          <w:rFonts w:hint="eastAsia" w:ascii="仿宋_GB2312" w:eastAsia="仿宋_GB2312"/>
          <w:color w:val="auto"/>
          <w:sz w:val="32"/>
          <w:szCs w:val="32"/>
        </w:rPr>
        <w:t>实有财政供养在职在编人数4</w:t>
      </w:r>
      <w:r>
        <w:rPr>
          <w:rFonts w:hint="eastAsia" w:ascii="仿宋_GB2312"/>
          <w:color w:val="auto"/>
          <w:sz w:val="32"/>
          <w:szCs w:val="32"/>
          <w:lang w:val="en-US" w:eastAsia="zh-CN"/>
        </w:rPr>
        <w:t>3</w:t>
      </w:r>
      <w:r>
        <w:rPr>
          <w:rFonts w:hint="eastAsia" w:ascii="仿宋_GB2312" w:eastAsia="仿宋_GB2312"/>
          <w:color w:val="auto"/>
          <w:sz w:val="32"/>
          <w:szCs w:val="32"/>
        </w:rPr>
        <w:t>人，其中行政在职3</w:t>
      </w:r>
      <w:r>
        <w:rPr>
          <w:rFonts w:hint="eastAsia" w:ascii="仿宋_GB2312"/>
          <w:color w:val="auto"/>
          <w:sz w:val="32"/>
          <w:szCs w:val="32"/>
          <w:lang w:val="en-US" w:eastAsia="zh-CN"/>
        </w:rPr>
        <w:t>6</w:t>
      </w:r>
      <w:r>
        <w:rPr>
          <w:rFonts w:hint="eastAsia" w:ascii="仿宋_GB2312" w:eastAsia="仿宋_GB2312"/>
          <w:color w:val="auto"/>
          <w:sz w:val="32"/>
          <w:szCs w:val="32"/>
        </w:rPr>
        <w:t>人，参公在职2人，事业在职5人；离退休3</w:t>
      </w:r>
      <w:r>
        <w:rPr>
          <w:rFonts w:hint="eastAsia" w:ascii="仿宋_GB2312"/>
          <w:color w:val="auto"/>
          <w:sz w:val="32"/>
          <w:szCs w:val="32"/>
          <w:lang w:val="en-US" w:eastAsia="zh-CN"/>
        </w:rPr>
        <w:t>7</w:t>
      </w:r>
      <w:r>
        <w:rPr>
          <w:rFonts w:hint="eastAsia" w:ascii="仿宋_GB2312" w:eastAsia="仿宋_GB2312"/>
          <w:color w:val="auto"/>
          <w:sz w:val="32"/>
          <w:szCs w:val="32"/>
        </w:rPr>
        <w:t>人</w:t>
      </w:r>
      <w:r>
        <w:rPr>
          <w:rFonts w:hint="eastAsia" w:ascii="仿宋_GB2312"/>
          <w:color w:val="auto"/>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一、社区矫正管理科。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负责监督检查社区矫正法律法规和政策的执行工作，拟定社区矫正工作发展规划、管理制度和相关政策并组织实施。指导、监督社区矫正对象的刑罚执行、管理教育和帮扶工作。指导社会力量和志愿者参与社区矫正工作。指导社区矫正场所建设和管理工作。负责自治县社区矫正工作领导小组办公室的日常工作。</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二、政府法律事务科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承办自治县人民政府行政规范性文件合法性审查工作。负责行政执法的综合协调工作。指导、监督各乡镇、各部门依法行政工作，推进严格规范公正文明执法。负责协调行政执法体制改革和行政执法的普遍性重要性问题。指导行政执法示范点建设。组织开展行政执法监督工作。负责自治县人民政府职能转变、“放管服”改革措施的法制协调工作。指导行政执法队伍规范化、制度化建设。指导行政裁决工作。承办向自治县人民政府申请的行政复议和行政赔偿案件。负责办理自治县人民政府的行政应诉案件。承办因不服自治县人民政府行政复议决定依法向河池市人民政府申请裁决案件的答复工作。指导、监督全县行政复议、行政应诉工作。承办自治县司法局的行政复议、行政应诉和国家赔偿案件。</w:t>
      </w:r>
    </w:p>
    <w:p>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rPr>
        <w:t>三、公共法律服务管理科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制定保障人民群众参与、促进、监督法治建设的制度措施。指导人民团体、群众自治组织和社会组织参与、支持法治社会建设工作。指导人民调解、行政调解、行业性专业性调解工作。指导人民陪审员和人民监督员选任管理工作。指导全县刑满释放人员安置帮教工作。负责自治县刑释人员安置帮教工作领导小组办公室的日常工作。负责规划和推进公共法律服务体系和平台建设。指导、监督、管理律师、公证、法律援助、基层法律服务、仲裁等工作。指导、监督律师公证、法律援助、基层法律服务、仲裁等方面的法律法规和规章政策的执行。指导、监督律师、公证、法律援助、基层法律服务、仲裁及从业人员执业许可。组织实施我县法律援助工作。牵头指导律师行业党建工作。指导、监督党政机关、企事业单位、村(居)法律顾问工作。指导社会组织和志愿者开展法律服务工作。指导公职律师和公司律师工作。</w:t>
      </w:r>
    </w:p>
    <w:p>
      <w:pPr>
        <w:spacing w:line="560" w:lineRule="exact"/>
        <w:ind w:firstLine="640" w:firstLineChars="200"/>
        <w:rPr>
          <w:rFonts w:hint="eastAsia" w:ascii="仿宋" w:hAnsi="仿宋" w:eastAsia="仿宋" w:cs="仿宋"/>
          <w:b/>
          <w:bCs/>
          <w:sz w:val="32"/>
          <w:szCs w:val="32"/>
        </w:rPr>
      </w:pPr>
      <w:r>
        <w:rPr>
          <w:rFonts w:hint="eastAsia" w:ascii="黑体" w:hAnsi="黑体" w:eastAsia="黑体" w:cs="黑体"/>
          <w:sz w:val="32"/>
          <w:szCs w:val="32"/>
        </w:rPr>
        <w:t>四、普法依法治理科</w:t>
      </w:r>
    </w:p>
    <w:p>
      <w:pPr>
        <w:spacing w:line="560" w:lineRule="exact"/>
        <w:ind w:firstLine="643" w:firstLineChars="200"/>
        <w:rPr>
          <w:rFonts w:hint="eastAsia" w:ascii="黑体" w:hAnsi="黑体" w:eastAsia="黑体" w:cs="黑体"/>
          <w:sz w:val="32"/>
          <w:szCs w:val="32"/>
        </w:rPr>
      </w:pPr>
      <w:r>
        <w:rPr>
          <w:rFonts w:hint="eastAsia" w:ascii="仿宋" w:hAnsi="仿宋" w:eastAsia="仿宋" w:cs="仿宋"/>
          <w:b/>
          <w:bCs/>
          <w:sz w:val="32"/>
          <w:szCs w:val="32"/>
        </w:rPr>
        <w:t>工作职责：</w:t>
      </w:r>
      <w:r>
        <w:rPr>
          <w:rFonts w:hint="eastAsia" w:ascii="仿宋" w:hAnsi="仿宋" w:eastAsia="仿宋" w:cs="仿宋"/>
          <w:sz w:val="32"/>
          <w:szCs w:val="32"/>
        </w:rPr>
        <w:t>负责处理自治县党委全面依法治县委员会办公室日常事务。承担全面依法治县工作规划建议的协调工作。组织起草全面依法治县有关重要文件。研究提出建设法治政府、法治社会的意见和措施，对应完成法治调研、法治督察工作任务。负责拟订法治宣传教育规划并组织实施。指导、监督各部门各单位“谁执法谁普法”的普法责任制落实工作，推进全民普法。指导、监督国家工作人员学法用法工作。指导、监督各乡镇、各部门、各行业依法治理和法治创建工作。组织、指导对外法治宣传、新闻宣传工作。指导、推进社会主义法治文化建设工作。</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五、综合科</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办公室负责机关日常运转工作。承担机关文电、会务、机要、档案、督查督办、政务公开、统计、保密、信访、外事、安全、应急管理等工作。负责机关重要文稿、公文的组织起草、审核工作和信息报送工作。负责本系统舆情监控。负责本系统车辆的管理，保养、维护、修理、出差用车安排、加油、使用人员登记等工作。</w:t>
      </w:r>
    </w:p>
    <w:p>
      <w:pPr>
        <w:spacing w:line="560" w:lineRule="exact"/>
        <w:ind w:firstLine="640" w:firstLineChars="200"/>
        <w:rPr>
          <w:rFonts w:hint="eastAsia" w:ascii="楷体" w:hAnsi="楷体" w:eastAsia="楷体" w:cs="楷体"/>
          <w:b/>
          <w:bCs/>
          <w:sz w:val="32"/>
          <w:szCs w:val="32"/>
        </w:rPr>
      </w:pPr>
      <w:r>
        <w:rPr>
          <w:rFonts w:hint="eastAsia" w:ascii="仿宋" w:hAnsi="仿宋" w:eastAsia="仿宋" w:cs="仿宋"/>
          <w:sz w:val="32"/>
          <w:szCs w:val="32"/>
        </w:rPr>
        <w:t>政工科负责负责本系统思想政治和组织、人事和纪检监察工作，指导、监督党的建设和干部队伍建设。负责机关离退休人员工作。负责机关和直属事业单位的党群工作。推进司法所及队伍建设。</w:t>
      </w:r>
    </w:p>
    <w:p>
      <w:pPr>
        <w:spacing w:line="560" w:lineRule="exact"/>
        <w:ind w:firstLine="640" w:firstLineChars="200"/>
        <w:rPr>
          <w:rFonts w:hint="eastAsia" w:ascii="楷体" w:hAnsi="楷体" w:eastAsia="楷体" w:cs="楷体"/>
          <w:b/>
          <w:bCs/>
          <w:sz w:val="32"/>
          <w:szCs w:val="32"/>
        </w:rPr>
      </w:pPr>
      <w:r>
        <w:rPr>
          <w:rFonts w:hint="eastAsia" w:ascii="仿宋" w:hAnsi="仿宋" w:eastAsia="仿宋" w:cs="仿宋"/>
          <w:sz w:val="32"/>
          <w:szCs w:val="32"/>
        </w:rPr>
        <w:t>财务科负责指导本系统财务、物资装备和基本建设管理工作，拟定建设标准、经费保障、物资装备和财务管理办法。指导、监督本系统政法补助专款和基建投资的使用工作。负责全系统服装和警车等业务装备的管理工作。负责机关、基层司法所、直属事业单位的预决算和机关的财务管理、国有资产管理、政府采购等工作。开展审计监督工作。指导、管理本系统信息化建设。承担机关电子政务工作的具体实施和技术保障。承担机关综合政务管理、公共法律服务网络平台及其相关业务系统的建设、维护和系统信息数据资源集成共享及应用工作。负责机关官网的建设和维护。</w:t>
      </w:r>
    </w:p>
    <w:p>
      <w:pPr>
        <w:spacing w:line="560" w:lineRule="exact"/>
        <w:ind w:firstLine="640" w:firstLineChars="200"/>
        <w:rPr>
          <w:rFonts w:hint="eastAsia" w:ascii="黑体" w:hAnsi="黑体" w:eastAsia="黑体" w:cs="黑体"/>
          <w:sz w:val="32"/>
          <w:szCs w:val="32"/>
        </w:rPr>
      </w:pPr>
      <w:r>
        <w:rPr>
          <w:rFonts w:hint="eastAsia" w:ascii="仿宋" w:hAnsi="仿宋" w:eastAsia="仿宋" w:cs="仿宋"/>
          <w:sz w:val="32"/>
          <w:szCs w:val="32"/>
        </w:rPr>
        <w:t>调处办负责</w:t>
      </w:r>
      <w:r>
        <w:rPr>
          <w:rFonts w:eastAsia="仿宋_GB2312"/>
          <w:color w:val="000000"/>
          <w:sz w:val="32"/>
          <w:szCs w:val="32"/>
        </w:rPr>
        <w:t>组织协调、督促指导全县“三大纠纷”调处工作；总结交流调处工作经验，做好调处人员的业务培训和业务统计工作；负责自治县人民政府直接交办的重大、疑难“三大纠纷”案件的调处工作；完成自治县人民政府交办的其他工作任务。</w:t>
      </w:r>
    </w:p>
    <w:p>
      <w:pPr>
        <w:spacing w:line="560" w:lineRule="exact"/>
        <w:rPr>
          <w:rFonts w:ascii="黑体" w:hAnsi="黑体" w:eastAsia="黑体" w:cs="黑体"/>
          <w:sz w:val="32"/>
          <w:szCs w:val="32"/>
        </w:rPr>
      </w:pPr>
    </w:p>
    <w:p>
      <w:pPr>
        <w:ind w:firstLine="640" w:firstLineChars="200"/>
        <w:jc w:val="left"/>
        <w:rPr>
          <w:rFonts w:hint="eastAsia" w:ascii="仿宋" w:hAnsi="仿宋" w:eastAsia="仿宋" w:cs="仿宋"/>
          <w:color w:val="FF0000"/>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环江毛南族自治县司法局</w:t>
      </w:r>
      <w:r>
        <w:rPr>
          <w:rFonts w:hint="eastAsia" w:ascii="黑体" w:hAnsi="黑体" w:eastAsia="黑体" w:cs="黑体"/>
          <w:sz w:val="32"/>
          <w:szCs w:val="32"/>
          <w:highlight w:val="none"/>
        </w:rPr>
        <w:t>2022年度部门决算报表</w:t>
      </w:r>
    </w:p>
    <w:p>
      <w:pPr>
        <w:keepNext w:val="0"/>
        <w:keepLines w:val="0"/>
        <w:widowControl/>
        <w:suppressLineNumbers w:val="0"/>
        <w:jc w:val="left"/>
        <w:rPr>
          <w:rFonts w:hint="eastAsia" w:ascii="黑体" w:hAnsi="黑体" w:eastAsia="黑体" w:cs="黑体"/>
          <w:sz w:val="32"/>
          <w:szCs w:val="32"/>
          <w:highlight w:val="none"/>
        </w:rPr>
      </w:pPr>
      <w:r>
        <w:rPr>
          <w:rFonts w:ascii="仿宋" w:hAnsi="仿宋" w:eastAsia="仿宋" w:cs="仿宋"/>
          <w:color w:val="000000"/>
          <w:kern w:val="0"/>
          <w:sz w:val="24"/>
          <w:szCs w:val="24"/>
          <w:lang w:val="en-US" w:eastAsia="zh-CN" w:bidi="ar"/>
        </w:rPr>
        <w:t>表一：收入支出决算总表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0"/>
        <w:gridCol w:w="799"/>
        <w:gridCol w:w="1334"/>
        <w:gridCol w:w="4281"/>
        <w:gridCol w:w="799"/>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r>
    </w:tbl>
    <w:p>
      <w:pPr>
        <w:keepNext w:val="0"/>
        <w:keepLines w:val="0"/>
        <w:widowControl/>
        <w:suppressLineNumbers w:val="0"/>
        <w:jc w:val="left"/>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注：1.本表反映部门本年度的总收支和年末结转结余情况。</w:t>
      </w:r>
    </w:p>
    <w:p>
      <w:pPr>
        <w:keepNext w:val="0"/>
        <w:keepLines w:val="0"/>
        <w:widowControl/>
        <w:suppressLineNumbers w:val="0"/>
        <w:ind w:firstLine="480" w:firstLineChars="200"/>
        <w:jc w:val="left"/>
        <w:rPr>
          <w:rFonts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 2.本套报表金额单位转换时可能存在尾数误差。</w:t>
      </w: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rPr>
          <w:rFonts w:ascii="仿宋" w:hAnsi="仿宋" w:eastAsia="仿宋" w:cs="仿宋"/>
          <w:color w:val="000000"/>
          <w:kern w:val="0"/>
          <w:sz w:val="24"/>
          <w:szCs w:val="24"/>
          <w:lang w:val="en-US" w:eastAsia="zh-CN" w:bidi="ar"/>
        </w:rPr>
      </w:pPr>
    </w:p>
    <w:p>
      <w:pPr>
        <w:keepNext w:val="0"/>
        <w:keepLines w:val="0"/>
        <w:widowControl/>
        <w:suppressLineNumbers w:val="0"/>
        <w:jc w:val="left"/>
      </w:pPr>
      <w:r>
        <w:rPr>
          <w:rFonts w:ascii="仿宋" w:hAnsi="仿宋" w:eastAsia="仿宋" w:cs="仿宋"/>
          <w:color w:val="000000"/>
          <w:kern w:val="0"/>
          <w:sz w:val="24"/>
          <w:szCs w:val="24"/>
          <w:lang w:val="en-US" w:eastAsia="zh-CN" w:bidi="ar"/>
        </w:rPr>
        <w:t>表二：收入决算表</w:t>
      </w:r>
    </w:p>
    <w:p>
      <w:pPr>
        <w:rPr>
          <w:rFonts w:ascii="宋体" w:hAnsi="宋体" w:eastAsia="宋体" w:cs="宋体"/>
          <w:color w:val="000000"/>
          <w:kern w:val="0"/>
          <w:sz w:val="30"/>
          <w:szCs w:val="30"/>
          <w:highlight w:val="none"/>
          <w:lang w:bidi="ar"/>
        </w:rPr>
      </w:pPr>
    </w:p>
    <w:tbl>
      <w:tblPr>
        <w:tblStyle w:val="6"/>
        <w:tblW w:w="0" w:type="auto"/>
        <w:tblInd w:w="96" w:type="dxa"/>
        <w:tblLayout w:type="autofit"/>
        <w:tblCellMar>
          <w:top w:w="0" w:type="dxa"/>
          <w:left w:w="108" w:type="dxa"/>
          <w:bottom w:w="0" w:type="dxa"/>
          <w:right w:w="108" w:type="dxa"/>
        </w:tblCellMar>
      </w:tblPr>
      <w:tblGrid>
        <w:gridCol w:w="3338"/>
        <w:gridCol w:w="221"/>
        <w:gridCol w:w="221"/>
        <w:gridCol w:w="3289"/>
        <w:gridCol w:w="1300"/>
        <w:gridCol w:w="1300"/>
        <w:gridCol w:w="1300"/>
        <w:gridCol w:w="581"/>
        <w:gridCol w:w="581"/>
        <w:gridCol w:w="581"/>
        <w:gridCol w:w="1366"/>
      </w:tblGrid>
      <w:tr>
        <w:tblPrEx>
          <w:tblCellMar>
            <w:top w:w="0" w:type="dxa"/>
            <w:left w:w="108" w:type="dxa"/>
            <w:bottom w:w="0" w:type="dxa"/>
            <w:right w:w="108" w:type="dxa"/>
          </w:tblCellMar>
        </w:tblPrEx>
        <w:trPr>
          <w:trHeight w:val="951" w:hRule="atLeast"/>
        </w:trPr>
        <w:tc>
          <w:tcPr>
            <w:tcW w:w="0" w:type="auto"/>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CellMar>
            <w:top w:w="0" w:type="dxa"/>
            <w:left w:w="108" w:type="dxa"/>
            <w:bottom w:w="0" w:type="dxa"/>
            <w:right w:w="108" w:type="dxa"/>
          </w:tblCellMar>
        </w:tblPrEx>
        <w:trPr>
          <w:trHeight w:val="317"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公开02表</w:t>
            </w:r>
          </w:p>
        </w:tc>
      </w:tr>
      <w:tr>
        <w:trPr>
          <w:trHeight w:val="317" w:hRule="atLeast"/>
        </w:trPr>
        <w:tc>
          <w:tcPr>
            <w:tcW w:w="0" w:type="auto"/>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rPr>
          <w:trHeight w:val="327"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本年收入合计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财政拨款收入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上级补助收入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事业收入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经营收入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i w:val="0"/>
                <w:iCs w:val="0"/>
                <w:color w:val="000000"/>
                <w:kern w:val="0"/>
                <w:sz w:val="22"/>
                <w:szCs w:val="22"/>
                <w:u w:val="none"/>
                <w:lang w:val="en-US" w:eastAsia="zh-CN" w:bidi="ar"/>
              </w:rPr>
              <w:t>其他收入</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27"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r>
      <w:tr>
        <w:tblPrEx>
          <w:tblCellMar>
            <w:top w:w="0" w:type="dxa"/>
            <w:left w:w="108" w:type="dxa"/>
            <w:bottom w:w="0" w:type="dxa"/>
            <w:right w:w="108" w:type="dxa"/>
          </w:tblCellMar>
        </w:tblPrEx>
        <w:trPr>
          <w:trHeight w:val="327"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1,292.73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1,292.73</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961"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566.99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566.99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2040602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64.49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64.49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13.35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13.35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7.39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7.39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2040612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148.50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148.50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216.85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216.85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3"/>
        <w:gridCol w:w="222"/>
        <w:gridCol w:w="222"/>
        <w:gridCol w:w="3913"/>
        <w:gridCol w:w="1093"/>
        <w:gridCol w:w="874"/>
        <w:gridCol w:w="874"/>
        <w:gridCol w:w="655"/>
        <w:gridCol w:w="655"/>
        <w:gridCol w:w="1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834.94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457.65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p>
    <w:p>
      <w:pPr>
        <w:jc w:val="cente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441"/>
        <w:gridCol w:w="1096"/>
        <w:gridCol w:w="3516"/>
        <w:gridCol w:w="441"/>
        <w:gridCol w:w="1096"/>
        <w:gridCol w:w="1127"/>
        <w:gridCol w:w="703"/>
        <w:gridCol w:w="1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16"/>
        <w:gridCol w:w="222"/>
        <w:gridCol w:w="222"/>
        <w:gridCol w:w="3956"/>
        <w:gridCol w:w="1103"/>
        <w:gridCol w:w="109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1,292.73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834.94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588.91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基层司法业务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普法宣传</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公共法律服务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社区矫正</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法治建设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其他司法支出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20"/>
        <w:gridCol w:w="2564"/>
        <w:gridCol w:w="686"/>
        <w:gridCol w:w="608"/>
        <w:gridCol w:w="1782"/>
        <w:gridCol w:w="608"/>
        <w:gridCol w:w="608"/>
        <w:gridCol w:w="3192"/>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761.46</w:t>
            </w:r>
          </w:p>
        </w:tc>
        <w:tc>
          <w:tcPr>
            <w:tcW w:w="0" w:type="auto"/>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rPr>
          <w:rFonts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val="en-US" w:eastAsia="zh-CN"/>
              </w:rPr>
              <w:t>环江毛南族自治县司法局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eastAsia="宋体" w:cs="Arial"/>
                <w:color w:val="000000"/>
                <w:sz w:val="20"/>
                <w:szCs w:val="20"/>
                <w:highlight w:val="none"/>
                <w:lang w:val="en-US"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val="en-US" w:eastAsia="zh-CN" w:bidi="ar"/>
              </w:rPr>
              <w:t>环江毛南族自治县司法局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0" w:type="auto"/>
        <w:tblInd w:w="0" w:type="dxa"/>
        <w:tblLayout w:type="autofit"/>
        <w:tblCellMar>
          <w:top w:w="0" w:type="dxa"/>
          <w:left w:w="108" w:type="dxa"/>
          <w:bottom w:w="0" w:type="dxa"/>
          <w:right w:w="108" w:type="dxa"/>
        </w:tblCellMar>
      </w:tblPr>
      <w:tblGrid>
        <w:gridCol w:w="1726"/>
        <w:gridCol w:w="1726"/>
        <w:gridCol w:w="1238"/>
        <w:gridCol w:w="591"/>
        <w:gridCol w:w="980"/>
        <w:gridCol w:w="1051"/>
        <w:gridCol w:w="909"/>
        <w:gridCol w:w="684"/>
        <w:gridCol w:w="1238"/>
        <w:gridCol w:w="591"/>
        <w:gridCol w:w="980"/>
        <w:gridCol w:w="1051"/>
        <w:gridCol w:w="1409"/>
      </w:tblGrid>
      <w:tr>
        <w:tblPrEx>
          <w:tblCellMar>
            <w:top w:w="0" w:type="dxa"/>
            <w:left w:w="108" w:type="dxa"/>
            <w:bottom w:w="0" w:type="dxa"/>
            <w:right w:w="108" w:type="dxa"/>
          </w:tblCellMar>
        </w:tblPrEx>
        <w:trPr>
          <w:gridBefore w:val="1"/>
          <w:wBefore w:w="0" w:type="auto"/>
          <w:trHeight w:val="308" w:hRule="atLeast"/>
        </w:trPr>
        <w:tc>
          <w:tcPr>
            <w:tcW w:w="12172" w:type="dxa"/>
            <w:gridSpan w:val="1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632" w:hRule="atLeast"/>
        </w:trPr>
        <w:tc>
          <w:tcPr>
            <w:tcW w:w="0" w:type="auto"/>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CellMar>
            <w:top w:w="0" w:type="dxa"/>
            <w:left w:w="108" w:type="dxa"/>
            <w:bottom w:w="0" w:type="dxa"/>
            <w:right w:w="108" w:type="dxa"/>
          </w:tblCellMar>
        </w:tblPrEx>
        <w:trPr>
          <w:trHeight w:val="316" w:hRule="atLeast"/>
        </w:trPr>
        <w:tc>
          <w:tcPr>
            <w:tcW w:w="0" w:type="auto"/>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公开09表</w:t>
            </w:r>
          </w:p>
        </w:tc>
      </w:tr>
      <w:tr>
        <w:tblPrEx>
          <w:tblCellMar>
            <w:top w:w="0" w:type="dxa"/>
            <w:left w:w="108" w:type="dxa"/>
            <w:bottom w:w="0" w:type="dxa"/>
            <w:right w:w="108" w:type="dxa"/>
          </w:tblCellMar>
        </w:tblPrEx>
        <w:trPr>
          <w:trHeight w:val="316" w:hRule="atLeast"/>
        </w:trPr>
        <w:tc>
          <w:tcPr>
            <w:tcW w:w="0" w:type="auto"/>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Arial" w:hAnsi="Arial" w:eastAsia="宋体" w:cs="Arial"/>
                <w:color w:val="000000"/>
                <w:sz w:val="20"/>
                <w:szCs w:val="20"/>
                <w:highlight w:val="none"/>
                <w:lang w:eastAsia="zh-CN"/>
              </w:rPr>
            </w:pPr>
            <w:r>
              <w:rPr>
                <w:rFonts w:hint="eastAsia" w:ascii="宋体" w:hAnsi="宋体" w:eastAsia="宋体" w:cs="宋体"/>
                <w:i w:val="0"/>
                <w:iCs w:val="0"/>
                <w:color w:val="000000"/>
                <w:kern w:val="0"/>
                <w:sz w:val="20"/>
                <w:szCs w:val="20"/>
                <w:u w:val="none"/>
                <w:lang w:val="en-US" w:eastAsia="zh-CN" w:bidi="ar"/>
              </w:rPr>
              <w:t>部门：广西河池市环江毛南族自治县司法局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108" w:type="dxa"/>
            <w:bottom w:w="0" w:type="dxa"/>
            <w:right w:w="108" w:type="dxa"/>
          </w:tblCellMar>
        </w:tblPrEx>
        <w:trPr>
          <w:trHeight w:val="326"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决算数</w:t>
            </w:r>
          </w:p>
        </w:tc>
      </w:tr>
      <w:tr>
        <w:tblPrEx>
          <w:tblCellMar>
            <w:top w:w="0" w:type="dxa"/>
            <w:left w:w="108" w:type="dxa"/>
            <w:bottom w:w="0" w:type="dxa"/>
            <w:right w:w="108" w:type="dxa"/>
          </w:tblCellMar>
        </w:tblPrEx>
        <w:trPr>
          <w:trHeight w:val="326" w:hRule="atLeast"/>
        </w:trPr>
        <w:tc>
          <w:tcPr>
            <w:tcW w:w="0" w:type="auto"/>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因公出国（境）费</w:t>
            </w:r>
          </w:p>
        </w:tc>
        <w:tc>
          <w:tcPr>
            <w:tcW w:w="0" w:type="auto"/>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0" w:type="auto"/>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CellMar>
            <w:top w:w="0" w:type="dxa"/>
            <w:left w:w="108" w:type="dxa"/>
            <w:bottom w:w="0" w:type="dxa"/>
            <w:right w:w="108" w:type="dxa"/>
          </w:tblCellMar>
        </w:tblPrEx>
        <w:trPr>
          <w:trHeight w:val="642" w:hRule="atLeast"/>
        </w:trPr>
        <w:tc>
          <w:tcPr>
            <w:tcW w:w="0" w:type="auto"/>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rPr>
            </w:pP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公务用车购置费</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0" w:type="auto"/>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0" w:type="auto"/>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642"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10.49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1.01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highlight w:val="none"/>
              </w:rPr>
            </w:pPr>
            <w:r>
              <w:rPr>
                <w:rFonts w:hint="eastAsia" w:ascii="宋体" w:hAnsi="宋体" w:eastAsia="宋体" w:cs="宋体"/>
                <w:i w:val="0"/>
                <w:iCs w:val="0"/>
                <w:color w:val="000000"/>
                <w:kern w:val="0"/>
                <w:sz w:val="22"/>
                <w:szCs w:val="22"/>
                <w:u w:val="none"/>
                <w:lang w:val="en-US" w:eastAsia="zh-CN" w:bidi="ar"/>
              </w:rPr>
              <w:t>1.01</w:t>
            </w:r>
          </w:p>
        </w:tc>
      </w:tr>
      <w:tr>
        <w:tblPrEx>
          <w:tblCellMar>
            <w:top w:w="0" w:type="dxa"/>
            <w:left w:w="108" w:type="dxa"/>
            <w:bottom w:w="0" w:type="dxa"/>
            <w:right w:w="108" w:type="dxa"/>
          </w:tblCellMar>
        </w:tblPrEx>
        <w:trPr>
          <w:trHeight w:val="642" w:hRule="atLeast"/>
        </w:trPr>
        <w:tc>
          <w:tcPr>
            <w:tcW w:w="0" w:type="auto"/>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val="en-US" w:eastAsia="zh-CN"/>
        </w:rPr>
        <w:t>环江毛南族自治县司法局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szCs w:val="32"/>
          <w:highlight w:val="none"/>
          <w:lang w:val="en-US" w:eastAsia="zh-CN"/>
        </w:rPr>
        <w:t>1292.73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101.78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7.3</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1292.73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1.一般公共预算财政拨款收入1292.73万元，为县本级财政当年拨付的资金。较2021年度决算数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101.78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7.3</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：2022年有退休人员，经费减少。</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万元。为县本级财政当年拨付的资金。较2021年度决算数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4.上级补助收入0万元，为上级部门当年拨付的资金。较2021年度决算数</w:t>
      </w:r>
      <w:r>
        <w:rPr>
          <w:rFonts w:ascii="仿宋" w:hAnsi="仿宋" w:eastAsia="仿宋" w:cs="仿宋"/>
          <w:sz w:val="32"/>
          <w:highlight w:val="none"/>
          <w:u w:color="auto"/>
        </w:rPr>
        <w:t>增加</w:t>
      </w:r>
      <w:r>
        <w:rPr>
          <w:rFonts w:hint="eastAsia" w:ascii="仿宋" w:hAnsi="仿宋" w:eastAsia="仿宋" w:cs="仿宋"/>
          <w:sz w:val="32"/>
          <w:highlight w:val="none"/>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highlight w:val="none"/>
          <w:u w:color="auto"/>
        </w:rPr>
        <w:t>增长</w:t>
      </w:r>
      <w:r>
        <w:rPr>
          <w:rFonts w:hint="eastAsia" w:ascii="仿宋" w:hAnsi="仿宋" w:eastAsia="仿宋" w:cs="仿宋"/>
          <w:sz w:val="32"/>
          <w:highlight w:val="none"/>
          <w:u w:color="auto"/>
          <w:lang w:val="en-US" w:eastAsia="zh-CN"/>
        </w:rPr>
        <w:t>0</w:t>
      </w:r>
      <w:r>
        <w:rPr>
          <w:rFonts w:ascii="仿宋" w:hAnsi="仿宋" w:eastAsia="仿宋" w:cs="仿宋"/>
          <w:sz w:val="32"/>
          <w:highlight w:val="none"/>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8.其他收入0万元,为预算单位在“财政拨款收入”“事业收入”“经营收入”之外取得的收入。较2021年度决算数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10.上年结转和结余0万元，为以前年度支出预算因客观条件变化未执行完毕、结转到本年度按有关规定继续使用的资金。较2021年度决算数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188.05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2022年“以支定收”，无结转结余。</w:t>
      </w:r>
    </w:p>
    <w:p>
      <w:pPr>
        <w:keepNext w:val="0"/>
        <w:keepLines w:val="0"/>
        <w:widowControl w:val="0"/>
        <w:suppressLineNumbers w:val="0"/>
        <w:spacing w:before="0" w:beforeAutospacing="0" w:after="0" w:afterAutospacing="0"/>
        <w:ind w:left="0" w:right="0" w:firstLine="420" w:firstLineChars="200"/>
        <w:jc w:val="left"/>
        <w:rPr>
          <w:rFonts w:hint="default" w:ascii="仿宋" w:hAnsi="仿宋" w:eastAsia="仿宋" w:cs="仿宋"/>
          <w:color w:val="FF0000"/>
          <w:kern w:val="2"/>
          <w:sz w:val="32"/>
          <w:szCs w:val="32"/>
          <w:highlight w:val="none"/>
          <w:lang w:val="en-US" w:eastAsia="zh-CN" w:bidi="ar"/>
        </w:rPr>
      </w:pPr>
      <w:r>
        <w:drawing>
          <wp:inline distT="0" distB="0" distL="114300" distR="114300">
            <wp:extent cx="4572000" cy="2743200"/>
            <wp:effectExtent l="4445" t="4445" r="14605" b="1460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szCs w:val="32"/>
          <w:highlight w:val="none"/>
          <w:lang w:val="en-US" w:eastAsia="zh-CN"/>
        </w:rPr>
        <w:t>1292.73</w:t>
      </w:r>
      <w:r>
        <w:rPr>
          <w:rFonts w:hint="eastAsia" w:ascii="仿宋" w:hAnsi="仿宋" w:eastAsia="仿宋" w:cs="仿宋"/>
          <w:sz w:val="32"/>
          <w:szCs w:val="32"/>
          <w:highlight w:val="none"/>
        </w:rPr>
        <w:t>万元，其中本年支出</w:t>
      </w:r>
      <w:r>
        <w:rPr>
          <w:rFonts w:hint="eastAsia" w:ascii="仿宋" w:hAnsi="仿宋" w:eastAsia="仿宋" w:cs="仿宋"/>
          <w:sz w:val="32"/>
          <w:szCs w:val="32"/>
          <w:highlight w:val="none"/>
          <w:lang w:val="en-US" w:eastAsia="zh-CN"/>
        </w:rPr>
        <w:t>1292.73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101.78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7.3</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1. 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10.44</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2022年工会经费支出</w:t>
      </w:r>
      <w:r>
        <w:rPr>
          <w:rFonts w:hint="eastAsia" w:ascii="仿宋_GB2312" w:eastAsia="仿宋_GB2312" w:cs="仿宋_GB2312"/>
          <w:kern w:val="0"/>
          <w:sz w:val="32"/>
          <w:szCs w:val="32"/>
        </w:rPr>
        <w:t>。较202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年度决算数增加</w:t>
      </w:r>
      <w:r>
        <w:rPr>
          <w:rFonts w:hint="eastAsia" w:ascii="仿宋_GB2312" w:eastAsia="仿宋_GB2312" w:cs="仿宋_GB2312"/>
          <w:kern w:val="0"/>
          <w:sz w:val="32"/>
          <w:szCs w:val="32"/>
          <w:lang w:val="en-US" w:eastAsia="zh-CN"/>
        </w:rPr>
        <w:t>9.06</w:t>
      </w:r>
      <w:r>
        <w:rPr>
          <w:rFonts w:hint="eastAsia" w:ascii="仿宋_GB2312" w:eastAsia="仿宋_GB2312" w:cs="仿宋_GB2312"/>
          <w:kern w:val="0"/>
          <w:sz w:val="32"/>
          <w:szCs w:val="32"/>
        </w:rPr>
        <w:t xml:space="preserve"> 万元，增长</w:t>
      </w:r>
      <w:r>
        <w:rPr>
          <w:rFonts w:hint="eastAsia" w:ascii="仿宋_GB2312" w:eastAsia="仿宋_GB2312" w:cs="仿宋_GB2312"/>
          <w:kern w:val="0"/>
          <w:sz w:val="32"/>
          <w:szCs w:val="32"/>
          <w:lang w:val="en-US" w:eastAsia="zh-CN"/>
        </w:rPr>
        <w:t>86.8</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此经费2021年是脱贫功坚工作队助勤补助，2022年是工会经费支出。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2.公共安全支出（</w:t>
      </w:r>
      <w:r>
        <w:rPr>
          <w:rFonts w:hint="eastAsia" w:ascii="仿宋_GB2312" w:eastAsia="仿宋_GB2312" w:cs="仿宋_GB2312"/>
          <w:kern w:val="0"/>
          <w:sz w:val="32"/>
          <w:szCs w:val="32"/>
          <w:lang w:val="en-US" w:eastAsia="zh-CN"/>
        </w:rPr>
        <w:t>204</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1046.56</w:t>
      </w:r>
      <w:r>
        <w:rPr>
          <w:rFonts w:hint="eastAsia" w:ascii="仿宋_GB2312" w:eastAsia="仿宋_GB2312" w:cs="仿宋_GB2312"/>
          <w:kern w:val="0"/>
          <w:sz w:val="32"/>
          <w:szCs w:val="32"/>
        </w:rPr>
        <w:t>万元，主要用于本部门为保证日常运转发生的基本支出和为完成各项工作任务、保障单位事业发展而发生的项目支出。较202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减少35.01</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w:t>
      </w:r>
      <w:r>
        <w:rPr>
          <w:rFonts w:hint="eastAsia" w:ascii="仿宋_GB2312" w:eastAsia="仿宋_GB2312" w:cs="仿宋_GB2312"/>
          <w:kern w:val="0"/>
          <w:sz w:val="32"/>
          <w:szCs w:val="32"/>
        </w:rPr>
        <w:t>3</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2022年度有在职人员退休。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3、社会保障和就业支出（</w:t>
      </w:r>
      <w:r>
        <w:rPr>
          <w:rFonts w:hint="eastAsia" w:ascii="仿宋_GB2312" w:eastAsia="仿宋_GB2312" w:cs="仿宋_GB2312"/>
          <w:kern w:val="0"/>
          <w:sz w:val="32"/>
          <w:szCs w:val="32"/>
          <w:lang w:val="en-US" w:eastAsia="zh-CN"/>
        </w:rPr>
        <w:t>208</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66.79</w:t>
      </w:r>
      <w:r>
        <w:rPr>
          <w:rFonts w:hint="eastAsia" w:ascii="仿宋_GB2312" w:eastAsia="仿宋_GB2312" w:cs="仿宋_GB2312"/>
          <w:kern w:val="0"/>
          <w:sz w:val="32"/>
          <w:szCs w:val="32"/>
        </w:rPr>
        <w:t>万元。主要为机关养老缴费支出。较202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年度决算数</w:t>
      </w:r>
      <w:r>
        <w:rPr>
          <w:rFonts w:hint="eastAsia" w:ascii="仿宋_GB2312" w:eastAsia="仿宋_GB2312" w:cs="仿宋_GB2312"/>
          <w:kern w:val="0"/>
          <w:sz w:val="32"/>
          <w:szCs w:val="32"/>
          <w:lang w:val="en-US" w:eastAsia="zh-CN"/>
        </w:rPr>
        <w:t>减少3.68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下降5.2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2022年度有在职人员退休</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4.住房保障支出（</w:t>
      </w:r>
      <w:r>
        <w:rPr>
          <w:rFonts w:hint="eastAsia" w:ascii="仿宋_GB2312" w:eastAsia="仿宋_GB2312" w:cs="仿宋_GB2312"/>
          <w:kern w:val="0"/>
          <w:sz w:val="32"/>
          <w:szCs w:val="32"/>
          <w:lang w:val="en-US" w:eastAsia="zh-CN"/>
        </w:rPr>
        <w:t>221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55.96</w:t>
      </w:r>
      <w:r>
        <w:rPr>
          <w:rFonts w:hint="eastAsia" w:ascii="仿宋_GB2312" w:eastAsia="仿宋_GB2312" w:cs="仿宋_GB2312"/>
          <w:kern w:val="0"/>
          <w:sz w:val="32"/>
          <w:szCs w:val="32"/>
        </w:rPr>
        <w:t>万元</w:t>
      </w:r>
      <w:r>
        <w:rPr>
          <w:rFonts w:hint="eastAsia" w:ascii="仿宋_GB2312" w:eastAsia="仿宋_GB2312" w:cs="仿宋_GB2312"/>
          <w:kern w:val="0"/>
          <w:sz w:val="32"/>
          <w:szCs w:val="32"/>
        </w:rPr>
        <w:tab/>
      </w:r>
      <w:r>
        <w:rPr>
          <w:rFonts w:hint="eastAsia" w:ascii="仿宋_GB2312" w:eastAsia="仿宋_GB2312" w:cs="仿宋_GB2312"/>
          <w:kern w:val="0"/>
          <w:sz w:val="32"/>
          <w:szCs w:val="32"/>
        </w:rPr>
        <w:t>，比上年</w:t>
      </w:r>
      <w:r>
        <w:rPr>
          <w:rFonts w:hint="eastAsia" w:ascii="仿宋_GB2312" w:eastAsia="仿宋_GB2312" w:cs="仿宋_GB2312"/>
          <w:kern w:val="0"/>
          <w:sz w:val="32"/>
          <w:szCs w:val="32"/>
          <w:lang w:val="en-US" w:eastAsia="zh-CN"/>
        </w:rPr>
        <w:t>减少</w:t>
      </w:r>
      <w:r>
        <w:rPr>
          <w:rFonts w:hint="eastAsia" w:ascii="仿宋_GB2312" w:eastAsia="仿宋_GB2312" w:cs="仿宋_GB2312"/>
          <w:kern w:val="0"/>
          <w:sz w:val="32"/>
          <w:szCs w:val="32"/>
        </w:rPr>
        <w:t>1</w:t>
      </w:r>
      <w:r>
        <w:rPr>
          <w:rFonts w:hint="eastAsia" w:ascii="仿宋_GB2312" w:eastAsia="仿宋_GB2312" w:cs="仿宋_GB2312"/>
          <w:kern w:val="0"/>
          <w:sz w:val="32"/>
          <w:szCs w:val="32"/>
          <w:lang w:val="en-US" w:eastAsia="zh-CN"/>
        </w:rPr>
        <w:t>7.94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w:t>
      </w:r>
      <w:r>
        <w:rPr>
          <w:rFonts w:hint="eastAsia" w:ascii="仿宋_GB2312" w:eastAsia="仿宋_GB2312" w:cs="仿宋_GB2312"/>
          <w:kern w:val="0"/>
          <w:sz w:val="32"/>
          <w:szCs w:val="32"/>
        </w:rPr>
        <w:t>1</w:t>
      </w:r>
      <w:r>
        <w:rPr>
          <w:rFonts w:hint="eastAsia" w:ascii="仿宋_GB2312" w:eastAsia="仿宋_GB2312" w:cs="仿宋_GB2312"/>
          <w:kern w:val="0"/>
          <w:sz w:val="32"/>
          <w:szCs w:val="32"/>
          <w:lang w:val="en-US" w:eastAsia="zh-CN"/>
        </w:rPr>
        <w:t>2.4</w:t>
      </w:r>
      <w:r>
        <w:rPr>
          <w:rFonts w:hint="eastAsia" w:ascii="仿宋_GB2312" w:eastAsia="仿宋_GB2312" w:cs="仿宋_GB2312"/>
          <w:kern w:val="0"/>
          <w:sz w:val="32"/>
          <w:szCs w:val="32"/>
        </w:rPr>
        <w:t>%，主要原因为</w:t>
      </w:r>
      <w:r>
        <w:rPr>
          <w:rFonts w:hint="eastAsia" w:ascii="仿宋_GB2312" w:eastAsia="仿宋_GB2312" w:cs="仿宋_GB2312"/>
          <w:kern w:val="0"/>
          <w:sz w:val="32"/>
          <w:szCs w:val="32"/>
          <w:lang w:val="en-US" w:eastAsia="zh-CN"/>
        </w:rPr>
        <w:t>2022年度有在职人员退休</w:t>
      </w:r>
      <w:r>
        <w:rPr>
          <w:rFonts w:hint="eastAsia" w:ascii="仿宋_GB2312" w:eastAsia="仿宋_GB2312" w:cs="仿宋_GB2312"/>
          <w:kern w:val="0"/>
          <w:sz w:val="32"/>
          <w:szCs w:val="32"/>
        </w:rPr>
        <w:t>。住房保障支出（类）主要用于按照国家政策规定向职工发放的住房公积金、提租补贴、购房补贴等住房改革方面的支出。</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5、农林水支出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年减少1</w:t>
      </w:r>
      <w:r>
        <w:rPr>
          <w:rFonts w:hint="eastAsia" w:ascii="仿宋_GB2312" w:eastAsia="仿宋_GB2312" w:cs="仿宋_GB2312"/>
          <w:kern w:val="0"/>
          <w:sz w:val="32"/>
          <w:szCs w:val="32"/>
          <w:lang w:val="en-US" w:eastAsia="zh-CN"/>
        </w:rPr>
        <w:t>.02</w:t>
      </w:r>
      <w:r>
        <w:rPr>
          <w:rFonts w:hint="eastAsia" w:ascii="仿宋_GB2312" w:eastAsia="仿宋_GB2312" w:cs="仿宋_GB2312"/>
          <w:kern w:val="0"/>
          <w:sz w:val="32"/>
          <w:szCs w:val="32"/>
        </w:rPr>
        <w:t>万元，下降</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%，原因为</w:t>
      </w:r>
      <w:r>
        <w:rPr>
          <w:rFonts w:hint="eastAsia" w:ascii="仿宋_GB2312" w:eastAsia="仿宋_GB2312" w:cs="仿宋_GB2312"/>
          <w:kern w:val="0"/>
          <w:sz w:val="32"/>
          <w:szCs w:val="32"/>
          <w:lang w:val="en-US" w:eastAsia="zh-CN"/>
        </w:rPr>
        <w:t>2022年未得</w:t>
      </w:r>
      <w:r>
        <w:rPr>
          <w:rFonts w:hint="eastAsia" w:ascii="仿宋_GB2312" w:eastAsia="仿宋_GB2312" w:cs="仿宋_GB2312"/>
          <w:kern w:val="0"/>
          <w:sz w:val="32"/>
          <w:szCs w:val="32"/>
        </w:rPr>
        <w:t>扶贫支出</w:t>
      </w:r>
      <w:r>
        <w:rPr>
          <w:rFonts w:hint="eastAsia" w:ascii="仿宋_GB2312" w:eastAsia="仿宋_GB2312" w:cs="仿宋_GB2312"/>
          <w:kern w:val="0"/>
          <w:sz w:val="32"/>
          <w:szCs w:val="32"/>
          <w:lang w:val="en-US" w:eastAsia="zh-CN"/>
        </w:rPr>
        <w:t>经费</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6.其他支出（</w:t>
      </w:r>
      <w:r>
        <w:rPr>
          <w:rFonts w:hint="eastAsia" w:ascii="仿宋_GB2312" w:eastAsia="仿宋_GB2312" w:cs="仿宋_GB2312"/>
          <w:kern w:val="0"/>
          <w:sz w:val="32"/>
          <w:szCs w:val="32"/>
          <w:lang w:val="en-US" w:eastAsia="zh-CN"/>
        </w:rPr>
        <w:t>229</w:t>
      </w:r>
      <w:r>
        <w:rPr>
          <w:rFonts w:hint="eastAsia" w:ascii="仿宋_GB2312" w:eastAsia="仿宋_GB2312" w:cs="仿宋_GB2312"/>
          <w:kern w:val="0"/>
          <w:sz w:val="32"/>
          <w:szCs w:val="32"/>
        </w:rPr>
        <w:t>类）1</w:t>
      </w:r>
      <w:r>
        <w:rPr>
          <w:rFonts w:hint="eastAsia" w:ascii="仿宋_GB2312" w:eastAsia="仿宋_GB2312" w:cs="仿宋_GB2312"/>
          <w:kern w:val="0"/>
          <w:sz w:val="32"/>
          <w:szCs w:val="32"/>
          <w:lang w:val="en-US" w:eastAsia="zh-CN"/>
        </w:rPr>
        <w:t>12.98</w:t>
      </w:r>
      <w:r>
        <w:rPr>
          <w:rFonts w:hint="eastAsia" w:ascii="仿宋_GB2312" w:eastAsia="仿宋_GB2312" w:cs="仿宋_GB2312"/>
          <w:kern w:val="0"/>
          <w:sz w:val="32"/>
          <w:szCs w:val="32"/>
        </w:rPr>
        <w:t>万元，主要用于在职人员绩效补助等。较202</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年</w:t>
      </w:r>
      <w:r>
        <w:rPr>
          <w:rFonts w:hint="eastAsia" w:ascii="仿宋_GB2312" w:eastAsia="仿宋_GB2312" w:cs="仿宋_GB2312"/>
          <w:kern w:val="0"/>
          <w:sz w:val="32"/>
          <w:szCs w:val="32"/>
          <w:lang w:val="en-US" w:eastAsia="zh-CN"/>
        </w:rPr>
        <w:t>减少</w:t>
      </w:r>
      <w:r>
        <w:rPr>
          <w:rFonts w:hint="eastAsia" w:ascii="仿宋_GB2312" w:eastAsia="仿宋_GB2312" w:cs="仿宋_GB2312"/>
          <w:kern w:val="0"/>
          <w:sz w:val="32"/>
          <w:szCs w:val="32"/>
        </w:rPr>
        <w:t>6</w:t>
      </w:r>
      <w:r>
        <w:rPr>
          <w:rFonts w:hint="eastAsia" w:ascii="仿宋_GB2312" w:eastAsia="仿宋_GB2312" w:cs="仿宋_GB2312"/>
          <w:kern w:val="0"/>
          <w:sz w:val="32"/>
          <w:szCs w:val="32"/>
          <w:lang w:val="en-US" w:eastAsia="zh-CN"/>
        </w:rPr>
        <w:t>3.18</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下降35.87</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w:t>
      </w:r>
      <w:r>
        <w:rPr>
          <w:rFonts w:hint="eastAsia" w:ascii="仿宋_GB2312" w:eastAsia="仿宋_GB2312" w:cs="仿宋_GB2312"/>
          <w:kern w:val="0"/>
          <w:sz w:val="32"/>
          <w:szCs w:val="32"/>
        </w:rPr>
        <w:t>为</w:t>
      </w:r>
      <w:r>
        <w:rPr>
          <w:rFonts w:hint="eastAsia" w:ascii="仿宋_GB2312" w:eastAsia="仿宋_GB2312" w:cs="仿宋_GB2312"/>
          <w:kern w:val="0"/>
          <w:sz w:val="32"/>
          <w:szCs w:val="32"/>
          <w:lang w:val="en-US" w:eastAsia="zh-CN"/>
        </w:rPr>
        <w:t>2022年度有在职人员退休。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.结余分配</w:t>
      </w:r>
      <w:r>
        <w:rPr>
          <w:rFonts w:hint="eastAsia" w:ascii="仿宋_GB2312" w:eastAsia="仿宋_GB2312"/>
          <w:kern w:val="0"/>
          <w:sz w:val="32"/>
          <w:szCs w:val="32"/>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年度决算数增加（减少）0万元，增长（下降）0%。</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rPr>
      </w:pPr>
      <w:r>
        <w:rPr>
          <w:rFonts w:hint="eastAsia" w:ascii="仿宋_GB2312" w:eastAsia="仿宋_GB2312" w:cs="仿宋_GB2312"/>
          <w:kern w:val="0"/>
          <w:sz w:val="32"/>
          <w:szCs w:val="32"/>
        </w:rPr>
        <w:t>8.年末结转和结余</w:t>
      </w:r>
      <w:r>
        <w:rPr>
          <w:rFonts w:hint="eastAsia" w:ascii="仿宋_GB2312" w:eastAsia="仿宋_GB2312"/>
          <w:kern w:val="0"/>
          <w:sz w:val="32"/>
          <w:szCs w:val="32"/>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w:t>
      </w:r>
    </w:p>
    <w:p>
      <w:pPr>
        <w:jc w:val="both"/>
        <w:rPr>
          <w:rFonts w:ascii="仿宋" w:hAnsi="仿宋" w:eastAsia="仿宋" w:cs="仿宋"/>
          <w:sz w:val="32"/>
          <w:szCs w:val="32"/>
          <w:highlight w:val="none"/>
        </w:rPr>
      </w:pPr>
      <w: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szCs w:val="32"/>
          <w:highlight w:val="none"/>
          <w:lang w:val="en-US" w:eastAsia="zh-CN"/>
        </w:rPr>
        <w:t>1292.73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101.78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7.3</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834.94</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457.79</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szCs w:val="32"/>
          <w:highlight w:val="none"/>
          <w:lang w:val="en-US" w:eastAsia="zh-CN"/>
        </w:rPr>
        <w:t>817.48</w:t>
      </w:r>
      <w:r>
        <w:rPr>
          <w:rFonts w:hint="eastAsia" w:ascii="仿宋" w:hAnsi="仿宋" w:eastAsia="仿宋" w:cs="仿宋"/>
          <w:sz w:val="32"/>
          <w:szCs w:val="32"/>
          <w:highlight w:val="none"/>
        </w:rPr>
        <w:t>万元，支出决算为</w:t>
      </w:r>
      <w:r>
        <w:rPr>
          <w:rFonts w:hint="eastAsia" w:ascii="仿宋" w:hAnsi="仿宋" w:eastAsia="仿宋" w:cs="仿宋"/>
          <w:sz w:val="32"/>
          <w:u w:color="auto"/>
          <w:lang w:val="en-US" w:eastAsia="zh-CN"/>
        </w:rPr>
        <w:t>1290.73</w:t>
      </w:r>
      <w:r>
        <w:rPr>
          <w:rFonts w:hint="eastAsia" w:ascii="仿宋" w:hAnsi="仿宋" w:eastAsia="仿宋" w:cs="仿宋"/>
          <w:sz w:val="32"/>
          <w:szCs w:val="32"/>
          <w:highlight w:val="none"/>
        </w:rPr>
        <w:t>万元，完成年初预算的</w:t>
      </w:r>
      <w:r>
        <w:rPr>
          <w:rFonts w:ascii="仿宋" w:hAnsi="仿宋" w:eastAsia="仿宋" w:cs="仿宋"/>
          <w:sz w:val="32"/>
          <w:u w:color="auto"/>
        </w:rPr>
        <w:t>1</w:t>
      </w:r>
      <w:r>
        <w:rPr>
          <w:rFonts w:hint="eastAsia" w:ascii="仿宋" w:hAnsi="仿宋" w:eastAsia="仿宋" w:cs="仿宋"/>
          <w:sz w:val="32"/>
          <w:u w:color="auto"/>
          <w:lang w:val="en-US" w:eastAsia="zh-CN"/>
        </w:rPr>
        <w:t>57.9</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u w:color="auto"/>
          <w:lang w:val="en-US" w:eastAsia="zh-CN"/>
        </w:rPr>
        <w:t>一般公共服务支出</w:t>
      </w:r>
      <w:r>
        <w:rPr>
          <w:rFonts w:ascii="仿宋" w:hAnsi="仿宋" w:eastAsia="仿宋"/>
          <w:sz w:val="32"/>
          <w:u w:color="auto"/>
        </w:rPr>
        <w:t>（</w:t>
      </w:r>
      <w:r>
        <w:rPr>
          <w:rFonts w:hint="eastAsia" w:ascii="仿宋" w:hAnsi="仿宋" w:eastAsia="仿宋"/>
          <w:sz w:val="32"/>
          <w:u w:color="auto"/>
          <w:lang w:val="en-US" w:eastAsia="zh-CN"/>
        </w:rPr>
        <w:t>201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10.29</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10.44</w:t>
      </w:r>
      <w:r>
        <w:rPr>
          <w:rFonts w:hint="eastAsia" w:ascii="仿宋" w:hAnsi="仿宋" w:eastAsia="仿宋"/>
          <w:sz w:val="32"/>
          <w:szCs w:val="32"/>
          <w:highlight w:val="none"/>
        </w:rPr>
        <w:t>万元，完成年初预算的</w:t>
      </w:r>
      <w:r>
        <w:rPr>
          <w:rFonts w:ascii="仿宋" w:hAnsi="仿宋" w:eastAsia="仿宋"/>
          <w:sz w:val="32"/>
          <w:szCs w:val="32"/>
          <w:highlight w:val="none"/>
        </w:rPr>
        <w:t>10</w:t>
      </w:r>
      <w:r>
        <w:rPr>
          <w:rFonts w:hint="eastAsia" w:ascii="仿宋" w:hAnsi="仿宋" w:eastAsia="仿宋"/>
          <w:sz w:val="32"/>
          <w:szCs w:val="32"/>
          <w:highlight w:val="none"/>
          <w:lang w:val="en-US" w:eastAsia="zh-CN"/>
        </w:rPr>
        <w:t>1.5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原因是2022年一条指标为2013601其他共产党事务支出行政运行</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10.29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b w:val="0"/>
                <w:bCs w:val="0"/>
                <w:i w:val="0"/>
                <w:iCs w:val="0"/>
                <w:color w:val="auto"/>
                <w:sz w:val="18"/>
                <w:szCs w:val="18"/>
                <w:highlight w:val="none"/>
                <w:u w:val="none"/>
                <w:lang w:val="en-US" w:eastAsia="zh-CN"/>
              </w:rPr>
              <w:t>二十大维稳费用支出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有一条指标下达为2013601行政运行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10.29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有一条指标下达为2013601行政运行</w:t>
            </w:r>
          </w:p>
        </w:tc>
      </w:tr>
    </w:tbl>
    <w:p>
      <w:pPr>
        <w:jc w:val="left"/>
        <w:rPr>
          <w:rFonts w:hint="eastAsia" w:ascii="仿宋" w:hAnsi="仿宋" w:eastAsia="仿宋"/>
          <w:sz w:val="32"/>
          <w:szCs w:val="32"/>
          <w:highlight w:val="none"/>
        </w:rPr>
      </w:pPr>
    </w:p>
    <w:p>
      <w:pPr>
        <w:jc w:val="left"/>
        <w:rPr>
          <w:rFonts w:hint="eastAsia" w:ascii="仿宋" w:hAnsi="仿宋" w:eastAsia="仿宋" w:cs="仿宋"/>
          <w:sz w:val="32"/>
          <w:szCs w:val="32"/>
          <w:highlight w:val="none"/>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u w:color="auto"/>
          <w:lang w:val="en-US" w:eastAsia="zh-CN"/>
        </w:rPr>
        <w:t>公共安全支出</w:t>
      </w:r>
      <w:r>
        <w:rPr>
          <w:rFonts w:ascii="仿宋" w:hAnsi="仿宋" w:eastAsia="仿宋"/>
          <w:sz w:val="32"/>
          <w:u w:color="auto"/>
        </w:rPr>
        <w:t>（20</w:t>
      </w:r>
      <w:r>
        <w:rPr>
          <w:rFonts w:hint="eastAsia" w:ascii="仿宋" w:hAnsi="仿宋" w:eastAsia="仿宋"/>
          <w:sz w:val="32"/>
          <w:u w:color="auto"/>
          <w:lang w:val="en-US" w:eastAsia="zh-CN"/>
        </w:rPr>
        <w:t>4</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663.06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1046.56</w:t>
      </w:r>
      <w:r>
        <w:rPr>
          <w:rFonts w:hint="eastAsia" w:ascii="仿宋" w:hAnsi="仿宋" w:eastAsia="仿宋"/>
          <w:sz w:val="32"/>
          <w:szCs w:val="32"/>
          <w:highlight w:val="none"/>
        </w:rPr>
        <w:t>万元，完成年初预算的</w:t>
      </w:r>
      <w:r>
        <w:rPr>
          <w:rFonts w:ascii="仿宋" w:hAnsi="仿宋" w:eastAsia="仿宋"/>
          <w:sz w:val="32"/>
          <w:szCs w:val="32"/>
          <w:highlight w:val="none"/>
        </w:rPr>
        <w:t>1</w:t>
      </w:r>
      <w:r>
        <w:rPr>
          <w:rFonts w:hint="eastAsia" w:ascii="仿宋" w:hAnsi="仿宋" w:eastAsia="仿宋"/>
          <w:sz w:val="32"/>
          <w:szCs w:val="32"/>
          <w:highlight w:val="none"/>
          <w:lang w:val="en-US" w:eastAsia="zh-CN"/>
        </w:rPr>
        <w:t>57.8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原因是：决算增加了上级转移经费支出</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595.76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566.99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95.2%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_GB2312" w:eastAsia="仿宋_GB2312" w:cs="仿宋_GB2312"/>
                <w:color w:val="auto"/>
                <w:kern w:val="0"/>
                <w:sz w:val="20"/>
                <w:szCs w:val="20"/>
              </w:rPr>
              <w:t>本部门为保证日常运转发生的基本支出和为完成各项工作任务、保障单位事业发展而发生的项目支出。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2022年有在职人员退休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人民调解案件补贴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年初预算在控制数内不能足额安排，年内做追加。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基层司法业务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131.6%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司法业务办案、法律顾问及行政复议经费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普法宣传</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13.35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13.35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普法宣传费用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2040607</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公共法律服务</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i w:val="0"/>
                <w:iCs w:val="0"/>
                <w:color w:val="auto"/>
                <w:sz w:val="18"/>
                <w:szCs w:val="18"/>
                <w:highlight w:val="none"/>
                <w:u w:val="none"/>
                <w:lang w:val="en-US" w:eastAsia="zh-CN"/>
              </w:rPr>
              <w:t>法律援助补贴费用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2040610</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社区矫正</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社区矫正工作经费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2040612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法治建设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智慧司法建设费用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2040699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其他司法支出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0.95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216.85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228.3%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司法办案业务费用、装备费用等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663.06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1046.56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保证日常运转发生的基本支出和项目支出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决算增加了上级转移支付经费</w:t>
            </w:r>
          </w:p>
        </w:tc>
      </w:tr>
    </w:tbl>
    <w:p>
      <w:pPr>
        <w:jc w:val="both"/>
        <w:rPr>
          <w:rFonts w:hint="eastAsia" w:ascii="仿宋" w:hAnsi="仿宋" w:eastAsia="仿宋" w:cs="仿宋"/>
          <w:sz w:val="32"/>
          <w:szCs w:val="32"/>
          <w:highlight w:val="none"/>
        </w:rPr>
      </w:pPr>
      <w:r>
        <w:drawing>
          <wp:inline distT="0" distB="0" distL="114300" distR="114300">
            <wp:extent cx="4572000" cy="2743200"/>
            <wp:effectExtent l="4445" t="4445" r="14605" b="14605"/>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82.36</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66.79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81.1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2022年度有在职人员转退休。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82.36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66.79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kern w:val="2"/>
                <w:sz w:val="20"/>
                <w:szCs w:val="20"/>
                <w:highlight w:val="none"/>
                <w:lang w:val="en-US" w:eastAsia="zh-CN" w:bidi="ar"/>
              </w:rPr>
              <w:t>2022年度有在职人员转退休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82.36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66.79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仿宋" w:hAnsi="仿宋" w:eastAsia="仿宋" w:cs="仿宋"/>
                <w:color w:val="auto"/>
                <w:kern w:val="2"/>
                <w:sz w:val="20"/>
                <w:szCs w:val="20"/>
                <w:highlight w:val="none"/>
                <w:lang w:val="en-US" w:eastAsia="zh-CN" w:bidi="ar"/>
              </w:rPr>
              <w:t>2022年度有在职人员转退休</w:t>
            </w:r>
          </w:p>
        </w:tc>
      </w:tr>
    </w:tbl>
    <w:p>
      <w:pPr>
        <w:jc w:val="left"/>
        <w:rPr>
          <w:rFonts w:ascii="仿宋" w:hAnsi="仿宋" w:eastAsia="仿宋"/>
          <w:sz w:val="32"/>
          <w:szCs w:val="32"/>
          <w:highlight w:val="none"/>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卫生健康支出</w:t>
      </w:r>
      <w:r>
        <w:rPr>
          <w:rFonts w:ascii="仿宋" w:hAnsi="仿宋" w:eastAsia="仿宋"/>
          <w:sz w:val="32"/>
          <w:highlight w:val="none"/>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无此类支出。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无此类支出。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无</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eastAsia="仿宋"/>
          <w:color w:val="auto"/>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61.77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55.96</w:t>
      </w:r>
      <w:r>
        <w:rPr>
          <w:rFonts w:hint="eastAsia" w:ascii="仿宋" w:hAnsi="仿宋" w:eastAsia="仿宋"/>
          <w:sz w:val="32"/>
          <w:szCs w:val="32"/>
          <w:highlight w:val="none"/>
        </w:rPr>
        <w:t>万元，完成年初预算的</w:t>
      </w:r>
      <w:r>
        <w:rPr>
          <w:rFonts w:ascii="仿宋" w:hAnsi="仿宋" w:eastAsia="仿宋"/>
          <w:sz w:val="32"/>
          <w:szCs w:val="32"/>
          <w:highlight w:val="none"/>
        </w:rPr>
        <w:t>9</w:t>
      </w:r>
      <w:r>
        <w:rPr>
          <w:rFonts w:hint="eastAsia" w:ascii="仿宋" w:hAnsi="仿宋" w:eastAsia="仿宋"/>
          <w:sz w:val="32"/>
          <w:szCs w:val="32"/>
          <w:highlight w:val="none"/>
          <w:lang w:val="en-US" w:eastAsia="zh-CN"/>
        </w:rPr>
        <w:t>0.6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2022年有在职人员退休。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55.96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2022年有在职人员退休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55.96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0"/>
                <w:szCs w:val="20"/>
                <w:highlight w:val="none"/>
                <w:lang w:val="en-US" w:eastAsia="zh-CN" w:bidi="ar"/>
              </w:rPr>
              <w:t>2022年有在职人员退休</w:t>
            </w:r>
          </w:p>
        </w:tc>
      </w:tr>
    </w:tbl>
    <w:p>
      <w:pPr>
        <w:jc w:val="left"/>
        <w:rPr>
          <w:rFonts w:hint="eastAsia" w:ascii="仿宋" w:hAnsi="仿宋" w:eastAsia="仿宋"/>
          <w:sz w:val="32"/>
          <w:szCs w:val="32"/>
          <w:highlight w:val="none"/>
          <w:lang w:eastAsia="zh-CN"/>
        </w:rPr>
      </w:pPr>
      <w:r>
        <w:drawing>
          <wp:inline distT="0" distB="0" distL="114300" distR="114300">
            <wp:extent cx="4572000" cy="3020695"/>
            <wp:effectExtent l="4445" t="4445" r="14605" b="2286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jc w:val="center"/>
        <w:rPr>
          <w:rFonts w:ascii="仿宋" w:hAnsi="仿宋" w:eastAsia="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highlight w:val="none"/>
          <w:lang w:val="en-US" w:eastAsia="zh-CN"/>
        </w:rPr>
        <w:t>834.94</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761.46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73.48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735.48</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w:t>
      </w:r>
      <w:r>
        <w:rPr>
          <w:rFonts w:hint="eastAsia" w:ascii="仿宋" w:hAnsi="仿宋" w:eastAsia="仿宋" w:cs="仿宋"/>
          <w:sz w:val="32"/>
          <w:szCs w:val="32"/>
          <w:highlight w:val="none"/>
          <w:lang w:val="en-US" w:eastAsia="zh-CN"/>
        </w:rPr>
        <w:t>18.9</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绩效工资等变动增加。</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192.75万元，30102津贴补贴157.22万元，30103奖金43.85万元，30106伙食补助费8.33万元，30107绩效工资130.52万元，30108机关事业单位基本养老保险缴费66.79万元，30110职工基本医疗保险缴费27.28万元，30111公务员医疗补助缴费0万元，30112其他社会保障缴费9.68万元，30113住房公积金58.43万元，30114医疗费0.3万元，30199其他工资福利支出40.33万元。</w:t>
      </w:r>
    </w:p>
    <w:p>
      <w:pPr>
        <w:jc w:val="left"/>
        <w:rPr>
          <w:rFonts w:hint="eastAsia" w:ascii="仿宋" w:hAnsi="仿宋" w:eastAsia="仿宋" w:cs="仿宋"/>
          <w:sz w:val="32"/>
          <w:szCs w:val="32"/>
          <w:highlight w:val="none"/>
        </w:rPr>
      </w:pPr>
      <w:r>
        <w:drawing>
          <wp:inline distT="0" distB="0" distL="114300" distR="114300">
            <wp:extent cx="4572000" cy="2743200"/>
            <wp:effectExtent l="4445" t="4445" r="14605" b="14605"/>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73.48</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84.2</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主要原因是：厉行节约，严控车辆费用，车辆费用未使用完毕。</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1.25万元，30205水费0.21万元，30206电费1.13万元，30207邮电费7.01万元，30209物业管理费1.8万元，30211差旅费6.81万元，30213维修（护）费0.02万元，30215会议费0万元，30216培训费0万元，30226劳务费0万元，30228工会经费10.29万元，30231公务用车运行维护费9.48万元，30239其他交通费用35.31万元，30299其他商品和服务支出0.17万元。</w:t>
      </w:r>
    </w:p>
    <w:p>
      <w:pPr>
        <w:jc w:val="left"/>
        <w:rPr>
          <w:rFonts w:hint="eastAsia" w:ascii="仿宋" w:hAnsi="仿宋" w:eastAsia="仿宋" w:cs="仿宋"/>
          <w:sz w:val="32"/>
          <w:szCs w:val="32"/>
          <w:highlight w:val="none"/>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对个人和家庭的补助</w:t>
      </w:r>
      <w:r>
        <w:rPr>
          <w:rFonts w:hint="eastAsia" w:ascii="仿宋" w:hAnsi="仿宋" w:eastAsia="仿宋" w:cs="仿宋"/>
          <w:sz w:val="32"/>
          <w:szCs w:val="32"/>
          <w:highlight w:val="none"/>
          <w:lang w:val="en-US" w:eastAsia="zh-CN"/>
        </w:rPr>
        <w:t>25.97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108.1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：2022年有在职人员转退休。</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30301离休费0万元，30302退休费0万元，30305生活补助25.23万元，30399其他对个人和家庭的补助0.74万元。</w:t>
      </w:r>
    </w:p>
    <w:p>
      <w:pPr>
        <w:jc w:val="left"/>
        <w:rPr>
          <w:rFonts w:hint="eastAsia" w:ascii="仿宋" w:hAnsi="仿宋" w:eastAsia="仿宋" w:cs="仿宋"/>
          <w:sz w:val="32"/>
          <w:szCs w:val="32"/>
          <w:highlight w:val="none"/>
        </w:rPr>
      </w:pPr>
      <w:r>
        <w:drawing>
          <wp:inline distT="0" distB="0" distL="114300" distR="114300">
            <wp:extent cx="4572000" cy="2743200"/>
            <wp:effectExtent l="4445" t="4445" r="14605" b="14605"/>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无差异。主要原因：无。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val="en-US" w:eastAsia="zh-CN"/>
        </w:rPr>
        <w:t>无差异。</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lang w:val="en-US" w:eastAsia="zh-CN"/>
        </w:rPr>
        <w:t>无差异。</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val="en-US" w:eastAsia="zh-CN"/>
        </w:rPr>
        <w:t>环江毛南族自治县司法局</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环江毛南族自治县司法局</w:t>
      </w:r>
      <w:r>
        <w:rPr>
          <w:rFonts w:hint="eastAsia" w:ascii="仿宋" w:hAnsi="仿宋" w:eastAsia="仿宋" w:cs="仿宋"/>
          <w:sz w:val="32"/>
          <w:szCs w:val="32"/>
          <w:highlight w:val="none"/>
        </w:rPr>
        <w:t>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2" w:name="PO_part3A5B1C1DiffReason1"/>
      <w:r>
        <w:rPr>
          <w:rFonts w:hint="eastAsia" w:ascii="仿宋_GB2312" w:hAnsi="Times New Roman" w:eastAsia="仿宋_GB2312" w:cs="Times New Roman"/>
          <w:color w:val="auto"/>
          <w:sz w:val="32"/>
          <w:szCs w:val="32"/>
          <w:lang w:val="en-US" w:eastAsia="zh-CN"/>
        </w:rPr>
        <w:t>环江毛南族自治县司法局</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2"/>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10.49</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50.</w:t>
      </w:r>
      <w:r>
        <w:rPr>
          <w:rFonts w:hint="eastAsia" w:ascii="仿宋" w:hAnsi="仿宋" w:eastAsia="仿宋" w:cs="仿宋"/>
          <w:sz w:val="32"/>
          <w:szCs w:val="32"/>
          <w:highlight w:val="none"/>
          <w:lang w:val="en-US" w:eastAsia="zh-CN"/>
        </w:rPr>
        <w:t>7</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val="en-US" w:eastAsia="zh-CN"/>
        </w:rPr>
        <w:t>减少31.41</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2021年有新购公务用车，2022年无新购车。</w:t>
      </w:r>
      <w:r>
        <w:rPr>
          <w:rFonts w:hint="eastAsia" w:ascii="仿宋" w:hAnsi="仿宋" w:eastAsia="仿宋" w:cs="仿宋"/>
          <w:color w:val="auto"/>
          <w:sz w:val="32"/>
          <w:szCs w:val="32"/>
          <w:highlight w:val="none"/>
        </w:rPr>
        <w:t>其中：因公出国（境）费支出决算</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万元，公务</w:t>
      </w:r>
      <w:r>
        <w:rPr>
          <w:rFonts w:hint="eastAsia" w:ascii="仿宋" w:hAnsi="仿宋" w:eastAsia="仿宋" w:cs="仿宋"/>
          <w:sz w:val="32"/>
          <w:szCs w:val="32"/>
          <w:highlight w:val="none"/>
        </w:rPr>
        <w:t>用车购置及运行费支出决算</w:t>
      </w:r>
      <w:r>
        <w:rPr>
          <w:rFonts w:hint="eastAsia" w:ascii="仿宋" w:hAnsi="仿宋" w:eastAsia="仿宋" w:cs="仿宋"/>
          <w:sz w:val="32"/>
          <w:szCs w:val="32"/>
          <w:highlight w:val="none"/>
          <w:lang w:val="en-US" w:eastAsia="zh-CN"/>
        </w:rPr>
        <w:t>9.48</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1.01</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_GB2312" w:hAnsi="Times New Roman" w:eastAsia="仿宋_GB2312" w:cs="Times New Roman"/>
          <w:color w:val="auto"/>
          <w:sz w:val="32"/>
          <w:szCs w:val="32"/>
          <w:lang w:val="en-US" w:eastAsia="zh-CN"/>
        </w:rPr>
        <w:t>无。</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w:t>
      </w:r>
      <w:r>
        <w:rPr>
          <w:rFonts w:hint="eastAsia" w:ascii="仿宋" w:hAnsi="仿宋" w:eastAsia="仿宋" w:cs="仿宋"/>
          <w:sz w:val="32"/>
          <w:szCs w:val="32"/>
          <w:highlight w:val="none"/>
        </w:rPr>
        <w:t>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无</w:t>
      </w:r>
      <w:r>
        <w:rPr>
          <w:rFonts w:hint="eastAsia" w:ascii="仿宋_GB2312" w:hAnsi="Times New Roman" w:eastAsia="仿宋_GB2312" w:cs="Times New Roman"/>
          <w:color w:val="FF0000"/>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szCs w:val="32"/>
          <w:highlight w:val="none"/>
          <w:lang w:val="en-US" w:eastAsia="zh-CN"/>
        </w:rPr>
        <w:t>9.48</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3" w:name="PO_part3A6B2IncReason1"/>
      <w:r>
        <w:rPr>
          <w:rFonts w:hint="eastAsia" w:ascii="仿宋" w:hAnsi="仿宋" w:eastAsia="仿宋" w:cs="仿宋"/>
          <w:color w:val="auto"/>
          <w:sz w:val="32"/>
          <w:szCs w:val="32"/>
        </w:rPr>
        <w:t>本部门无公务用车购置</w:t>
      </w:r>
      <w:bookmarkEnd w:id="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rPr>
        <w:t>公务用车运行维护支出</w:t>
      </w:r>
      <w:r>
        <w:rPr>
          <w:rFonts w:hint="eastAsia" w:ascii="仿宋" w:hAnsi="仿宋" w:eastAsia="仿宋" w:cs="仿宋"/>
          <w:color w:val="auto"/>
          <w:sz w:val="32"/>
          <w:szCs w:val="32"/>
          <w:highlight w:val="none"/>
          <w:lang w:val="en-US" w:eastAsia="zh-CN"/>
        </w:rPr>
        <w:t>9.48</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50.7</w:t>
      </w:r>
      <w:r>
        <w:rPr>
          <w:rFonts w:ascii="仿宋" w:hAnsi="仿宋" w:eastAsia="仿宋" w:cs="仿宋"/>
          <w:color w:val="auto"/>
          <w:sz w:val="32"/>
          <w:u w:color="auto"/>
        </w:rPr>
        <w:t>%</w:t>
      </w:r>
      <w:r>
        <w:rPr>
          <w:rFonts w:hint="eastAsia" w:ascii="仿宋" w:hAnsi="仿宋" w:eastAsia="仿宋" w:cs="仿宋"/>
          <w:color w:val="auto"/>
          <w:sz w:val="32"/>
          <w:szCs w:val="32"/>
          <w:highlight w:val="none"/>
        </w:rPr>
        <w:t>，比上年</w:t>
      </w:r>
      <w:r>
        <w:rPr>
          <w:rFonts w:hint="eastAsia" w:ascii="仿宋" w:hAnsi="仿宋" w:eastAsia="仿宋" w:cs="仿宋"/>
          <w:color w:val="auto"/>
          <w:sz w:val="32"/>
          <w:szCs w:val="32"/>
          <w:highlight w:val="none"/>
          <w:lang w:val="en-US" w:eastAsia="zh-CN"/>
        </w:rPr>
        <w:t>减少4.25</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highlight w:val="none"/>
          <w:lang w:val="en-US" w:eastAsia="zh-CN"/>
        </w:rPr>
        <w:t>节约公务用车费用</w:t>
      </w:r>
      <w:r>
        <w:rPr>
          <w:rFonts w:hint="eastAsia" w:ascii="仿宋" w:hAnsi="仿宋" w:eastAsia="仿宋" w:cs="仿宋"/>
          <w:color w:val="auto"/>
          <w:sz w:val="32"/>
          <w:szCs w:val="32"/>
          <w:highlight w:val="none"/>
        </w:rPr>
        <w:t>。主要用于机要文件交换、市内因公出行以及开展</w:t>
      </w:r>
      <w:r>
        <w:rPr>
          <w:rFonts w:hint="eastAsia" w:ascii="仿宋" w:hAnsi="仿宋" w:eastAsia="仿宋" w:cs="仿宋"/>
          <w:color w:val="auto"/>
          <w:sz w:val="32"/>
          <w:szCs w:val="32"/>
          <w:highlight w:val="none"/>
          <w:lang w:val="en-US" w:eastAsia="zh-CN"/>
        </w:rPr>
        <w:t>司法</w:t>
      </w:r>
      <w:r>
        <w:rPr>
          <w:rFonts w:hint="eastAsia" w:ascii="仿宋" w:hAnsi="仿宋" w:eastAsia="仿宋" w:cs="仿宋"/>
          <w:color w:val="auto"/>
          <w:sz w:val="32"/>
          <w:szCs w:val="32"/>
          <w:highlight w:val="none"/>
        </w:rPr>
        <w:t>业务所需车辆燃料费、维修费、过路过桥费、保险费等”。2022年，</w:t>
      </w:r>
      <w:r>
        <w:rPr>
          <w:rFonts w:hint="eastAsia" w:ascii="仿宋" w:hAnsi="仿宋" w:eastAsia="仿宋" w:cs="仿宋"/>
          <w:color w:val="auto"/>
          <w:sz w:val="32"/>
          <w:u w:color="auto"/>
          <w:lang w:val="en-US" w:eastAsia="zh-CN"/>
        </w:rPr>
        <w:t>环江毛南族自治县司法局</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12个</w:t>
      </w:r>
      <w:r>
        <w:rPr>
          <w:rFonts w:hint="eastAsia" w:ascii="仿宋" w:hAnsi="仿宋" w:eastAsia="仿宋" w:cs="仿宋"/>
          <w:color w:val="auto"/>
          <w:sz w:val="32"/>
          <w:szCs w:val="32"/>
          <w:highlight w:val="none"/>
        </w:rPr>
        <w:t>所属单位开支财政拨款的公务用车保有量为</w:t>
      </w:r>
      <w:r>
        <w:rPr>
          <w:rFonts w:hint="eastAsia" w:ascii="仿宋" w:hAnsi="仿宋" w:eastAsia="仿宋" w:cs="仿宋"/>
          <w:color w:val="auto"/>
          <w:sz w:val="32"/>
          <w:szCs w:val="32"/>
          <w:highlight w:val="none"/>
          <w:lang w:val="en-US" w:eastAsia="zh-CN"/>
        </w:rPr>
        <w:t>11</w:t>
      </w:r>
      <w:r>
        <w:rPr>
          <w:rFonts w:hint="eastAsia" w:ascii="仿宋" w:hAnsi="仿宋" w:eastAsia="仿宋" w:cs="仿宋"/>
          <w:color w:val="auto"/>
          <w:sz w:val="32"/>
          <w:szCs w:val="32"/>
          <w:highlight w:val="none"/>
        </w:rPr>
        <w:t>辆，全年运行费支出</w:t>
      </w:r>
      <w:r>
        <w:rPr>
          <w:rFonts w:hint="eastAsia" w:ascii="仿宋" w:hAnsi="仿宋" w:eastAsia="仿宋" w:cs="仿宋"/>
          <w:color w:val="auto"/>
          <w:sz w:val="32"/>
          <w:u w:color="auto"/>
          <w:lang w:val="en-US" w:eastAsia="zh-CN"/>
        </w:rPr>
        <w:t>9.48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0.86</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1.01</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50.5%</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val="en-US" w:eastAsia="zh-CN"/>
        </w:rPr>
        <w:t>减少0.9</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主要原因是：厉行节约控制“三公”经费相关支出。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20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86</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73.48</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减少1</w:t>
      </w:r>
      <w:r>
        <w:rPr>
          <w:rFonts w:hint="eastAsia" w:ascii="仿宋" w:hAnsi="仿宋" w:eastAsia="仿宋" w:cs="仿宋"/>
          <w:sz w:val="32"/>
          <w:szCs w:val="32"/>
          <w:highlight w:val="none"/>
          <w:lang w:val="en-US" w:eastAsia="zh-CN"/>
        </w:rPr>
        <w:t>3.83</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15.8</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4.33</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6.3</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主要原因是：</w:t>
      </w:r>
      <w:r>
        <w:rPr>
          <w:rFonts w:hint="eastAsia" w:ascii="仿宋" w:hAnsi="仿宋" w:eastAsia="仿宋" w:cs="仿宋"/>
          <w:color w:val="auto"/>
          <w:sz w:val="32"/>
          <w:szCs w:val="32"/>
          <w:highlight w:val="none"/>
          <w:lang w:val="en-US" w:eastAsia="zh-CN"/>
        </w:rPr>
        <w:t>公务用车</w:t>
      </w:r>
      <w:r>
        <w:rPr>
          <w:rFonts w:hint="eastAsia" w:ascii="仿宋" w:hAnsi="仿宋" w:eastAsia="仿宋" w:cs="仿宋"/>
          <w:color w:val="auto"/>
          <w:sz w:val="32"/>
          <w:szCs w:val="32"/>
          <w:highlight w:val="none"/>
        </w:rPr>
        <w:t>运行维护</w:t>
      </w:r>
      <w:r>
        <w:rPr>
          <w:rFonts w:hint="eastAsia" w:ascii="仿宋" w:hAnsi="仿宋" w:eastAsia="仿宋" w:cs="仿宋"/>
          <w:color w:val="auto"/>
          <w:sz w:val="32"/>
          <w:szCs w:val="32"/>
          <w:highlight w:val="none"/>
          <w:lang w:val="en-US" w:eastAsia="zh-CN"/>
        </w:rPr>
        <w:t>费</w:t>
      </w:r>
      <w:r>
        <w:rPr>
          <w:rFonts w:hint="eastAsia" w:ascii="仿宋" w:hAnsi="仿宋" w:eastAsia="仿宋" w:cs="仿宋"/>
          <w:color w:val="auto"/>
          <w:sz w:val="32"/>
          <w:szCs w:val="32"/>
          <w:highlight w:val="none"/>
        </w:rPr>
        <w:t>支出减少</w:t>
      </w:r>
      <w:r>
        <w:rPr>
          <w:rFonts w:hint="eastAsia" w:ascii="仿宋" w:hAnsi="仿宋" w:eastAsia="仿宋" w:cs="仿宋"/>
          <w:color w:val="auto"/>
          <w:sz w:val="32"/>
          <w:szCs w:val="32"/>
          <w:highlight w:val="none"/>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31.74</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31.74</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473.83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103.5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widowControl/>
        <w:suppressLineNumbers w:val="0"/>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sz w:val="32"/>
          <w:szCs w:val="32"/>
        </w:rPr>
        <w:t>普法依法治理工作业务支出</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sz w:val="32"/>
          <w:szCs w:val="32"/>
        </w:rPr>
        <w:t>人民调解员办案补贴经费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社区矫正人民调解安置帮教工作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法</w:t>
      </w:r>
      <w:r>
        <w:rPr>
          <w:rFonts w:hint="eastAsia" w:ascii="仿宋" w:hAnsi="仿宋" w:eastAsia="仿宋" w:cs="仿宋"/>
          <w:color w:val="000000"/>
          <w:sz w:val="32"/>
          <w:szCs w:val="32"/>
          <w:lang w:val="en-US" w:eastAsia="zh-CN"/>
        </w:rPr>
        <w:t>律</w:t>
      </w:r>
      <w:r>
        <w:rPr>
          <w:rFonts w:hint="eastAsia" w:ascii="仿宋" w:hAnsi="仿宋" w:eastAsia="仿宋" w:cs="仿宋"/>
          <w:color w:val="000000"/>
          <w:sz w:val="32"/>
          <w:szCs w:val="32"/>
        </w:rPr>
        <w:t>援助配套业务补助经费支出</w:t>
      </w:r>
      <w:r>
        <w:rPr>
          <w:rFonts w:hint="eastAsia" w:ascii="仿宋" w:hAnsi="仿宋" w:eastAsia="仿宋" w:cs="仿宋"/>
          <w:color w:val="000000"/>
          <w:sz w:val="32"/>
          <w:szCs w:val="32"/>
          <w:lang w:eastAsia="zh-CN"/>
        </w:rPr>
        <w:t>”</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auto"/>
          <w:sz w:val="32"/>
          <w:szCs w:val="32"/>
          <w:lang w:val="en-US" w:eastAsia="zh-CN"/>
        </w:rPr>
        <w:t>473.83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ascii="仿宋" w:hAnsi="仿宋" w:eastAsia="仿宋" w:cs="仿宋"/>
          <w:color w:val="000000"/>
          <w:kern w:val="0"/>
          <w:sz w:val="31"/>
          <w:szCs w:val="31"/>
          <w:lang w:val="en-US" w:eastAsia="zh-CN" w:bidi="ar"/>
        </w:rPr>
        <w:t>从评价情况来</w:t>
      </w:r>
      <w:r>
        <w:rPr>
          <w:rFonts w:hint="eastAsia" w:ascii="仿宋" w:hAnsi="仿宋" w:eastAsia="仿宋" w:cs="仿宋"/>
          <w:color w:val="000000"/>
          <w:kern w:val="0"/>
          <w:sz w:val="31"/>
          <w:szCs w:val="31"/>
          <w:lang w:val="en-US" w:eastAsia="zh-CN" w:bidi="ar"/>
        </w:rPr>
        <w:t>看，共有28个项目得分90分以上，自评结论一等。经自评，我单位工作成效显著，圆满完成了各项目标任务，保障各项业务正常运转，推动各项工作有序推进，取得良好成绩。</w:t>
      </w:r>
    </w:p>
    <w:p>
      <w:pPr>
        <w:keepNext w:val="0"/>
        <w:keepLines w:val="0"/>
        <w:widowControl/>
        <w:suppressLineNumbers w:val="0"/>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部门开展整体支出绩效评价</w:t>
      </w:r>
      <w:r>
        <w:rPr>
          <w:rFonts w:hint="eastAsia" w:ascii="仿宋" w:hAnsi="仿宋" w:eastAsia="仿宋" w:cs="仿宋"/>
          <w:color w:val="000000" w:themeColor="text1"/>
          <w:sz w:val="32"/>
          <w:szCs w:val="32"/>
          <w:lang w:val="en-US" w:eastAsia="zh-CN"/>
          <w14:textFill>
            <w14:solidFill>
              <w14:schemeClr w14:val="tx1"/>
            </w14:solidFill>
          </w14:textFill>
        </w:rPr>
        <w:t>自评</w:t>
      </w:r>
      <w:r>
        <w:rPr>
          <w:rFonts w:hint="eastAsia" w:ascii="仿宋" w:hAnsi="仿宋" w:eastAsia="仿宋" w:cs="仿宋"/>
          <w:color w:val="000000" w:themeColor="text1"/>
          <w:sz w:val="32"/>
          <w:szCs w:val="32"/>
          <w14:textFill>
            <w14:solidFill>
              <w14:schemeClr w14:val="tx1"/>
            </w14:solidFill>
          </w14:textFill>
        </w:rPr>
        <w:t>，涉及一般公共预算支出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1013.57</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ascii="仿宋" w:hAnsi="仿宋" w:eastAsia="仿宋" w:cs="仿宋"/>
          <w:color w:val="000000"/>
          <w:kern w:val="0"/>
          <w:sz w:val="31"/>
          <w:szCs w:val="31"/>
          <w:lang w:val="en-US" w:eastAsia="zh-CN" w:bidi="ar"/>
        </w:rPr>
        <w:t xml:space="preserve">整体支出自评得分 </w:t>
      </w:r>
      <w:r>
        <w:rPr>
          <w:rFonts w:hint="eastAsia" w:ascii="仿宋" w:hAnsi="仿宋" w:eastAsia="仿宋" w:cs="仿宋"/>
          <w:color w:val="000000"/>
          <w:kern w:val="0"/>
          <w:sz w:val="31"/>
          <w:szCs w:val="31"/>
          <w:lang w:val="en-US" w:eastAsia="zh-CN" w:bidi="ar"/>
        </w:rPr>
        <w:t>91.82，预算执行得分9.18分，存在扣分情况，主要是未能在2022年12月31日完成执行支出100%。</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auto"/>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60" w:lineRule="exact"/>
        <w:ind w:left="0" w:right="0" w:firstLine="640" w:firstLineChars="200"/>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96.11</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ascii="仿宋" w:hAnsi="仿宋" w:eastAsia="仿宋" w:cs="仿宋"/>
          <w:color w:val="000000"/>
          <w:kern w:val="0"/>
          <w:sz w:val="31"/>
          <w:szCs w:val="31"/>
          <w:lang w:val="en-US" w:eastAsia="zh-CN" w:bidi="ar"/>
        </w:rPr>
        <w:t>1、</w:t>
      </w:r>
      <w:r>
        <w:rPr>
          <w:rFonts w:hint="eastAsia" w:ascii="仿宋_GB2312" w:hAnsi="仿宋_GB2312" w:eastAsia="仿宋_GB2312" w:cs="仿宋_GB2312"/>
          <w:i w:val="0"/>
          <w:iCs w:val="0"/>
          <w:caps w:val="0"/>
          <w:color w:val="000000"/>
          <w:spacing w:val="0"/>
          <w:sz w:val="32"/>
          <w:szCs w:val="32"/>
          <w:shd w:val="clear" w:fill="FFFFFF"/>
          <w:lang w:val="en-US" w:eastAsia="zh-CN"/>
        </w:rPr>
        <w:t>预算项目</w:t>
      </w:r>
      <w:r>
        <w:rPr>
          <w:rFonts w:hint="eastAsia" w:ascii="仿宋_GB2312" w:hAnsi="仿宋_GB2312" w:eastAsia="仿宋_GB2312" w:cs="仿宋_GB2312"/>
          <w:i w:val="0"/>
          <w:iCs w:val="0"/>
          <w:caps w:val="0"/>
          <w:color w:val="000000"/>
          <w:spacing w:val="0"/>
          <w:sz w:val="32"/>
          <w:szCs w:val="32"/>
          <w:shd w:val="clear" w:fill="FFFFFF"/>
        </w:rPr>
        <w:t>绩效的宣传力度不够，收到财政厅下发的</w:t>
      </w:r>
      <w:r>
        <w:rPr>
          <w:rFonts w:hint="eastAsia" w:ascii="仿宋_GB2312" w:hAnsi="仿宋_GB2312" w:eastAsia="仿宋_GB2312" w:cs="仿宋_GB2312"/>
          <w:i w:val="0"/>
          <w:iCs w:val="0"/>
          <w:caps w:val="0"/>
          <w:color w:val="000000"/>
          <w:spacing w:val="0"/>
          <w:sz w:val="32"/>
          <w:szCs w:val="32"/>
          <w:shd w:val="clear" w:fill="FFFFFF"/>
          <w:lang w:val="en-US" w:eastAsia="zh-CN"/>
        </w:rPr>
        <w:t>预算项目绩效</w:t>
      </w:r>
      <w:r>
        <w:rPr>
          <w:rFonts w:hint="eastAsia" w:ascii="仿宋_GB2312" w:hAnsi="仿宋_GB2312" w:eastAsia="仿宋_GB2312" w:cs="仿宋_GB2312"/>
          <w:i w:val="0"/>
          <w:iCs w:val="0"/>
          <w:caps w:val="0"/>
          <w:color w:val="000000"/>
          <w:spacing w:val="0"/>
          <w:sz w:val="32"/>
          <w:szCs w:val="32"/>
          <w:shd w:val="clear" w:fill="FFFFFF"/>
        </w:rPr>
        <w:t>方面的文件，直接签批给财务办理，导致项目具体实施处室不了解文件内容，起不到向项目实施处室宣传及沟通的作用。</w:t>
      </w:r>
      <w:r>
        <w:rPr>
          <w:rFonts w:hint="eastAsia" w:ascii="仿宋" w:hAnsi="仿宋" w:eastAsia="仿宋" w:cs="仿宋"/>
          <w:color w:val="000000"/>
          <w:kern w:val="0"/>
          <w:sz w:val="31"/>
          <w:szCs w:val="31"/>
          <w:lang w:val="en-US" w:eastAsia="zh-CN" w:bidi="ar"/>
        </w:rPr>
        <w:t>2、本年度项目已完成，但因库款紧张，无法完成支付等。</w:t>
      </w:r>
    </w:p>
    <w:p>
      <w:pPr>
        <w:keepNext w:val="0"/>
        <w:keepLines w:val="0"/>
        <w:widowControl/>
        <w:suppressLineNumbers w:val="0"/>
        <w:ind w:firstLine="640" w:firstLineChars="200"/>
        <w:jc w:val="left"/>
      </w:pPr>
      <w:r>
        <w:rPr>
          <w:rFonts w:hint="eastAsia" w:ascii="仿宋" w:hAnsi="仿宋" w:eastAsia="仿宋" w:cs="仿宋"/>
          <w:color w:val="000000" w:themeColor="text1"/>
          <w:sz w:val="32"/>
          <w:szCs w:val="32"/>
          <w14:textFill>
            <w14:solidFill>
              <w14:schemeClr w14:val="tx1"/>
            </w14:solidFill>
          </w14:textFill>
        </w:rPr>
        <w:t>下一步改进措施：</w:t>
      </w:r>
      <w:r>
        <w:rPr>
          <w:rFonts w:ascii="仿宋" w:hAnsi="仿宋" w:eastAsia="仿宋" w:cs="仿宋"/>
          <w:color w:val="000000"/>
          <w:kern w:val="0"/>
          <w:sz w:val="31"/>
          <w:szCs w:val="31"/>
          <w:lang w:val="en-US" w:eastAsia="zh-CN" w:bidi="ar"/>
        </w:rPr>
        <w:t xml:space="preserve">1、认真研究政策，加强沟通，加快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资金支付进度，提高财政资金使用效率；2、加强绩效管理，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逐步规范绩效目标的编制，加强绩效跟踪监控，提升绩效评 </w:t>
      </w:r>
    </w:p>
    <w:p>
      <w:pPr>
        <w:keepNext w:val="0"/>
        <w:keepLines w:val="0"/>
        <w:widowControl/>
        <w:suppressLineNumbers w:val="0"/>
        <w:jc w:val="left"/>
        <w:rPr>
          <w:rFonts w:hint="eastAsia" w:ascii="黑体" w:hAnsi="黑体" w:eastAsia="黑体" w:cs="黑体"/>
          <w:sz w:val="32"/>
          <w:szCs w:val="32"/>
          <w:highlight w:val="none"/>
        </w:rPr>
      </w:pPr>
      <w:r>
        <w:rPr>
          <w:rFonts w:hint="eastAsia" w:ascii="仿宋" w:hAnsi="仿宋" w:eastAsia="仿宋" w:cs="仿宋"/>
          <w:color w:val="000000"/>
          <w:kern w:val="0"/>
          <w:sz w:val="31"/>
          <w:szCs w:val="31"/>
          <w:lang w:val="en-US" w:eastAsia="zh-CN" w:bidi="ar"/>
        </w:rPr>
        <w:t>价质量</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i w:val="0"/>
          <w:iCs w:val="0"/>
          <w:caps w:val="0"/>
          <w:color w:val="000000"/>
          <w:spacing w:val="0"/>
          <w:sz w:val="32"/>
          <w:szCs w:val="32"/>
          <w:shd w:val="clear" w:fill="FFFFFF"/>
        </w:rPr>
        <w:t>部门预算绩效管理工作是一项长期性的工作，专业性强、工作量大、建议财政部门进一步加强开展相关业务工作培训，多开展以各部门之间的经验交流以及实地考察学习等方式的培训，</w:t>
      </w:r>
      <w:r>
        <w:rPr>
          <w:rFonts w:hint="eastAsia" w:ascii="仿宋_GB2312" w:hAnsi="仿宋_GB2312" w:eastAsia="仿宋_GB2312" w:cs="仿宋_GB2312"/>
          <w:i w:val="0"/>
          <w:iCs w:val="0"/>
          <w:caps w:val="0"/>
          <w:color w:val="000000"/>
          <w:spacing w:val="0"/>
          <w:sz w:val="32"/>
          <w:szCs w:val="32"/>
          <w:shd w:val="clear" w:fill="FFFFFF"/>
          <w:lang w:val="en-US" w:eastAsia="zh-CN"/>
        </w:rPr>
        <w:t>在单位提交绩效目标及自评时，严格审核纠错，在实践中不断学习，</w:t>
      </w:r>
      <w:r>
        <w:rPr>
          <w:rFonts w:hint="eastAsia" w:ascii="仿宋_GB2312" w:hAnsi="仿宋_GB2312" w:eastAsia="仿宋_GB2312" w:cs="仿宋_GB2312"/>
          <w:i w:val="0"/>
          <w:iCs w:val="0"/>
          <w:caps w:val="0"/>
          <w:color w:val="000000"/>
          <w:spacing w:val="0"/>
          <w:sz w:val="32"/>
          <w:szCs w:val="32"/>
          <w:shd w:val="clear" w:fill="FFFFFF"/>
        </w:rPr>
        <w:t>从而进一步推进各部门预算绩效管理工作。</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4" w:name="_GoBack"/>
      <w:bookmarkEnd w:id="4"/>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691008A"/>
    <w:rsid w:val="07B0770E"/>
    <w:rsid w:val="0942143F"/>
    <w:rsid w:val="0D100297"/>
    <w:rsid w:val="0D202B45"/>
    <w:rsid w:val="0F8D4C87"/>
    <w:rsid w:val="10505FAA"/>
    <w:rsid w:val="105F7E7E"/>
    <w:rsid w:val="11E56B5B"/>
    <w:rsid w:val="125C77AB"/>
    <w:rsid w:val="14B7278A"/>
    <w:rsid w:val="14CB726E"/>
    <w:rsid w:val="17E92249"/>
    <w:rsid w:val="18D304F1"/>
    <w:rsid w:val="19F32577"/>
    <w:rsid w:val="19F45B80"/>
    <w:rsid w:val="1B0C078D"/>
    <w:rsid w:val="1B2B31E2"/>
    <w:rsid w:val="1B4C295A"/>
    <w:rsid w:val="1B973C63"/>
    <w:rsid w:val="1BA1001E"/>
    <w:rsid w:val="1BAA20EB"/>
    <w:rsid w:val="1C393D1E"/>
    <w:rsid w:val="1D317259"/>
    <w:rsid w:val="1E664F5B"/>
    <w:rsid w:val="1EB34BE1"/>
    <w:rsid w:val="1F680DB1"/>
    <w:rsid w:val="215E639F"/>
    <w:rsid w:val="21EC3183"/>
    <w:rsid w:val="225E72CD"/>
    <w:rsid w:val="231B2164"/>
    <w:rsid w:val="246E2F77"/>
    <w:rsid w:val="249F6523"/>
    <w:rsid w:val="254B4E2B"/>
    <w:rsid w:val="283D7C94"/>
    <w:rsid w:val="291B12D8"/>
    <w:rsid w:val="29480E03"/>
    <w:rsid w:val="2983634D"/>
    <w:rsid w:val="2BB02055"/>
    <w:rsid w:val="2C575A56"/>
    <w:rsid w:val="2F257714"/>
    <w:rsid w:val="2F3275E5"/>
    <w:rsid w:val="30AA08EF"/>
    <w:rsid w:val="30D23D1C"/>
    <w:rsid w:val="31221CF5"/>
    <w:rsid w:val="31400178"/>
    <w:rsid w:val="321E3342"/>
    <w:rsid w:val="327759C8"/>
    <w:rsid w:val="32FF69F4"/>
    <w:rsid w:val="33185FE3"/>
    <w:rsid w:val="34EE2E36"/>
    <w:rsid w:val="36777241"/>
    <w:rsid w:val="38045CE5"/>
    <w:rsid w:val="38A951DB"/>
    <w:rsid w:val="38B31605"/>
    <w:rsid w:val="39003F4F"/>
    <w:rsid w:val="3C07002B"/>
    <w:rsid w:val="3C1C51AF"/>
    <w:rsid w:val="3D0D152A"/>
    <w:rsid w:val="3DF62756"/>
    <w:rsid w:val="3F1B7587"/>
    <w:rsid w:val="3F307DEC"/>
    <w:rsid w:val="3F8A45CE"/>
    <w:rsid w:val="41E57B4F"/>
    <w:rsid w:val="432F26F6"/>
    <w:rsid w:val="43880F63"/>
    <w:rsid w:val="441C5A6F"/>
    <w:rsid w:val="44C44FCC"/>
    <w:rsid w:val="44CC7369"/>
    <w:rsid w:val="457F5108"/>
    <w:rsid w:val="46951B6B"/>
    <w:rsid w:val="469541F4"/>
    <w:rsid w:val="495956E8"/>
    <w:rsid w:val="49A34401"/>
    <w:rsid w:val="4A3E30AB"/>
    <w:rsid w:val="4AC14DAC"/>
    <w:rsid w:val="4D154C85"/>
    <w:rsid w:val="4EC8553A"/>
    <w:rsid w:val="4EF376A9"/>
    <w:rsid w:val="508F4E24"/>
    <w:rsid w:val="5130722E"/>
    <w:rsid w:val="51461E90"/>
    <w:rsid w:val="51463753"/>
    <w:rsid w:val="52553A93"/>
    <w:rsid w:val="526418A9"/>
    <w:rsid w:val="527632EF"/>
    <w:rsid w:val="53521F8B"/>
    <w:rsid w:val="538516BE"/>
    <w:rsid w:val="53E22F47"/>
    <w:rsid w:val="54095614"/>
    <w:rsid w:val="54522FF8"/>
    <w:rsid w:val="55450629"/>
    <w:rsid w:val="56692963"/>
    <w:rsid w:val="56850CAE"/>
    <w:rsid w:val="568B0F48"/>
    <w:rsid w:val="56EA6256"/>
    <w:rsid w:val="5786217B"/>
    <w:rsid w:val="59337A15"/>
    <w:rsid w:val="59810274"/>
    <w:rsid w:val="5CA96A00"/>
    <w:rsid w:val="5CF730BC"/>
    <w:rsid w:val="5DA66024"/>
    <w:rsid w:val="5E5F0DCE"/>
    <w:rsid w:val="5FA40A7B"/>
    <w:rsid w:val="5FBE2259"/>
    <w:rsid w:val="5FD56D29"/>
    <w:rsid w:val="5FEC7F3F"/>
    <w:rsid w:val="60F74BC3"/>
    <w:rsid w:val="617D3BF8"/>
    <w:rsid w:val="61841F6A"/>
    <w:rsid w:val="621A07A9"/>
    <w:rsid w:val="623007A9"/>
    <w:rsid w:val="637D7558"/>
    <w:rsid w:val="644F19AC"/>
    <w:rsid w:val="65AA4920"/>
    <w:rsid w:val="67694F1E"/>
    <w:rsid w:val="69597934"/>
    <w:rsid w:val="6AA71253"/>
    <w:rsid w:val="6B964DDC"/>
    <w:rsid w:val="6C783074"/>
    <w:rsid w:val="6D9E65C6"/>
    <w:rsid w:val="6DA81947"/>
    <w:rsid w:val="6EB66DE2"/>
    <w:rsid w:val="6ED3075F"/>
    <w:rsid w:val="6EE23D4B"/>
    <w:rsid w:val="6F2A2D4B"/>
    <w:rsid w:val="6F8A0C1E"/>
    <w:rsid w:val="703F45D4"/>
    <w:rsid w:val="70FE5410"/>
    <w:rsid w:val="715D6546"/>
    <w:rsid w:val="71BE069E"/>
    <w:rsid w:val="73684B33"/>
    <w:rsid w:val="73953409"/>
    <w:rsid w:val="73E069A3"/>
    <w:rsid w:val="75113897"/>
    <w:rsid w:val="76417535"/>
    <w:rsid w:val="76EE4D7F"/>
    <w:rsid w:val="78104AA8"/>
    <w:rsid w:val="78E257C5"/>
    <w:rsid w:val="794B35BE"/>
    <w:rsid w:val="7ACC4282"/>
    <w:rsid w:val="7B0A3A31"/>
    <w:rsid w:val="7B3360ED"/>
    <w:rsid w:val="7B5319F3"/>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 w:type="paragraph" w:customStyle="1" w:styleId="12">
    <w:name w:val="Default"/>
    <w:basedOn w:val="13"/>
    <w:next w:val="1"/>
    <w:qFormat/>
    <w:uiPriority w:val="0"/>
    <w:pPr>
      <w:widowControl w:val="0"/>
      <w:autoSpaceDE w:val="0"/>
      <w:autoSpaceDN w:val="0"/>
      <w:adjustRightInd w:val="0"/>
    </w:pPr>
    <w:rPr>
      <w:rFonts w:ascii="方正小标宋简体" w:hAnsi="方正小标宋简体" w:eastAsia="方正小标宋简体" w:cs="Times New Roman"/>
      <w:color w:val="000000"/>
      <w:sz w:val="24"/>
      <w:szCs w:val="22"/>
      <w:lang w:val="en-US" w:eastAsia="zh-CN" w:bidi="ar-SA"/>
    </w:rPr>
  </w:style>
  <w:style w:type="paragraph" w:customStyle="1" w:styleId="13">
    <w:name w:val="纯文本1"/>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both"/>
      <w:textAlignment w:val="baseline"/>
    </w:pPr>
    <w:rPr>
      <w:rFonts w:ascii="宋体" w:hAnsi="Courier New" w:eastAsia="宋体" w:cs="Times New Roman"/>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3"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3"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3"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3"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3"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24037;&#20316;&#31807;3"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3487;&#20025;\2023&#24180;\2022&#24180;&#20915;&#31639;&#20844;&#24320;\&#22270;&#24418;&#3492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3487;&#20025;\2023&#24180;\2022&#24180;&#20915;&#31639;&#20844;&#24320;\&#22270;&#24418;&#3492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E:\&#33487;&#20025;\2023&#24180;\2022&#24180;&#20915;&#31639;&#20844;&#24320;\&#22270;&#24418;&#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manualLayout>
          <c:xMode val="edge"/>
          <c:yMode val="edge"/>
          <c:x val="0.356805555555556"/>
          <c:y val="0.0277777777777778"/>
        </c:manualLayout>
      </c:layout>
      <c:overlay val="0"/>
      <c:spPr>
        <a:noFill/>
        <a:ln>
          <a:noFill/>
        </a:ln>
        <a:effectLst/>
      </c:spPr>
    </c:title>
    <c:autoTitleDeleted val="0"/>
    <c:plotArea>
      <c:layout/>
      <c:pieChart>
        <c:varyColors val="1"/>
        <c:ser>
          <c:idx val="0"/>
          <c:order val="0"/>
          <c:tx>
            <c:strRef>
              <c:f>[工作簿3]Sheet1!$A$3</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elete val="1"/>
          </c:dLbls>
          <c:val>
            <c:numRef>
              <c:f>[工作簿3]Sheet1!$B$3</c:f>
              <c:numCache>
                <c:formatCode>General</c:formatCode>
                <c:ptCount val="1"/>
                <c:pt idx="0">
                  <c:v>1292.73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92083333333333"/>
          <c:y val="0.894675925925926"/>
          <c:w val="0.219861111111111"/>
          <c:h val="0.07754629629629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支出决算图表</a:t>
            </a:r>
          </a:p>
        </c:rich>
      </c:tx>
      <c:layout>
        <c:manualLayout>
          <c:xMode val="edge"/>
          <c:yMode val="edge"/>
          <c:x val="0.386666666666667"/>
          <c:y val="0.0451388888888889"/>
        </c:manualLayout>
      </c:layout>
      <c:overlay val="0"/>
      <c:spPr>
        <a:noFill/>
        <a:ln>
          <a:noFill/>
        </a:ln>
        <a:effectLst/>
      </c:spPr>
    </c:title>
    <c:autoTitleDeleted val="0"/>
    <c:plotArea>
      <c:layout/>
      <c:barChart>
        <c:barDir val="col"/>
        <c:grouping val="clustered"/>
        <c:varyColors val="0"/>
        <c:ser>
          <c:idx val="0"/>
          <c:order val="0"/>
          <c:tx>
            <c:strRef>
              <c:f>[工作簿3]Sheet2!$B$1</c:f>
              <c:strCache>
                <c:ptCount val="1"/>
                <c:pt idx="0">
                  <c:v>2021年</c:v>
                </c:pt>
              </c:strCache>
            </c:strRef>
          </c:tx>
          <c:spPr>
            <a:solidFill>
              <a:schemeClr val="accent1"/>
            </a:solidFill>
            <a:ln>
              <a:noFill/>
            </a:ln>
            <a:effectLst/>
          </c:spPr>
          <c:invertIfNegative val="0"/>
          <c:dLbls>
            <c:delete val="1"/>
          </c:dLbls>
          <c:cat>
            <c:strRef>
              <c:f>[工作簿3]Sheet2!$A$2:$A$7</c:f>
              <c:strCache>
                <c:ptCount val="6"/>
                <c:pt idx="0">
                  <c:v>一般公共服务支出</c:v>
                </c:pt>
                <c:pt idx="1">
                  <c:v>公共安全支出</c:v>
                </c:pt>
                <c:pt idx="2">
                  <c:v>社会保障和就业支出</c:v>
                </c:pt>
                <c:pt idx="3">
                  <c:v>住房保障支出</c:v>
                </c:pt>
                <c:pt idx="4">
                  <c:v>农林水支出</c:v>
                </c:pt>
                <c:pt idx="5">
                  <c:v>其他支出</c:v>
                </c:pt>
              </c:strCache>
            </c:strRef>
          </c:cat>
          <c:val>
            <c:numRef>
              <c:f>[工作簿3]Sheet2!$B$2:$B$7</c:f>
              <c:numCache>
                <c:formatCode>General</c:formatCode>
                <c:ptCount val="6"/>
                <c:pt idx="0">
                  <c:v>1.38</c:v>
                </c:pt>
                <c:pt idx="1">
                  <c:v>1081.57</c:v>
                </c:pt>
                <c:pt idx="2">
                  <c:v>70.47</c:v>
                </c:pt>
                <c:pt idx="3">
                  <c:v>63.9</c:v>
                </c:pt>
                <c:pt idx="4">
                  <c:v>1.02</c:v>
                </c:pt>
                <c:pt idx="5">
                  <c:v>176.16</c:v>
                </c:pt>
              </c:numCache>
            </c:numRef>
          </c:val>
        </c:ser>
        <c:ser>
          <c:idx val="1"/>
          <c:order val="1"/>
          <c:tx>
            <c:strRef>
              <c:f>[工作簿3]Sheet2!$C$1</c:f>
              <c:strCache>
                <c:ptCount val="1"/>
                <c:pt idx="0">
                  <c:v>2022年</c:v>
                </c:pt>
              </c:strCache>
            </c:strRef>
          </c:tx>
          <c:spPr>
            <a:solidFill>
              <a:schemeClr val="accent2"/>
            </a:solidFill>
            <a:ln>
              <a:noFill/>
            </a:ln>
            <a:effectLst/>
          </c:spPr>
          <c:invertIfNegative val="0"/>
          <c:dLbls>
            <c:delete val="1"/>
          </c:dLbls>
          <c:cat>
            <c:strRef>
              <c:f>[工作簿3]Sheet2!$A$2:$A$7</c:f>
              <c:strCache>
                <c:ptCount val="6"/>
                <c:pt idx="0">
                  <c:v>一般公共服务支出</c:v>
                </c:pt>
                <c:pt idx="1">
                  <c:v>公共安全支出</c:v>
                </c:pt>
                <c:pt idx="2">
                  <c:v>社会保障和就业支出</c:v>
                </c:pt>
                <c:pt idx="3">
                  <c:v>住房保障支出</c:v>
                </c:pt>
                <c:pt idx="4">
                  <c:v>农林水支出</c:v>
                </c:pt>
                <c:pt idx="5">
                  <c:v>其他支出</c:v>
                </c:pt>
              </c:strCache>
            </c:strRef>
          </c:cat>
          <c:val>
            <c:numRef>
              <c:f>[工作簿3]Sheet2!$C$2:$C$7</c:f>
              <c:numCache>
                <c:formatCode>General</c:formatCode>
                <c:ptCount val="6"/>
                <c:pt idx="0">
                  <c:v>10.44</c:v>
                </c:pt>
                <c:pt idx="1">
                  <c:v>1046.56</c:v>
                </c:pt>
                <c:pt idx="2">
                  <c:v>66.79</c:v>
                </c:pt>
                <c:pt idx="3">
                  <c:v>55.96</c:v>
                </c:pt>
                <c:pt idx="5">
                  <c:v>112.98</c:v>
                </c:pt>
              </c:numCache>
            </c:numRef>
          </c:val>
        </c:ser>
        <c:dLbls>
          <c:showLegendKey val="0"/>
          <c:showVal val="0"/>
          <c:showCatName val="0"/>
          <c:showSerName val="0"/>
          <c:showPercent val="0"/>
          <c:showBubbleSize val="0"/>
        </c:dLbls>
        <c:gapWidth val="219"/>
        <c:overlap val="-27"/>
        <c:axId val="581778009"/>
        <c:axId val="944942823"/>
      </c:barChart>
      <c:catAx>
        <c:axId val="5817780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44942823"/>
        <c:crosses val="autoZero"/>
        <c:auto val="1"/>
        <c:lblAlgn val="ctr"/>
        <c:lblOffset val="100"/>
        <c:noMultiLvlLbl val="0"/>
      </c:catAx>
      <c:valAx>
        <c:axId val="944942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177800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一般公共服务支出</a:t>
            </a:r>
          </a:p>
        </c:rich>
      </c:tx>
      <c:layout/>
      <c:overlay val="0"/>
      <c:spPr>
        <a:noFill/>
        <a:ln>
          <a:noFill/>
        </a:ln>
        <a:effectLst/>
      </c:spPr>
    </c:title>
    <c:autoTitleDeleted val="0"/>
    <c:plotArea>
      <c:layout/>
      <c:barChart>
        <c:barDir val="col"/>
        <c:grouping val="clustered"/>
        <c:varyColors val="0"/>
        <c:ser>
          <c:idx val="0"/>
          <c:order val="0"/>
          <c:tx>
            <c:strRef>
              <c:f>[工作簿3]Sheet3!$A$2:$B$2</c:f>
              <c:strCache>
                <c:ptCount val="1"/>
                <c:pt idx="0">
                  <c:v>2012999 其他群众团体事务支出</c:v>
                </c:pt>
              </c:strCache>
            </c:strRef>
          </c:tx>
          <c:spPr>
            <a:solidFill>
              <a:schemeClr val="accent1"/>
            </a:solidFill>
            <a:ln>
              <a:noFill/>
            </a:ln>
            <a:effectLst/>
          </c:spPr>
          <c:invertIfNegative val="0"/>
          <c:dLbls>
            <c:delete val="1"/>
          </c:dLbls>
          <c:cat>
            <c:strRef>
              <c:f>[工作簿3]Sheet3!$C$1:$D$1</c:f>
              <c:strCache>
                <c:ptCount val="2"/>
                <c:pt idx="0">
                  <c:v>年初预算数</c:v>
                </c:pt>
                <c:pt idx="1">
                  <c:v>决算</c:v>
                </c:pt>
              </c:strCache>
            </c:strRef>
          </c:cat>
          <c:val>
            <c:numRef>
              <c:f>[工作簿3]Sheet3!$C$2:$D$2</c:f>
              <c:numCache>
                <c:formatCode>General</c:formatCode>
                <c:ptCount val="2"/>
                <c:pt idx="0">
                  <c:v>10.29</c:v>
                </c:pt>
                <c:pt idx="1">
                  <c:v>10.29</c:v>
                </c:pt>
              </c:numCache>
            </c:numRef>
          </c:val>
        </c:ser>
        <c:ser>
          <c:idx val="1"/>
          <c:order val="1"/>
          <c:tx>
            <c:strRef>
              <c:f>[工作簿3]Sheet3!$A$3:$B$3</c:f>
              <c:strCache>
                <c:ptCount val="1"/>
                <c:pt idx="0">
                  <c:v>2013601 行政运行</c:v>
                </c:pt>
              </c:strCache>
            </c:strRef>
          </c:tx>
          <c:spPr>
            <a:solidFill>
              <a:schemeClr val="accent2"/>
            </a:solidFill>
            <a:ln>
              <a:noFill/>
            </a:ln>
            <a:effectLst/>
          </c:spPr>
          <c:invertIfNegative val="0"/>
          <c:dLbls>
            <c:delete val="1"/>
          </c:dLbls>
          <c:cat>
            <c:strRef>
              <c:f>[工作簿3]Sheet3!$C$1:$D$1</c:f>
              <c:strCache>
                <c:ptCount val="2"/>
                <c:pt idx="0">
                  <c:v>年初预算数</c:v>
                </c:pt>
                <c:pt idx="1">
                  <c:v>决算</c:v>
                </c:pt>
              </c:strCache>
            </c:strRef>
          </c:cat>
          <c:val>
            <c:numRef>
              <c:f>[工作簿3]Sheet3!$C$3:$D$3</c:f>
              <c:numCache>
                <c:formatCode>General</c:formatCode>
                <c:ptCount val="2"/>
                <c:pt idx="0">
                  <c:v>0</c:v>
                </c:pt>
                <c:pt idx="1">
                  <c:v>0.14</c:v>
                </c:pt>
              </c:numCache>
            </c:numRef>
          </c:val>
        </c:ser>
        <c:dLbls>
          <c:showLegendKey val="0"/>
          <c:showVal val="0"/>
          <c:showCatName val="0"/>
          <c:showSerName val="0"/>
          <c:showPercent val="0"/>
          <c:showBubbleSize val="0"/>
        </c:dLbls>
        <c:gapWidth val="219"/>
        <c:overlap val="-27"/>
        <c:axId val="174818440"/>
        <c:axId val="573652603"/>
      </c:barChart>
      <c:catAx>
        <c:axId val="1748184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652603"/>
        <c:crosses val="autoZero"/>
        <c:auto val="1"/>
        <c:lblAlgn val="ctr"/>
        <c:lblOffset val="100"/>
        <c:noMultiLvlLbl val="0"/>
      </c:catAx>
      <c:valAx>
        <c:axId val="5736526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48184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公共安全支出</a:t>
            </a:r>
          </a:p>
        </c:rich>
      </c:tx>
      <c:layout>
        <c:manualLayout>
          <c:xMode val="edge"/>
          <c:yMode val="edge"/>
          <c:x val="0.408194444444444"/>
          <c:y val="0.0277777777777778"/>
        </c:manualLayout>
      </c:layout>
      <c:overlay val="0"/>
      <c:spPr>
        <a:noFill/>
        <a:ln>
          <a:noFill/>
        </a:ln>
        <a:effectLst/>
      </c:spPr>
    </c:title>
    <c:autoTitleDeleted val="0"/>
    <c:plotArea>
      <c:layout/>
      <c:barChart>
        <c:barDir val="col"/>
        <c:grouping val="clustered"/>
        <c:varyColors val="0"/>
        <c:ser>
          <c:idx val="0"/>
          <c:order val="0"/>
          <c:tx>
            <c:strRef>
              <c:f>[工作簿3]公共安全支出!$B$1</c:f>
              <c:strCache>
                <c:ptCount val="1"/>
                <c:pt idx="0">
                  <c:v>年初预算数</c:v>
                </c:pt>
              </c:strCache>
            </c:strRef>
          </c:tx>
          <c:spPr>
            <a:solidFill>
              <a:schemeClr val="accent1"/>
            </a:solidFill>
            <a:ln>
              <a:noFill/>
            </a:ln>
            <a:effectLst/>
          </c:spPr>
          <c:invertIfNegative val="0"/>
          <c:dLbls>
            <c:delete val="1"/>
          </c:dLbls>
          <c:cat>
            <c:numRef>
              <c:f>[工作簿3]公共安全支出!$A$2:$A$9</c:f>
              <c:numCache>
                <c:formatCode>General</c:formatCode>
                <c:ptCount val="8"/>
                <c:pt idx="0">
                  <c:v>2040601</c:v>
                </c:pt>
                <c:pt idx="1">
                  <c:v>2040602</c:v>
                </c:pt>
                <c:pt idx="2">
                  <c:v>2040604</c:v>
                </c:pt>
                <c:pt idx="3">
                  <c:v>2040605</c:v>
                </c:pt>
                <c:pt idx="4">
                  <c:v>2040607</c:v>
                </c:pt>
                <c:pt idx="5">
                  <c:v>2040610</c:v>
                </c:pt>
                <c:pt idx="6">
                  <c:v>2040612</c:v>
                </c:pt>
                <c:pt idx="7">
                  <c:v>2040699</c:v>
                </c:pt>
              </c:numCache>
            </c:numRef>
          </c:cat>
          <c:val>
            <c:numRef>
              <c:f>[工作簿3]公共安全支出!$B$2:$B$9</c:f>
              <c:numCache>
                <c:formatCode>General</c:formatCode>
                <c:ptCount val="8"/>
                <c:pt idx="0">
                  <c:v>595.76</c:v>
                </c:pt>
                <c:pt idx="1">
                  <c:v>3</c:v>
                </c:pt>
                <c:pt idx="2">
                  <c:v>49</c:v>
                </c:pt>
                <c:pt idx="3">
                  <c:v>13.35</c:v>
                </c:pt>
                <c:pt idx="4">
                  <c:v>1</c:v>
                </c:pt>
                <c:pt idx="5">
                  <c:v>0</c:v>
                </c:pt>
                <c:pt idx="6">
                  <c:v>0</c:v>
                </c:pt>
                <c:pt idx="7">
                  <c:v>0.95</c:v>
                </c:pt>
              </c:numCache>
            </c:numRef>
          </c:val>
        </c:ser>
        <c:ser>
          <c:idx val="1"/>
          <c:order val="1"/>
          <c:tx>
            <c:strRef>
              <c:f>[工作簿3]公共安全支出!$C$1</c:f>
              <c:strCache>
                <c:ptCount val="1"/>
                <c:pt idx="0">
                  <c:v>决算</c:v>
                </c:pt>
              </c:strCache>
            </c:strRef>
          </c:tx>
          <c:spPr>
            <a:solidFill>
              <a:schemeClr val="accent2"/>
            </a:solidFill>
            <a:ln>
              <a:noFill/>
            </a:ln>
            <a:effectLst/>
          </c:spPr>
          <c:invertIfNegative val="0"/>
          <c:dLbls>
            <c:delete val="1"/>
          </c:dLbls>
          <c:cat>
            <c:numRef>
              <c:f>[工作簿3]公共安全支出!$A$2:$A$9</c:f>
              <c:numCache>
                <c:formatCode>General</c:formatCode>
                <c:ptCount val="8"/>
                <c:pt idx="0">
                  <c:v>2040601</c:v>
                </c:pt>
                <c:pt idx="1">
                  <c:v>2040602</c:v>
                </c:pt>
                <c:pt idx="2">
                  <c:v>2040604</c:v>
                </c:pt>
                <c:pt idx="3">
                  <c:v>2040605</c:v>
                </c:pt>
                <c:pt idx="4">
                  <c:v>2040607</c:v>
                </c:pt>
                <c:pt idx="5">
                  <c:v>2040610</c:v>
                </c:pt>
                <c:pt idx="6">
                  <c:v>2040612</c:v>
                </c:pt>
                <c:pt idx="7">
                  <c:v>2040699</c:v>
                </c:pt>
              </c:numCache>
            </c:numRef>
          </c:cat>
          <c:val>
            <c:numRef>
              <c:f>[工作簿3]公共安全支出!$C$2:$C$9</c:f>
              <c:numCache>
                <c:formatCode>General</c:formatCode>
                <c:ptCount val="8"/>
                <c:pt idx="0">
                  <c:v>566.99</c:v>
                </c:pt>
                <c:pt idx="1">
                  <c:v>13</c:v>
                </c:pt>
                <c:pt idx="2">
                  <c:v>64.49</c:v>
                </c:pt>
                <c:pt idx="3">
                  <c:v>13.35</c:v>
                </c:pt>
                <c:pt idx="4">
                  <c:v>7.39</c:v>
                </c:pt>
                <c:pt idx="5">
                  <c:v>16</c:v>
                </c:pt>
                <c:pt idx="6">
                  <c:v>148.5</c:v>
                </c:pt>
                <c:pt idx="7">
                  <c:v>216.85</c:v>
                </c:pt>
              </c:numCache>
            </c:numRef>
          </c:val>
        </c:ser>
        <c:dLbls>
          <c:showLegendKey val="0"/>
          <c:showVal val="0"/>
          <c:showCatName val="0"/>
          <c:showSerName val="0"/>
          <c:showPercent val="0"/>
          <c:showBubbleSize val="0"/>
        </c:dLbls>
        <c:gapWidth val="219"/>
        <c:overlap val="-27"/>
        <c:axId val="780900338"/>
        <c:axId val="573620392"/>
      </c:barChart>
      <c:catAx>
        <c:axId val="7809003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3620392"/>
        <c:crosses val="autoZero"/>
        <c:auto val="1"/>
        <c:lblAlgn val="ctr"/>
        <c:lblOffset val="100"/>
        <c:noMultiLvlLbl val="0"/>
      </c:catAx>
      <c:valAx>
        <c:axId val="573620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09003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社会保障和就业支出</a:t>
            </a:r>
          </a:p>
        </c:rich>
      </c:tx>
      <c:layout/>
      <c:overlay val="0"/>
      <c:spPr>
        <a:noFill/>
        <a:ln>
          <a:noFill/>
        </a:ln>
        <a:effectLst/>
      </c:spPr>
    </c:title>
    <c:autoTitleDeleted val="0"/>
    <c:plotArea>
      <c:layout/>
      <c:barChart>
        <c:barDir val="col"/>
        <c:grouping val="clustered"/>
        <c:varyColors val="0"/>
        <c:ser>
          <c:idx val="0"/>
          <c:order val="0"/>
          <c:tx>
            <c:strRef>
              <c:f>[工作簿3]社会保障和就业支出!$A$2:$B$2</c:f>
              <c:strCache>
                <c:ptCount val="1"/>
                <c:pt idx="0">
                  <c:v>2080505 机关事业单位基本养老保险缴费支出</c:v>
                </c:pt>
              </c:strCache>
            </c:strRef>
          </c:tx>
          <c:spPr>
            <a:solidFill>
              <a:schemeClr val="accent1"/>
            </a:solidFill>
            <a:ln>
              <a:noFill/>
            </a:ln>
            <a:effectLst/>
          </c:spPr>
          <c:invertIfNegative val="0"/>
          <c:dLbls>
            <c:delete val="1"/>
          </c:dLbls>
          <c:cat>
            <c:strRef>
              <c:f>[工作簿3]社会保障和就业支出!$C$1:$D$1</c:f>
              <c:strCache>
                <c:ptCount val="2"/>
                <c:pt idx="0">
                  <c:v>年初预算数</c:v>
                </c:pt>
                <c:pt idx="1">
                  <c:v>决算</c:v>
                </c:pt>
              </c:strCache>
            </c:strRef>
          </c:cat>
          <c:val>
            <c:numRef>
              <c:f>[工作簿3]社会保障和就业支出!$C$2:$D$2</c:f>
              <c:numCache>
                <c:formatCode>General</c:formatCode>
                <c:ptCount val="2"/>
                <c:pt idx="0">
                  <c:v>82.36</c:v>
                </c:pt>
                <c:pt idx="1">
                  <c:v>66.79</c:v>
                </c:pt>
              </c:numCache>
            </c:numRef>
          </c:val>
        </c:ser>
        <c:dLbls>
          <c:showLegendKey val="0"/>
          <c:showVal val="0"/>
          <c:showCatName val="0"/>
          <c:showSerName val="0"/>
          <c:showPercent val="0"/>
          <c:showBubbleSize val="0"/>
        </c:dLbls>
        <c:gapWidth val="219"/>
        <c:overlap val="-27"/>
        <c:axId val="575303769"/>
        <c:axId val="590163066"/>
      </c:barChart>
      <c:catAx>
        <c:axId val="5753037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0163066"/>
        <c:crosses val="autoZero"/>
        <c:auto val="1"/>
        <c:lblAlgn val="ctr"/>
        <c:lblOffset val="100"/>
        <c:noMultiLvlLbl val="0"/>
      </c:catAx>
      <c:valAx>
        <c:axId val="5901630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30376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住房保障支出</a:t>
            </a:r>
          </a:p>
        </c:rich>
      </c:tx>
      <c:layout/>
      <c:overlay val="0"/>
      <c:spPr>
        <a:noFill/>
        <a:ln>
          <a:noFill/>
        </a:ln>
        <a:effectLst/>
      </c:spPr>
    </c:title>
    <c:autoTitleDeleted val="0"/>
    <c:plotArea>
      <c:layout/>
      <c:barChart>
        <c:barDir val="col"/>
        <c:grouping val="clustered"/>
        <c:varyColors val="0"/>
        <c:ser>
          <c:idx val="0"/>
          <c:order val="0"/>
          <c:tx>
            <c:strRef>
              <c:f>[工作簿3]Sheet6!$A$2:$B$2</c:f>
              <c:strCache>
                <c:ptCount val="1"/>
                <c:pt idx="0">
                  <c:v>2210201 住房公积金</c:v>
                </c:pt>
              </c:strCache>
            </c:strRef>
          </c:tx>
          <c:spPr>
            <a:solidFill>
              <a:schemeClr val="accent1"/>
            </a:solidFill>
            <a:ln>
              <a:noFill/>
            </a:ln>
            <a:effectLst/>
          </c:spPr>
          <c:invertIfNegative val="0"/>
          <c:dLbls>
            <c:delete val="1"/>
          </c:dLbls>
          <c:cat>
            <c:strRef>
              <c:f>[工作簿3]Sheet6!$C$1:$D$1</c:f>
              <c:strCache>
                <c:ptCount val="2"/>
                <c:pt idx="0">
                  <c:v>年初预算数</c:v>
                </c:pt>
                <c:pt idx="1">
                  <c:v>决算</c:v>
                </c:pt>
              </c:strCache>
            </c:strRef>
          </c:cat>
          <c:val>
            <c:numRef>
              <c:f>[工作簿3]Sheet6!$C$2:$D$2</c:f>
              <c:numCache>
                <c:formatCode>General</c:formatCode>
                <c:ptCount val="2"/>
                <c:pt idx="0">
                  <c:v>61.77</c:v>
                </c:pt>
                <c:pt idx="1">
                  <c:v>55.96</c:v>
                </c:pt>
              </c:numCache>
            </c:numRef>
          </c:val>
        </c:ser>
        <c:dLbls>
          <c:showLegendKey val="0"/>
          <c:showVal val="0"/>
          <c:showCatName val="0"/>
          <c:showSerName val="0"/>
          <c:showPercent val="0"/>
          <c:showBubbleSize val="0"/>
        </c:dLbls>
        <c:gapWidth val="219"/>
        <c:overlap val="-27"/>
        <c:axId val="955447494"/>
        <c:axId val="888163867"/>
      </c:barChart>
      <c:catAx>
        <c:axId val="95544749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8163867"/>
        <c:crosses val="autoZero"/>
        <c:auto val="1"/>
        <c:lblAlgn val="ctr"/>
        <c:lblOffset val="100"/>
        <c:noMultiLvlLbl val="0"/>
      </c:catAx>
      <c:valAx>
        <c:axId val="8881638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44749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工资福利支出</a:t>
            </a:r>
          </a:p>
        </c:rich>
      </c:tx>
      <c:layout>
        <c:manualLayout>
          <c:xMode val="edge"/>
          <c:yMode val="edge"/>
          <c:x val="0.410277777777778"/>
          <c:y val="0.034722222222222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[图形表.xlsx]工资福利支出!$A$2:$B$12</c:f>
              <c:multiLvlStrCache>
                <c:ptCount val="11"/>
                <c:lvl>
                  <c:pt idx="0">
                    <c:v>基本工资</c:v>
                  </c:pt>
                  <c:pt idx="1">
                    <c:v>津贴补贴</c:v>
                  </c:pt>
                  <c:pt idx="2">
                    <c:v>奖金</c:v>
                  </c:pt>
                  <c:pt idx="3">
                    <c:v>伙食补助费</c:v>
                  </c:pt>
                  <c:pt idx="4">
                    <c:v>绩效工资</c:v>
                  </c:pt>
                  <c:pt idx="5">
                    <c:v>机关事业单位基本养老保险缴费</c:v>
                  </c:pt>
                  <c:pt idx="6">
                    <c:v>职工基本医疗保险缴费</c:v>
                  </c:pt>
                  <c:pt idx="7">
                    <c:v>其他社会保障缴费</c:v>
                  </c:pt>
                  <c:pt idx="8">
                    <c:v>住房公积金</c:v>
                  </c:pt>
                  <c:pt idx="9">
                    <c:v>医疗费</c:v>
                  </c:pt>
                  <c:pt idx="10">
                    <c:v>其他工资福利支出</c:v>
                  </c:pt>
                </c:lvl>
                <c:lvl>
                  <c:pt idx="0">
                    <c:v>30101</c:v>
                  </c:pt>
                  <c:pt idx="1">
                    <c:v>30102</c:v>
                  </c:pt>
                  <c:pt idx="2">
                    <c:v>30103</c:v>
                  </c:pt>
                  <c:pt idx="3">
                    <c:v>30106</c:v>
                  </c:pt>
                  <c:pt idx="4">
                    <c:v>30107</c:v>
                  </c:pt>
                  <c:pt idx="5">
                    <c:v>30108</c:v>
                  </c:pt>
                  <c:pt idx="6">
                    <c:v>30110</c:v>
                  </c:pt>
                  <c:pt idx="7">
                    <c:v>30112</c:v>
                  </c:pt>
                  <c:pt idx="8">
                    <c:v>30113</c:v>
                  </c:pt>
                  <c:pt idx="9">
                    <c:v>30114</c:v>
                  </c:pt>
                  <c:pt idx="10">
                    <c:v>30199</c:v>
                  </c:pt>
                </c:lvl>
              </c:multiLvlStrCache>
            </c:multiLvlStrRef>
          </c:cat>
          <c:val>
            <c:numRef>
              <c:f>[图形表.xlsx]工资福利支出!$C$2:$C$12</c:f>
              <c:numCache>
                <c:formatCode>General</c:formatCode>
                <c:ptCount val="11"/>
                <c:pt idx="0">
                  <c:v>192.75</c:v>
                </c:pt>
                <c:pt idx="1">
                  <c:v>157.22</c:v>
                </c:pt>
                <c:pt idx="2">
                  <c:v>43.85</c:v>
                </c:pt>
                <c:pt idx="3">
                  <c:v>8.33</c:v>
                </c:pt>
                <c:pt idx="4">
                  <c:v>130.52</c:v>
                </c:pt>
                <c:pt idx="5">
                  <c:v>66.79</c:v>
                </c:pt>
                <c:pt idx="6">
                  <c:v>27.28</c:v>
                </c:pt>
                <c:pt idx="7">
                  <c:v>9.68</c:v>
                </c:pt>
                <c:pt idx="8">
                  <c:v>58.43</c:v>
                </c:pt>
                <c:pt idx="9">
                  <c:v>0.3</c:v>
                </c:pt>
                <c:pt idx="10">
                  <c:v>40.33</c:v>
                </c:pt>
              </c:numCache>
            </c:numRef>
          </c:val>
        </c:ser>
        <c:dLbls>
          <c:showLegendKey val="0"/>
          <c:showVal val="0"/>
          <c:showCatName val="0"/>
          <c:showSerName val="0"/>
          <c:showPercent val="0"/>
          <c:showBubbleSize val="0"/>
        </c:dLbls>
        <c:gapWidth val="219"/>
        <c:overlap val="-27"/>
        <c:axId val="245551833"/>
        <c:axId val="972071731"/>
      </c:barChart>
      <c:catAx>
        <c:axId val="2455518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2071731"/>
        <c:crosses val="autoZero"/>
        <c:auto val="1"/>
        <c:lblAlgn val="ctr"/>
        <c:lblOffset val="100"/>
        <c:noMultiLvlLbl val="0"/>
      </c:catAx>
      <c:valAx>
        <c:axId val="9720717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5518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商品和服务支出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[图形表.xlsx]Sheet1!$A$2:$B$15</c:f>
              <c:multiLvlStrCache>
                <c:ptCount val="14"/>
                <c:lvl>
                  <c:pt idx="0">
                    <c:v>办公费</c:v>
                  </c:pt>
                  <c:pt idx="1">
                    <c:v>水费</c:v>
                  </c:pt>
                  <c:pt idx="2">
                    <c:v>电费</c:v>
                  </c:pt>
                  <c:pt idx="3">
                    <c:v>邮电费</c:v>
                  </c:pt>
                  <c:pt idx="4">
                    <c:v>物业管理费</c:v>
                  </c:pt>
                  <c:pt idx="5">
                    <c:v>差旅费</c:v>
                  </c:pt>
                  <c:pt idx="6">
                    <c:v>维修（护）费</c:v>
                  </c:pt>
                  <c:pt idx="7">
                    <c:v>会议费</c:v>
                  </c:pt>
                  <c:pt idx="8">
                    <c:v>培训费</c:v>
                  </c:pt>
                  <c:pt idx="9">
                    <c:v>劳务费</c:v>
                  </c:pt>
                  <c:pt idx="10">
                    <c:v>工会经费</c:v>
                  </c:pt>
                  <c:pt idx="11">
                    <c:v>公务用车运行维护费</c:v>
                  </c:pt>
                  <c:pt idx="12">
                    <c:v>其他交通费用</c:v>
                  </c:pt>
                  <c:pt idx="13">
                    <c:v>其他商品和服务支出</c:v>
                  </c:pt>
                </c:lvl>
                <c:lvl>
                  <c:pt idx="0">
                    <c:v>30201</c:v>
                  </c:pt>
                  <c:pt idx="1">
                    <c:v>30205</c:v>
                  </c:pt>
                  <c:pt idx="2">
                    <c:v>30206</c:v>
                  </c:pt>
                  <c:pt idx="3">
                    <c:v>30207</c:v>
                  </c:pt>
                  <c:pt idx="4">
                    <c:v>30209</c:v>
                  </c:pt>
                  <c:pt idx="5">
                    <c:v>30211</c:v>
                  </c:pt>
                  <c:pt idx="6">
                    <c:v>30213</c:v>
                  </c:pt>
                  <c:pt idx="7">
                    <c:v>30215</c:v>
                  </c:pt>
                  <c:pt idx="8">
                    <c:v>30216</c:v>
                  </c:pt>
                  <c:pt idx="9">
                    <c:v>30226</c:v>
                  </c:pt>
                  <c:pt idx="10">
                    <c:v>30228</c:v>
                  </c:pt>
                  <c:pt idx="11">
                    <c:v>30231</c:v>
                  </c:pt>
                  <c:pt idx="12">
                    <c:v>30239</c:v>
                  </c:pt>
                  <c:pt idx="13">
                    <c:v>30299</c:v>
                  </c:pt>
                </c:lvl>
              </c:multiLvlStrCache>
            </c:multiLvlStrRef>
          </c:cat>
          <c:val>
            <c:numRef>
              <c:f>[图形表.xlsx]Sheet1!$C$2:$C$15</c:f>
              <c:numCache>
                <c:formatCode>General</c:formatCode>
                <c:ptCount val="14"/>
                <c:pt idx="0">
                  <c:v>1.25</c:v>
                </c:pt>
                <c:pt idx="1">
                  <c:v>0.21</c:v>
                </c:pt>
                <c:pt idx="2">
                  <c:v>1.13</c:v>
                </c:pt>
                <c:pt idx="3">
                  <c:v>7.01</c:v>
                </c:pt>
                <c:pt idx="4">
                  <c:v>1.8</c:v>
                </c:pt>
                <c:pt idx="5">
                  <c:v>6.81</c:v>
                </c:pt>
                <c:pt idx="6">
                  <c:v>0.02</c:v>
                </c:pt>
                <c:pt idx="7">
                  <c:v>0</c:v>
                </c:pt>
                <c:pt idx="8">
                  <c:v>0</c:v>
                </c:pt>
                <c:pt idx="9">
                  <c:v>0</c:v>
                </c:pt>
                <c:pt idx="10">
                  <c:v>10.29</c:v>
                </c:pt>
                <c:pt idx="11">
                  <c:v>9.48</c:v>
                </c:pt>
                <c:pt idx="12">
                  <c:v>35.31</c:v>
                </c:pt>
                <c:pt idx="13">
                  <c:v>0.17</c:v>
                </c:pt>
              </c:numCache>
            </c:numRef>
          </c:val>
        </c:ser>
        <c:dLbls>
          <c:showLegendKey val="0"/>
          <c:showVal val="0"/>
          <c:showCatName val="0"/>
          <c:showSerName val="0"/>
          <c:showPercent val="0"/>
          <c:showBubbleSize val="0"/>
        </c:dLbls>
        <c:gapWidth val="219"/>
        <c:overlap val="-27"/>
        <c:axId val="580646867"/>
        <c:axId val="427611010"/>
      </c:barChart>
      <c:catAx>
        <c:axId val="580646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7611010"/>
        <c:crosses val="autoZero"/>
        <c:auto val="1"/>
        <c:lblAlgn val="ctr"/>
        <c:lblOffset val="100"/>
        <c:noMultiLvlLbl val="0"/>
      </c:catAx>
      <c:valAx>
        <c:axId val="4276110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468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对个人和家庭的补助</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multiLvlStrRef>
              <c:f>[图形表.xlsx]Sheet2!$A$1:$B$4</c:f>
              <c:multiLvlStrCache>
                <c:ptCount val="4"/>
                <c:lvl>
                  <c:pt idx="0">
                    <c:v>离休费</c:v>
                  </c:pt>
                  <c:pt idx="1">
                    <c:v>退休费</c:v>
                  </c:pt>
                  <c:pt idx="2">
                    <c:v>生活补助</c:v>
                  </c:pt>
                  <c:pt idx="3">
                    <c:v>其他对个人和家庭的补助</c:v>
                  </c:pt>
                </c:lvl>
                <c:lvl>
                  <c:pt idx="0">
                    <c:v>30301</c:v>
                  </c:pt>
                  <c:pt idx="1">
                    <c:v>30302</c:v>
                  </c:pt>
                  <c:pt idx="2">
                    <c:v>30305</c:v>
                  </c:pt>
                  <c:pt idx="3">
                    <c:v>30399</c:v>
                  </c:pt>
                </c:lvl>
              </c:multiLvlStrCache>
            </c:multiLvlStrRef>
          </c:cat>
          <c:val>
            <c:numRef>
              <c:f>[图形表.xlsx]Sheet2!$C$1:$C$4</c:f>
              <c:numCache>
                <c:formatCode>General</c:formatCode>
                <c:ptCount val="4"/>
                <c:pt idx="0">
                  <c:v>0</c:v>
                </c:pt>
                <c:pt idx="1">
                  <c:v>0</c:v>
                </c:pt>
                <c:pt idx="2">
                  <c:v>25.23</c:v>
                </c:pt>
                <c:pt idx="3">
                  <c:v>0.74</c:v>
                </c:pt>
              </c:numCache>
            </c:numRef>
          </c:val>
        </c:ser>
        <c:dLbls>
          <c:showLegendKey val="0"/>
          <c:showVal val="0"/>
          <c:showCatName val="0"/>
          <c:showSerName val="0"/>
          <c:showPercent val="0"/>
          <c:showBubbleSize val="0"/>
        </c:dLbls>
        <c:gapWidth val="219"/>
        <c:overlap val="-27"/>
        <c:axId val="800965261"/>
        <c:axId val="107524617"/>
      </c:barChart>
      <c:catAx>
        <c:axId val="8009652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524617"/>
        <c:crosses val="autoZero"/>
        <c:auto val="1"/>
        <c:lblAlgn val="ctr"/>
        <c:lblOffset val="100"/>
        <c:noMultiLvlLbl val="0"/>
      </c:catAx>
      <c:valAx>
        <c:axId val="10752461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096526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2023-11-15T09:29:00Z</cp:lastPrinted>
  <dcterms:modified xsi:type="dcterms:W3CDTF">2023-11-29T03:32:48Z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