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中国共产党环江毛南族自治县委员会党史研究室2022年度部门决算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ind w:firstLine="3253" w:firstLineChars="900"/>
        <w:jc w:val="both"/>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ascii="黑体" w:hAnsi="黑体" w:eastAsia="黑体" w:cs="黑体"/>
          <w:b/>
          <w:color w:val="auto"/>
          <w:sz w:val="32"/>
          <w:u w:color="auto"/>
        </w:rPr>
        <w:t>中国共产党环江毛南族自治县委员会党史研究室</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1.为地方党委决策提供历史咨询；</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2.负责向自治县党委提出开展党史宣传、教育和举办纪念活动的意见或建议。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3.参与发起和组织有关党史研究工作会议。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4.代县委对下级党委的有关党史工作予以指导。</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5.负责组织力量开展地方党史的征集、整理、鉴别、核实、研究和编写工作。</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6.负责开展多种形式的党史宣传教育工作。</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党史办为参公事业单位，属于一级财政预算单位，未设二级预算单位。事业编制人数6人，实有在职人员6人，离退休人员7人，其他财政供养人员0人。</w:t>
      </w:r>
    </w:p>
    <w:tbl>
      <w:tblPr>
        <w:tblStyle w:val="6"/>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bookmarkStart w:id="0" w:name="_Hlk109379180"/>
            <w:r>
              <w:rPr>
                <w:rFonts w:hint="eastAsia" w:ascii="仿宋" w:hAnsi="仿宋" w:eastAsia="仿宋" w:cs="仿宋"/>
                <w:b/>
                <w:color w:val="auto"/>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0" w:beforeAutospacing="0" w:after="0" w:afterAutospacing="0" w:line="520" w:lineRule="exact"/>
              <w:ind w:left="0" w:right="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r>
              <w:rPr>
                <w:rFonts w:hint="eastAsia" w:ascii="黑体" w:hAnsi="黑体" w:eastAsia="黑体" w:cs="黑体"/>
                <w:color w:val="auto"/>
                <w:sz w:val="32"/>
                <w:u w:color="auto"/>
                <w:lang w:eastAsia="zh-CN"/>
              </w:rPr>
              <w:t>中国共产党环江毛南族自治县委员会党史研究室</w:t>
            </w:r>
          </w:p>
        </w:tc>
        <w:tc>
          <w:tcPr>
            <w:tcW w:w="37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highlight w:val="none"/>
              </w:rPr>
              <w:t>参公事业单位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c>
          <w:tcPr>
            <w:tcW w:w="37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left"/>
              <w:rPr>
                <w:rFonts w:hint="eastAsia" w:ascii="仿宋" w:hAnsi="仿宋" w:eastAsia="仿宋" w:cs="仿宋"/>
                <w:color w:val="auto"/>
                <w:sz w:val="32"/>
                <w:szCs w:val="32"/>
              </w:rPr>
            </w:pPr>
          </w:p>
        </w:tc>
      </w:tr>
      <w:bookmarkEnd w:id="0"/>
    </w:tbl>
    <w:p>
      <w:pPr>
        <w:jc w:val="both"/>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104.20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132.28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132.28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104.20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104.20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102.32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102.32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其他政府办公厅（室）及相关机构事务支出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132.28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92.59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39.68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104.20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64.51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政府办公厅（室）及相关机构事务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103.12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63.44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39.68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102.32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63.44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38.88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2010399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其他政府办公厅（室）及相关机构事务支出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7.87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104.20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104.20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7.87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7.87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6.43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6.43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132.28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132.28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132.28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132.28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92.59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39.68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104.20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64.51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政府办公厅（室）及相关机构事务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103.12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63.44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39.68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102.32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63.44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38.88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2010399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其他政府办公厅（室）及相关机构事务支出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7.87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1" w:name="OLE_LINK4"/>
            <w:bookmarkStart w:id="2"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85.16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25.28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20.16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8.57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0.10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1.07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1"/>
          <w:bookmarkEnd w:id="2"/>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89.56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广西河池市中国共产党环江毛南族自治县委员会党史研究室</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0.20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0.20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0.20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0.20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中国共产党环江毛南族自治县委员会党史研究室</w:t>
      </w:r>
      <w:r>
        <w:rPr>
          <w:rFonts w:hint="eastAsia" w:ascii="黑体" w:hAnsi="黑体" w:eastAsia="黑体" w:cs="黑体"/>
          <w:color w:val="auto"/>
          <w:sz w:val="32"/>
          <w:szCs w:val="32"/>
          <w:highlight w:val="none"/>
        </w:rPr>
        <w:t>2022年度部门决算情况说明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减少11.42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下降7.95%</w:t>
      </w:r>
      <w:r>
        <w:rPr>
          <w:rFonts w:hint="eastAsia" w:ascii="仿宋" w:hAnsi="仿宋" w:eastAsia="仿宋" w:cs="仿宋"/>
          <w:color w:val="auto"/>
          <w:sz w:val="32"/>
          <w:szCs w:val="32"/>
          <w:highlight w:val="none"/>
        </w:rPr>
        <w:t>，其中本年收入</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132.28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减少7.58</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下降5.42%</w:t>
      </w:r>
      <w:r>
        <w:rPr>
          <w:rFonts w:hint="eastAsia" w:ascii="仿宋" w:hAnsi="仿宋" w:eastAsia="仿宋" w:cs="仿宋"/>
          <w:color w:val="auto"/>
          <w:kern w:val="2"/>
          <w:sz w:val="32"/>
          <w:szCs w:val="32"/>
          <w:highlight w:val="none"/>
          <w:lang w:val="en-US" w:eastAsia="zh-CN" w:bidi="ar"/>
        </w:rPr>
        <w:t>，主要原因：减少项目经费。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减少3.83</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减少11.42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下降7.95%</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104.20</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本部门为保证日常运转发生的基本支出，如根据国家及自治区规定的基本工资和津补贴标准等安排的人员经费支出和日常公用经费支出以及项目经费支出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减少7.92</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下降7.06%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主要原因是：项目工作经费支出减少。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7.87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机关事业单位基本养老保险缴费支出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减少0.40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下降4.84%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主要原因是：养老缴费基数调整。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6.43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单位按规定的比例计缴的在职在编人员住房公积金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13.79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在职在编人员奖励性绩效补贴支出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减少3.09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下降18.31%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主要原因是：奖励性绩效补贴总额减少。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3" w:name="OLE_LINK1"/>
      <w:r>
        <w:rPr>
          <w:rFonts w:hint="eastAsia" w:ascii="黑体" w:hAnsi="黑体" w:eastAsia="黑体" w:cs="黑体"/>
          <w:color w:val="auto"/>
          <w:sz w:val="32"/>
          <w:szCs w:val="32"/>
          <w:highlight w:val="none"/>
        </w:rPr>
        <w:t>一般公共预算财政拨款支出决算情况</w:t>
      </w:r>
      <w:bookmarkEnd w:id="3"/>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中国共产党环江毛南族自治县委员会党史研究室2022年度一般公共预算财政拨款支出</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减少11.42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下降7.95%</w:t>
      </w:r>
      <w:r>
        <w:rPr>
          <w:rFonts w:hint="eastAsia" w:ascii="仿宋" w:hAnsi="仿宋" w:eastAsia="仿宋" w:cs="仿宋"/>
          <w:color w:val="auto"/>
          <w:sz w:val="32"/>
          <w:szCs w:val="32"/>
          <w:highlight w:val="none"/>
        </w:rPr>
        <w:t>。其中：基本支出</w:t>
      </w:r>
      <w:r>
        <w:rPr>
          <w:rFonts w:ascii="仿宋" w:hAnsi="仿宋" w:eastAsia="仿宋" w:cs="仿宋"/>
          <w:color w:val="auto"/>
          <w:sz w:val="32"/>
          <w:u w:color="auto"/>
        </w:rPr>
        <w:t>92.59</w:t>
      </w:r>
      <w:r>
        <w:rPr>
          <w:rFonts w:hint="eastAsia" w:ascii="仿宋" w:hAnsi="仿宋" w:eastAsia="仿宋" w:cs="仿宋"/>
          <w:color w:val="auto"/>
          <w:sz w:val="32"/>
          <w:szCs w:val="32"/>
          <w:highlight w:val="none"/>
        </w:rPr>
        <w:t>万元，项目支出</w:t>
      </w:r>
      <w:r>
        <w:rPr>
          <w:rFonts w:ascii="仿宋" w:hAnsi="仿宋" w:eastAsia="仿宋" w:cs="仿宋"/>
          <w:color w:val="auto"/>
          <w:sz w:val="32"/>
          <w:u w:color="auto"/>
        </w:rPr>
        <w:t>39.68</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 年度一般公共预算财政拨款支出年初预算为</w:t>
      </w:r>
      <w:r>
        <w:rPr>
          <w:rFonts w:ascii="仿宋" w:hAnsi="仿宋" w:eastAsia="仿宋" w:cs="仿宋"/>
          <w:color w:val="auto"/>
          <w:sz w:val="32"/>
          <w:u w:color="auto"/>
        </w:rPr>
        <w:t>87.25</w:t>
      </w:r>
      <w:r>
        <w:rPr>
          <w:rFonts w:hint="eastAsia" w:ascii="仿宋" w:hAnsi="仿宋" w:eastAsia="仿宋" w:cs="仿宋"/>
          <w:color w:val="auto"/>
          <w:sz w:val="32"/>
          <w:szCs w:val="32"/>
          <w:highlight w:val="none"/>
        </w:rPr>
        <w:t>万元，支出决算为</w:t>
      </w:r>
      <w:r>
        <w:rPr>
          <w:rFonts w:ascii="仿宋" w:hAnsi="仿宋" w:eastAsia="仿宋" w:cs="仿宋"/>
          <w:color w:val="auto"/>
          <w:sz w:val="32"/>
          <w:u w:color="auto"/>
        </w:rPr>
        <w:t>132.28</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151.61%</w:t>
      </w:r>
      <w:r>
        <w:rPr>
          <w:rFonts w:hint="eastAsia" w:ascii="仿宋" w:hAnsi="仿宋" w:eastAsia="仿宋" w:cs="仿宋"/>
          <w:color w:val="auto"/>
          <w:sz w:val="32"/>
          <w:szCs w:val="32"/>
          <w:highlight w:val="none"/>
        </w:rPr>
        <w:t>。</w:t>
      </w:r>
      <w:bookmarkStart w:id="4" w:name="OLE_LINK2"/>
      <w:bookmarkEnd w:id="4"/>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72.27</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104.20</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144.18%</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ascii="仿宋_GB2312" w:hAnsi="宋体" w:eastAsia="仿宋_GB2312" w:cs="仿宋_GB2312"/>
          <w:i w:val="0"/>
          <w:iCs w:val="0"/>
          <w:caps w:val="0"/>
          <w:color w:val="auto"/>
          <w:spacing w:val="0"/>
          <w:sz w:val="31"/>
          <w:szCs w:val="31"/>
          <w:shd w:val="clear" w:fill="FFFFFF"/>
        </w:rPr>
        <w:t>年初预算安排是根据上年度人员工资基数编制年初预算，受人员工资的增资调资、项目控制数的影响，未能将全部项目列入年初预算按排，在项目执行过程中，只能通过追加经费、调整预算来按排，导致了预决算数差异的存在。</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2010301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71.20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102.32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143.71%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在职在编人员工资以及其他福利支出、编撰出版各项工作经费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人员工资的增资调资、项目控制数的影响，未能将全部项目列入年初预算按排，在项目执行过程中，只能通过追加经费、调整预算来按排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其他政府办公厅（室）及相关机构事务支出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0.80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协助招开2022年全市史志系列工作会议工作经费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受项目控制数的影响，未能将全部项目列入年初预算按排，在项目执行过程中，只能通过追加经费、调整预算来按排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职工服务和工会活动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72.27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104.20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8.56</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7.87</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91.94%</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ascii="仿宋_GB2312" w:hAnsi="宋体" w:eastAsia="仿宋_GB2312" w:cs="仿宋_GB2312"/>
          <w:i w:val="0"/>
          <w:iCs w:val="0"/>
          <w:caps w:val="0"/>
          <w:color w:val="auto"/>
          <w:spacing w:val="0"/>
          <w:sz w:val="31"/>
          <w:szCs w:val="31"/>
          <w:shd w:val="clear" w:fill="FFFFFF"/>
        </w:rPr>
        <w:t>年初预算安排是根据上年度人员工资基数编制年初预算，受养老保险缴费基数调整的影响，导致了预决算数差异的存在。</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91.94%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年初预算安排是根据上年度人员工资基数编制年初预算，受养老保险缴费基数调整的影响，导致了预决算数差异的存在。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8.56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7.87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6.42</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6.43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100.16%</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按规定的比例计缴的住房公积金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6.43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5114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13.79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奖励性绩效补贴支出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13.79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中国共产党环江毛南族自治县委员会党史研究室2022年度一般公共预算财政拨款基本支出</w:t>
      </w:r>
      <w:r>
        <w:rPr>
          <w:rFonts w:ascii="仿宋" w:hAnsi="仿宋" w:eastAsia="仿宋" w:cs="仿宋"/>
          <w:color w:val="auto"/>
          <w:sz w:val="32"/>
          <w:u w:color="auto"/>
        </w:rPr>
        <w:t>92.59</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89.56</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3.03</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ascii="仿宋" w:hAnsi="仿宋" w:eastAsia="仿宋" w:cs="仿宋"/>
          <w:color w:val="auto"/>
          <w:sz w:val="32"/>
          <w:u w:color="auto"/>
        </w:rPr>
        <w:t>85.16万元，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129.4%</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ascii="仿宋_GB2312" w:hAnsi="宋体" w:eastAsia="仿宋_GB2312" w:cs="仿宋_GB2312"/>
          <w:i w:val="0"/>
          <w:iCs w:val="0"/>
          <w:caps w:val="0"/>
          <w:color w:val="auto"/>
          <w:spacing w:val="0"/>
          <w:sz w:val="31"/>
          <w:szCs w:val="31"/>
          <w:shd w:val="clear" w:fill="FFFFFF"/>
        </w:rPr>
        <w:t>人员工资的增资调资</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25.28万元，30102津贴补贴16.92万元，30103奖金20.16万元，30106伙食补助费1.00万元，30108机关事业单位基本养老保险缴费8.57万元，30110职工基本医疗保险缴费3.98万元，30112其他社会保障缴费0.09万元，30113住房公积金6.43万元，30199其他工资福利支出2.74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u w:color="auto"/>
        </w:rPr>
        <w:t>3.03万元，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41.17%</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主要原因是：公务交通补贴决算数列入工资福利支出中的津贴补贴。</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30201办公费0.58万元，30205水费0.01万元，30206电费0.14万元，30207邮电费1.13万元，30217公务接待费0.10万元，30228工会经费1.07万元。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u w:color="auto"/>
        </w:rPr>
        <w:t>4.40万元，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86.27%</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主要原因是：遗属人员减少。</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30305生活补助4.40万元。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w:t>
      </w:r>
      <w:r>
        <w:rPr>
          <w:rFonts w:hint="eastAsia" w:ascii="仿宋" w:hAnsi="仿宋" w:eastAsia="仿宋" w:cs="仿宋"/>
          <w:color w:val="auto"/>
          <w:sz w:val="32"/>
          <w:szCs w:val="32"/>
          <w:highlight w:val="none"/>
        </w:rPr>
        <w:t>其他支出</w:t>
      </w:r>
      <w:r>
        <w:rPr>
          <w:rFonts w:hint="eastAsia" w:ascii="仿宋" w:hAnsi="仿宋" w:eastAsia="仿宋" w:cs="仿宋"/>
          <w:color w:val="auto"/>
          <w:kern w:val="2"/>
          <w:sz w:val="32"/>
          <w:szCs w:val="32"/>
          <w:highlight w:val="none"/>
          <w:lang w:val="en-US" w:eastAsia="zh-CN" w:bidi="ar"/>
        </w:rPr>
        <w:t>。</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仿宋" w:hAnsi="仿宋" w:eastAsia="仿宋" w:cs="仿宋"/>
          <w:color w:val="auto"/>
          <w:sz w:val="32"/>
          <w:szCs w:val="32"/>
          <w:highlight w:val="none"/>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中国共产党环江毛南族自治县委员会党史研究室2022年度政府性基金支出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中国共产党环江毛南族自治县委员会党史研究室2022年度政府性基金支出年初预算为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中国共产党环江毛南族自治县委员会党史研究室</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中国共产党环江毛南族自治县委员会党史研究室2022年度国有资本经营预算支出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万元。其中：基本支出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万元，项目支出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中国共产党环江毛南族自治县委员会党史研究室2022 年度国有资本经营预算支出年初预算为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rPr>
        <w:t>中国共产党环江毛南族自治县委员会党史研究室</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5"/>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2022年预算财政拨款安排的“三公”经费支出</w:t>
      </w:r>
      <w:r>
        <w:rPr>
          <w:rFonts w:ascii="仿宋" w:hAnsi="仿宋" w:eastAsia="仿宋" w:cs="仿宋"/>
          <w:color w:val="auto"/>
          <w:sz w:val="32"/>
          <w:szCs w:val="32"/>
          <w:highlight w:val="none"/>
        </w:rPr>
        <w:t>0.20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40%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减少0.04</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主要原因是：为贯彻落实党中央、国务院关于党和政府带头过紧日子的决策部署，进一步压减“三公两费”支出。</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万元，公务用车购置及运行费支出决算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万元，公务接待费支出决算</w:t>
      </w:r>
      <w:r>
        <w:rPr>
          <w:rFonts w:ascii="仿宋" w:hAnsi="仿宋" w:eastAsia="仿宋" w:cs="仿宋"/>
          <w:color w:val="auto"/>
          <w:sz w:val="32"/>
          <w:szCs w:val="32"/>
          <w:highlight w:val="none"/>
        </w:rPr>
        <w:t>0.20</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具体情况如下：</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（一）因公出国（境）费支出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w:t>
      </w:r>
      <w:r>
        <w:rPr>
          <w:rFonts w:hint="eastAsia" w:ascii="仿宋" w:hAnsi="仿宋" w:eastAsia="仿宋" w:cs="仿宋"/>
          <w:sz w:val="32"/>
          <w:szCs w:val="32"/>
          <w:highlight w:val="none"/>
        </w:rPr>
        <w:t>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0.20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40%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减少0.04</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主要原因是：为贯彻落实党中央、国务院关于党和政府带头过紧日子的决策部署，进一步压减“三公两费”支出。</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20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3.03</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减少4.33</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下降58.83%</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增加1.82</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增长150.41%</w:t>
      </w:r>
      <w:r>
        <w:rPr>
          <w:rFonts w:hint="eastAsia" w:ascii="仿宋" w:hAnsi="仿宋" w:eastAsia="仿宋" w:cs="仿宋"/>
          <w:color w:val="auto"/>
          <w:sz w:val="32"/>
          <w:szCs w:val="32"/>
          <w:highlight w:val="none"/>
        </w:rPr>
        <w:t>。原因是：随着业务量的增加，导致办公耗材等相关经费支出的增加。主要原因是：办公费增加0.14万元、邮电费增加0.65万元、工会经费支出增加1.07万元。</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根据财政预算管理要求，本部门组织对2022年度一般公共预算项目支出全面开展绩效自评。其中，一等项目9个，共涉及资金28.48万元，占一般公共预算项目支出总额的100%。</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中国共产党环江历史百年》印发出版经费”项目进行了部门评价，涉及一般公共预算支出16万元。从评价情况来看，产出指标、成效指标、满意度指标等各项指标内容都达到预期的指标并具有一定的成效。</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1个部门开展整体支出绩效评价试点，涉及一般公共预算支出87.25万元。从评价情况来看，年初部门预算编制细化程度不够，导致在执行绩效目标是部分存在偏差，致使项目预算存在年中、年末追加追减的现象，指标完成情况中的数量指标、质量指标、成本指标很难确定，经济效益、社会效益、生态效益等难以量化，绩效目标的设定和执行之间难免出现偏差。</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我部门根据年初设定的绩效目标，9个项目自评得均为90分。发现的主要问题及原因：</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一是年初部门预算编制细化程度不够，导致在执行总体绩效目标是部分存在偏差，致使项目预算存在年中、年末追加追减的现象。二是个别项目实施进度较慢，惯性思维严重，报账不及时，造成年底因未及时报账造成绩效目标偏差。三是指标完成情况中的数量指标、质量指标、成本指标很难确定，经济效益、社会效益、生态效益等难以量化，绩效目标的设定和执行之间难免出现偏差。</w:t>
      </w:r>
    </w:p>
    <w:p>
      <w:pPr>
        <w:jc w:val="left"/>
        <w:rPr>
          <w:rFonts w:hint="eastAsia" w:ascii="仿宋" w:hAnsi="仿宋" w:eastAsia="仿宋" w:cs="仿宋"/>
          <w:color w:val="auto"/>
          <w:sz w:val="32"/>
          <w:szCs w:val="32"/>
        </w:rPr>
      </w:pPr>
      <w:r>
        <w:rPr>
          <w:rFonts w:hint="eastAsia" w:ascii="仿宋" w:hAnsi="仿宋" w:eastAsia="仿宋" w:cs="仿宋"/>
          <w:color w:val="auto"/>
          <w:sz w:val="32"/>
          <w:szCs w:val="32"/>
        </w:rPr>
        <w:t>主要改进措施：</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rPr>
        <w:t>一是加强预算编制的合理性。预算的合理性是行政事业单位内部控制的精髓，在今后的工作中，我单位进一步重视部门预算严格执行《中华人民共和国预算法》，增强预算业务控制，充分发挥预算控制在内部控制中的重要作用。严格按县本级部门预算编报程序进行编制，基本支出预算按照单位的基础信息和核定的标准编制，保证单位的正常运转，项目支出预算根据单位发展规划和年度计划，结合财政部门预算安排情况，科学细化项目。二是积极开展预算绩效管理工作。在今后的工作中，我单位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color w:val="auto"/>
          <w:sz w:val="32"/>
          <w:szCs w:val="32"/>
          <w:highlight w:val="none"/>
          <w:lang w:val="en-US" w:eastAsia="zh-CN"/>
        </w:rPr>
      </w:pPr>
      <w:bookmarkStart w:id="6" w:name="_GoBack"/>
      <w:bookmarkEnd w:id="6"/>
    </w:p>
    <w:p>
      <w:pPr>
        <w:ind w:firstLine="640" w:firstLineChars="200"/>
        <w:jc w:val="left"/>
        <w:rPr>
          <w:rFonts w:hint="eastAsia" w:ascii="仿宋" w:hAnsi="仿宋" w:eastAsia="仿宋" w:cs="仿宋"/>
          <w:color w:val="auto"/>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D85456"/>
    <w:rsid w:val="04192BC4"/>
    <w:rsid w:val="04E54546"/>
    <w:rsid w:val="05992762"/>
    <w:rsid w:val="07B0770E"/>
    <w:rsid w:val="0942143F"/>
    <w:rsid w:val="0D100297"/>
    <w:rsid w:val="0D202B45"/>
    <w:rsid w:val="0F8D4C87"/>
    <w:rsid w:val="10505FAA"/>
    <w:rsid w:val="105F7E7E"/>
    <w:rsid w:val="10B5519D"/>
    <w:rsid w:val="11E56B5B"/>
    <w:rsid w:val="125C77AB"/>
    <w:rsid w:val="14CB726E"/>
    <w:rsid w:val="17253615"/>
    <w:rsid w:val="17E92249"/>
    <w:rsid w:val="18D304F1"/>
    <w:rsid w:val="19F32577"/>
    <w:rsid w:val="19F45B80"/>
    <w:rsid w:val="1B0C078D"/>
    <w:rsid w:val="1B2B31E2"/>
    <w:rsid w:val="1B4C295A"/>
    <w:rsid w:val="1B973C63"/>
    <w:rsid w:val="1BA1001E"/>
    <w:rsid w:val="1BEE7603"/>
    <w:rsid w:val="1D317259"/>
    <w:rsid w:val="1E664F5B"/>
    <w:rsid w:val="1EB34BE1"/>
    <w:rsid w:val="215E639F"/>
    <w:rsid w:val="21EC3183"/>
    <w:rsid w:val="220558A0"/>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AA67FD"/>
    <w:rsid w:val="38B31605"/>
    <w:rsid w:val="39003F4F"/>
    <w:rsid w:val="3C07002B"/>
    <w:rsid w:val="3D0D152A"/>
    <w:rsid w:val="3DF62756"/>
    <w:rsid w:val="3F1B7587"/>
    <w:rsid w:val="41E57B4F"/>
    <w:rsid w:val="432F26F6"/>
    <w:rsid w:val="43880F63"/>
    <w:rsid w:val="441C5A6F"/>
    <w:rsid w:val="44C44FCC"/>
    <w:rsid w:val="44CC7369"/>
    <w:rsid w:val="457F5108"/>
    <w:rsid w:val="46547FBA"/>
    <w:rsid w:val="46951B6B"/>
    <w:rsid w:val="49A34401"/>
    <w:rsid w:val="4A3E30AB"/>
    <w:rsid w:val="4AC14DAC"/>
    <w:rsid w:val="4D154C85"/>
    <w:rsid w:val="4EB35ECE"/>
    <w:rsid w:val="508F4E24"/>
    <w:rsid w:val="51461E90"/>
    <w:rsid w:val="51463753"/>
    <w:rsid w:val="52553A93"/>
    <w:rsid w:val="53521F8B"/>
    <w:rsid w:val="53CA4473"/>
    <w:rsid w:val="53E22F47"/>
    <w:rsid w:val="544611AD"/>
    <w:rsid w:val="54522FF8"/>
    <w:rsid w:val="55450629"/>
    <w:rsid w:val="56692963"/>
    <w:rsid w:val="568B0F48"/>
    <w:rsid w:val="5786217B"/>
    <w:rsid w:val="59337A15"/>
    <w:rsid w:val="59810274"/>
    <w:rsid w:val="5CA96A00"/>
    <w:rsid w:val="5CF730BC"/>
    <w:rsid w:val="5E5F0DCE"/>
    <w:rsid w:val="5F082FAE"/>
    <w:rsid w:val="5FA40A7B"/>
    <w:rsid w:val="5FD56D29"/>
    <w:rsid w:val="5FEC7F3F"/>
    <w:rsid w:val="60F74BC3"/>
    <w:rsid w:val="617D3BF8"/>
    <w:rsid w:val="61841F6A"/>
    <w:rsid w:val="623007A9"/>
    <w:rsid w:val="637D7558"/>
    <w:rsid w:val="63DE7B8D"/>
    <w:rsid w:val="644F19AC"/>
    <w:rsid w:val="65AA4920"/>
    <w:rsid w:val="65E31D0B"/>
    <w:rsid w:val="67694F1E"/>
    <w:rsid w:val="67CA27D4"/>
    <w:rsid w:val="69597934"/>
    <w:rsid w:val="6B964DDC"/>
    <w:rsid w:val="6C783074"/>
    <w:rsid w:val="6D9E65C6"/>
    <w:rsid w:val="6DA81947"/>
    <w:rsid w:val="6EB66DE2"/>
    <w:rsid w:val="6ED3075F"/>
    <w:rsid w:val="6F2A2D4B"/>
    <w:rsid w:val="6F480BED"/>
    <w:rsid w:val="6F8A0C1E"/>
    <w:rsid w:val="703F45D4"/>
    <w:rsid w:val="715D6546"/>
    <w:rsid w:val="71BE069E"/>
    <w:rsid w:val="73953409"/>
    <w:rsid w:val="73E069A3"/>
    <w:rsid w:val="73FA3E0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2.xml"/><Relationship Id="rId18" Type="http://schemas.openxmlformats.org/officeDocument/2006/relationships/chart" Target="charts/chart11.xml"/><Relationship Id="rId17" Type="http://schemas.openxmlformats.org/officeDocument/2006/relationships/chart" Target="charts/chart10.xml"/><Relationship Id="rId16" Type="http://schemas.openxmlformats.org/officeDocument/2006/relationships/chart" Target="charts/chart9.xml"/><Relationship Id="rId15" Type="http://schemas.openxmlformats.org/officeDocument/2006/relationships/chart" Target="charts/chart8.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9.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0.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132.28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112.12</c:v>
                </c:pt>
                <c:pt idx="1">
                  <c:v>8.27</c:v>
                </c:pt>
                <c:pt idx="2">
                  <c:v>6.43</c:v>
                </c:pt>
                <c:pt idx="3">
                  <c:v>16.88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104.2</c:v>
                </c:pt>
                <c:pt idx="1">
                  <c:v>7.87</c:v>
                </c:pt>
                <c:pt idx="2">
                  <c:v>6.43</c:v>
                </c:pt>
                <c:pt idx="3">
                  <c:v>13.79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2010301</c:v>
                </c:pt>
                <c:pt idx="1">
                  <c:v>2010399</c:v>
                </c:pt>
                <c:pt idx="2">
                  <c:v>2012999</c:v>
                </c:pt>
                <c:pt idx="3">
                  <c:v>201x</c:v>
                </c:pt>
              </c:strCache>
            </c:strRef>
          </c:cat>
          <c:val>
            <c:numRef>
              <c:f>Sheet1!$B$2:$B$5</c:f>
              <c:numCache>
                <c:formatCode>General</c:formatCode>
                <c:ptCount val="4"/>
                <c:pt idx="0">
                  <c:v>102.32</c:v>
                </c:pt>
                <c:pt idx="1">
                  <c:v>0.8</c:v>
                </c:pt>
                <c:pt idx="2">
                  <c:v>1.07</c:v>
                </c:pt>
                <c:pt idx="3">
                  <c:v>104.2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7.87</c:v>
                </c:pt>
                <c:pt idx="1">
                  <c:v>7.87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6.43</c:v>
                </c:pt>
                <c:pt idx="1">
                  <c:v>6.43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13.79</c:v>
                </c:pt>
                <c:pt idx="1">
                  <c:v>13.79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25.28</c:v>
                </c:pt>
                <c:pt idx="1">
                  <c:v>16.92</c:v>
                </c:pt>
                <c:pt idx="2">
                  <c:v>20.16</c:v>
                </c:pt>
                <c:pt idx="3">
                  <c:v>1</c:v>
                </c:pt>
                <c:pt idx="4">
                  <c:v>0</c:v>
                </c:pt>
                <c:pt idx="5">
                  <c:v>8.57</c:v>
                </c:pt>
                <c:pt idx="6">
                  <c:v>0</c:v>
                </c:pt>
                <c:pt idx="7">
                  <c:v>3.98</c:v>
                </c:pt>
                <c:pt idx="8">
                  <c:v>0</c:v>
                </c:pt>
                <c:pt idx="9">
                  <c:v>0.09</c:v>
                </c:pt>
                <c:pt idx="10">
                  <c:v>6.43</c:v>
                </c:pt>
                <c:pt idx="11">
                  <c:v>0</c:v>
                </c:pt>
                <c:pt idx="12">
                  <c:v>2.74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0.58</c:v>
                </c:pt>
                <c:pt idx="1">
                  <c:v>0</c:v>
                </c:pt>
                <c:pt idx="2">
                  <c:v>0</c:v>
                </c:pt>
                <c:pt idx="3">
                  <c:v>0</c:v>
                </c:pt>
                <c:pt idx="4">
                  <c:v>0.01</c:v>
                </c:pt>
                <c:pt idx="5">
                  <c:v>0.14</c:v>
                </c:pt>
                <c:pt idx="6">
                  <c:v>1.13</c:v>
                </c:pt>
                <c:pt idx="7">
                  <c:v>0</c:v>
                </c:pt>
                <c:pt idx="8">
                  <c:v>0</c:v>
                </c:pt>
                <c:pt idx="9">
                  <c:v>0</c:v>
                </c:pt>
                <c:pt idx="10">
                  <c:v>0</c:v>
                </c:pt>
                <c:pt idx="11">
                  <c:v>0</c:v>
                </c:pt>
                <c:pt idx="12">
                  <c:v>0</c:v>
                </c:pt>
                <c:pt idx="13">
                  <c:v>0</c:v>
                </c:pt>
                <c:pt idx="14">
                  <c:v>0</c:v>
                </c:pt>
                <c:pt idx="15">
                  <c:v>0.1</c:v>
                </c:pt>
                <c:pt idx="16">
                  <c:v>0</c:v>
                </c:pt>
                <c:pt idx="17">
                  <c:v>0</c:v>
                </c:pt>
                <c:pt idx="18">
                  <c:v>0</c:v>
                </c:pt>
                <c:pt idx="19">
                  <c:v>0</c:v>
                </c:pt>
                <c:pt idx="20">
                  <c:v>0</c:v>
                </c:pt>
                <c:pt idx="21">
                  <c:v>1.07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4.4</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2023-11-29T03:36:19Z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