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中国共产党</w:t>
      </w:r>
      <w:r>
        <w:rPr>
          <w:rFonts w:hint="eastAsia" w:ascii="黑体" w:hAnsi="黑体" w:eastAsia="黑体" w:cs="黑体"/>
          <w:b/>
          <w:bCs/>
          <w:sz w:val="52"/>
          <w:szCs w:val="52"/>
          <w:highlight w:val="none"/>
        </w:rPr>
        <w:t>环江</w:t>
      </w:r>
      <w:r>
        <w:rPr>
          <w:rFonts w:hint="eastAsia" w:ascii="黑体" w:hAnsi="黑体" w:eastAsia="黑体" w:cs="黑体"/>
          <w:b/>
          <w:bCs/>
          <w:sz w:val="52"/>
          <w:szCs w:val="52"/>
          <w:highlight w:val="none"/>
          <w:lang w:eastAsia="zh-CN"/>
        </w:rPr>
        <w:t>毛南族自治县委员会机构编制委员会办公室</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中国共产党</w:t>
      </w:r>
      <w:r>
        <w:rPr>
          <w:rFonts w:hint="eastAsia" w:ascii="黑体" w:hAnsi="黑体" w:eastAsia="黑体" w:cs="黑体"/>
          <w:sz w:val="32"/>
          <w:szCs w:val="32"/>
          <w:highlight w:val="none"/>
        </w:rPr>
        <w:t>环江</w:t>
      </w:r>
      <w:r>
        <w:rPr>
          <w:rFonts w:hint="eastAsia" w:ascii="黑体" w:hAnsi="黑体" w:eastAsia="黑体" w:cs="黑体"/>
          <w:sz w:val="32"/>
          <w:szCs w:val="32"/>
          <w:highlight w:val="none"/>
          <w:lang w:eastAsia="zh-CN"/>
        </w:rPr>
        <w:t>毛南族自治县委员会机构编制委员会办公室</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中国共产党</w:t>
      </w:r>
      <w:r>
        <w:rPr>
          <w:rFonts w:hint="eastAsia" w:ascii="黑体" w:hAnsi="黑体" w:eastAsia="黑体" w:cs="黑体"/>
          <w:sz w:val="32"/>
          <w:szCs w:val="32"/>
          <w:highlight w:val="none"/>
        </w:rPr>
        <w:t>环江</w:t>
      </w:r>
      <w:r>
        <w:rPr>
          <w:rFonts w:hint="eastAsia" w:ascii="黑体" w:hAnsi="黑体" w:eastAsia="黑体" w:cs="黑体"/>
          <w:sz w:val="32"/>
          <w:szCs w:val="32"/>
          <w:highlight w:val="none"/>
          <w:lang w:eastAsia="zh-CN"/>
        </w:rPr>
        <w:t>毛南族自治县委员会机构编制委员会办公室</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中国共产党</w:t>
      </w:r>
      <w:r>
        <w:rPr>
          <w:rFonts w:hint="eastAsia" w:ascii="黑体" w:hAnsi="黑体" w:eastAsia="黑体" w:cs="黑体"/>
          <w:sz w:val="32"/>
          <w:szCs w:val="32"/>
          <w:highlight w:val="none"/>
        </w:rPr>
        <w:t>环江</w:t>
      </w:r>
      <w:r>
        <w:rPr>
          <w:rFonts w:hint="eastAsia" w:ascii="黑体" w:hAnsi="黑体" w:eastAsia="黑体" w:cs="黑体"/>
          <w:sz w:val="32"/>
          <w:szCs w:val="32"/>
          <w:highlight w:val="none"/>
          <w:lang w:eastAsia="zh-CN"/>
        </w:rPr>
        <w:t>毛南族自治县委员会机构编制委员会办公室</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中国共产党</w:t>
      </w:r>
      <w:r>
        <w:rPr>
          <w:rFonts w:hint="eastAsia" w:ascii="黑体" w:hAnsi="黑体" w:eastAsia="黑体" w:cs="黑体"/>
          <w:b/>
          <w:bCs/>
          <w:sz w:val="32"/>
          <w:szCs w:val="32"/>
          <w:highlight w:val="none"/>
        </w:rPr>
        <w:t>环江</w:t>
      </w:r>
      <w:r>
        <w:rPr>
          <w:rFonts w:hint="eastAsia" w:ascii="黑体" w:hAnsi="黑体" w:eastAsia="黑体" w:cs="黑体"/>
          <w:b/>
          <w:bCs/>
          <w:sz w:val="32"/>
          <w:szCs w:val="32"/>
          <w:highlight w:val="none"/>
          <w:lang w:eastAsia="zh-CN"/>
        </w:rPr>
        <w:t>毛南族自治县委员会机构编制委员会办公室</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一）贯彻执行党中央、国务院及自治区、河池市、自治县党委和政府有关行政管理体制改革、机构改革、机构编制管理以及绩效考评工作的方针政策、法律法规和指导意见，拟定我县相应的规定、办法和实施方案，经批准后组织实施。</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（二）审核自治县党委、自治县人民政府各部门和乡（镇）机构改革方案。指导和协调全县党政部门、人民团体和事业单位机构改革、机构编制和绩效管理工作。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三）负责组织实施自治县党委、自治县人民政府各部门的职能配置及其调整；协调自治县党委、自治县人民政府各部门之间以及县级党政各部门与乡（镇）之间的职责分工。审核自治县党委、自治县人民政府各部门的职能配置、内设机构、人员编制和领导职数；审核自治县人大、自治县政协机关和各人民团体机关的机构设置、人员编制和领导职数。负责全县党政群机关和事业单位的设置及调整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（四）负责全县机构编制实名制管理工作，会同有关部门健全完善机构编制、人员与财政预算相结合的管理机制。负责全县机关事业单位编制和领导职数使用审核工作。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（五）负责指导并监督检查全县各级行政管理体制改革、机构改革、机构编制政策规定及绩效考评指标的执行情况。负责查处机构职能编制管理违规行为，受理绩效投诉，开展绩效分析评估。</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六）负责对接自治区、河池市绩效考评工作，分解自治区、河池市下达的绩效考评指标。督查检查自治区和河池市下达绩效目标完成情况。负责做好年度自治区、河池市绩效考评迎检工作。协调指导各乡（镇）和县直机关单位设定绩效考评指标并组织实施。负责组织对各乡（镇）和县直机关单位（含驻环江中直区直市直单位）开展绩效考评核验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（七）负责统筹全县机构编制、绩效考评信息化建设。负责对接自治区、河池市绩效考评社会评价工作，组织开展全县绩效考评社会评价工作。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（八）负责全县各部门和各乡（镇）权责清单调整完善工作。</w:t>
      </w:r>
    </w:p>
    <w:p>
      <w:pPr>
        <w:keepNext w:val="0"/>
        <w:keepLines w:val="0"/>
        <w:pageBreakBefore w:val="0"/>
        <w:kinsoku/>
        <w:wordWrap/>
        <w:overflowPunct/>
        <w:topLinePunct w:val="0"/>
        <w:bidi w:val="0"/>
        <w:spacing w:line="560" w:lineRule="exact"/>
        <w:ind w:firstLine="648"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（九）负责全县事业单位设立、变更、注销登记工作。</w:t>
      </w:r>
    </w:p>
    <w:p>
      <w:pPr>
        <w:keepNext w:val="0"/>
        <w:keepLines w:val="0"/>
        <w:pageBreakBefore w:val="0"/>
        <w:kinsoku/>
        <w:wordWrap/>
        <w:overflowPunct/>
        <w:topLinePunct w:val="0"/>
        <w:bidi w:val="0"/>
        <w:spacing w:line="560" w:lineRule="exact"/>
        <w:ind w:firstLine="646"/>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（十）承办自治县党委、自治县人民政府和自治县党委机构编制委员会、自治县绩效考评领导小组交办的其他事项。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5"/>
        <w:rPr>
          <w:rFonts w:hint="eastAsia" w:ascii="仿宋" w:hAnsi="仿宋" w:eastAsia="仿宋" w:cs="仿宋"/>
          <w:color w:val="FF0000"/>
          <w:sz w:val="32"/>
          <w:szCs w:val="32"/>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w:t>
      </w:r>
      <w:r>
        <w:rPr>
          <w:rFonts w:hint="eastAsia" w:ascii="仿宋" w:hAnsi="仿宋" w:eastAsia="仿宋" w:cs="仿宋"/>
          <w:color w:val="auto"/>
          <w:sz w:val="32"/>
          <w:szCs w:val="32"/>
          <w:highlight w:val="none"/>
          <w:lang w:eastAsia="zh-CN"/>
        </w:rPr>
        <w:t>中国共产党</w:t>
      </w:r>
      <w:r>
        <w:rPr>
          <w:rFonts w:hint="eastAsia" w:ascii="仿宋" w:hAnsi="仿宋" w:eastAsia="仿宋" w:cs="仿宋"/>
          <w:color w:val="auto"/>
          <w:sz w:val="32"/>
          <w:szCs w:val="32"/>
          <w:highlight w:val="none"/>
        </w:rPr>
        <w:t>环江</w:t>
      </w:r>
      <w:r>
        <w:rPr>
          <w:rFonts w:hint="eastAsia" w:ascii="仿宋" w:hAnsi="仿宋" w:eastAsia="仿宋" w:cs="仿宋"/>
          <w:color w:val="auto"/>
          <w:sz w:val="32"/>
          <w:szCs w:val="32"/>
          <w:highlight w:val="none"/>
          <w:lang w:eastAsia="zh-CN"/>
        </w:rPr>
        <w:t>毛南族自治县委员会机构编制委员会办公室</w:t>
      </w:r>
      <w:r>
        <w:rPr>
          <w:rFonts w:hint="eastAsia" w:ascii="仿宋_GB2312" w:hAnsi="宋体" w:eastAsia="仿宋_GB2312" w:cs="仿宋_GB2312"/>
          <w:i w:val="0"/>
          <w:iCs w:val="0"/>
          <w:caps w:val="0"/>
          <w:color w:val="333333"/>
          <w:spacing w:val="0"/>
          <w:sz w:val="32"/>
          <w:szCs w:val="32"/>
          <w:shd w:val="clear" w:color="auto" w:fill="FFFFFF"/>
        </w:rPr>
        <w:t>决算报表数由4个单位构成</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hint="eastAsia" w:ascii="仿宋_GB2312" w:hAnsi="宋体" w:eastAsia="仿宋_GB2312" w:cs="仿宋_GB2312"/>
          <w:i w:val="0"/>
          <w:iCs w:val="0"/>
          <w:caps w:val="0"/>
          <w:color w:val="333333"/>
          <w:spacing w:val="0"/>
          <w:sz w:val="32"/>
          <w:szCs w:val="32"/>
          <w:shd w:val="clear" w:color="auto" w:fill="FFFFFF"/>
        </w:rPr>
        <w:t>其中行政单位1个,是编办本级</w:t>
      </w:r>
      <w:r>
        <w:rPr>
          <w:rFonts w:hint="eastAsia" w:ascii="仿宋_GB2312" w:hAnsi="仿宋_GB2312" w:eastAsia="仿宋_GB2312" w:cs="仿宋_GB2312"/>
          <w:sz w:val="32"/>
          <w:szCs w:val="32"/>
          <w:highlight w:val="none"/>
        </w:rPr>
        <w:t>；</w:t>
      </w:r>
      <w:r>
        <w:rPr>
          <w:rFonts w:hint="eastAsia" w:ascii="仿宋_GB2312" w:hAnsi="宋体" w:eastAsia="仿宋_GB2312" w:cs="仿宋_GB2312"/>
          <w:i w:val="0"/>
          <w:iCs w:val="0"/>
          <w:caps w:val="0"/>
          <w:color w:val="333333"/>
          <w:spacing w:val="0"/>
          <w:sz w:val="32"/>
          <w:szCs w:val="32"/>
          <w:shd w:val="clear" w:color="auto" w:fill="FFFFFF"/>
        </w:rPr>
        <w:t>直属事业单位3个,</w:t>
      </w:r>
      <w:r>
        <w:rPr>
          <w:rFonts w:hint="eastAsia" w:ascii="仿宋_GB2312" w:hAnsi="仿宋_GB2312" w:eastAsia="仿宋_GB2312" w:cs="仿宋_GB2312"/>
          <w:sz w:val="32"/>
          <w:szCs w:val="32"/>
          <w:highlight w:val="none"/>
        </w:rPr>
        <w:t>分别是</w:t>
      </w: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自治县事业单位登记管理中心（简称登记中心，参照公务法管理）、</w:t>
      </w: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自治县职能评估中心、</w:t>
      </w: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自治县绩效评估中心。</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lang w:eastAsia="zh-CN"/>
              </w:rPr>
            </w:pPr>
            <w:r>
              <w:rPr>
                <w:rFonts w:hint="eastAsia" w:ascii="仿宋" w:hAnsi="仿宋" w:eastAsia="仿宋" w:cs="仿宋"/>
                <w:color w:val="auto"/>
                <w:sz w:val="32"/>
                <w:szCs w:val="32"/>
                <w:highlight w:val="none"/>
                <w:lang w:eastAsia="zh-CN"/>
              </w:rPr>
              <w:t>中国共产党</w:t>
            </w:r>
            <w:r>
              <w:rPr>
                <w:rFonts w:hint="eastAsia" w:ascii="仿宋" w:hAnsi="仿宋" w:eastAsia="仿宋" w:cs="仿宋"/>
                <w:color w:val="auto"/>
                <w:sz w:val="32"/>
                <w:szCs w:val="32"/>
                <w:highlight w:val="none"/>
              </w:rPr>
              <w:t>环江</w:t>
            </w:r>
            <w:r>
              <w:rPr>
                <w:rFonts w:hint="eastAsia" w:ascii="仿宋" w:hAnsi="仿宋" w:eastAsia="仿宋" w:cs="仿宋"/>
                <w:color w:val="auto"/>
                <w:sz w:val="32"/>
                <w:szCs w:val="32"/>
                <w:highlight w:val="none"/>
                <w:lang w:eastAsia="zh-CN"/>
              </w:rPr>
              <w:t>毛南族自治县委员会机构编制委员会办公室</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自治县事业单位登记管理中心</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_GB2312" w:hAnsi="宋体" w:eastAsia="仿宋_GB2312" w:cs="仿宋_GB2312"/>
                <w:i w:val="0"/>
                <w:iCs w:val="0"/>
                <w:caps w:val="0"/>
                <w:color w:val="333333"/>
                <w:spacing w:val="0"/>
                <w:sz w:val="32"/>
                <w:szCs w:val="32"/>
                <w:shd w:val="clear" w:color="auto" w:fill="FFFFFF"/>
              </w:rPr>
              <w:t>简称登记中心，参照公务法管理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自治县职能评估中心</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hAnsi="宋体" w:eastAsia="仿宋_GB2312" w:cs="仿宋_GB2312"/>
                <w:i w:val="0"/>
                <w:iCs w:val="0"/>
                <w:caps w:val="0"/>
                <w:color w:val="333333"/>
                <w:spacing w:val="0"/>
                <w:sz w:val="32"/>
                <w:szCs w:val="32"/>
                <w:shd w:val="clear" w:color="auto" w:fill="FFFFFF"/>
              </w:rPr>
            </w:pPr>
            <w:r>
              <w:rPr>
                <w:rFonts w:hint="eastAsia" w:ascii="仿宋_GB2312" w:hAnsi="宋体" w:eastAsia="仿宋_GB2312" w:cs="仿宋_GB2312"/>
                <w:i w:val="0"/>
                <w:iCs w:val="0"/>
                <w:caps w:val="0"/>
                <w:color w:val="333333"/>
                <w:spacing w:val="0"/>
                <w:sz w:val="32"/>
                <w:szCs w:val="32"/>
                <w:shd w:val="clear" w:color="auto" w:fill="FFFFFF"/>
                <w:lang w:eastAsia="zh-CN"/>
              </w:rPr>
              <w:t>环江毛南族</w:t>
            </w:r>
            <w:r>
              <w:rPr>
                <w:rFonts w:hint="eastAsia" w:ascii="仿宋_GB2312" w:hAnsi="宋体" w:eastAsia="仿宋_GB2312" w:cs="仿宋_GB2312"/>
                <w:i w:val="0"/>
                <w:iCs w:val="0"/>
                <w:caps w:val="0"/>
                <w:color w:val="333333"/>
                <w:spacing w:val="0"/>
                <w:sz w:val="32"/>
                <w:szCs w:val="32"/>
                <w:shd w:val="clear" w:color="auto" w:fill="FFFFFF"/>
              </w:rPr>
              <w:t>自治县绩效评估中心</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lang w:eastAsia="zh-CN"/>
              </w:rPr>
              <w:t>事业单位</w:t>
            </w:r>
          </w:p>
        </w:tc>
      </w:tr>
      <w:bookmarkEnd w:id="0"/>
    </w:tbl>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474" w:bottom="1440" w:left="1587" w:header="851" w:footer="992" w:gutter="0"/>
          <w:cols w:space="425" w:num="1"/>
          <w:docGrid w:type="lines" w:linePitch="312" w:charSpace="0"/>
        </w:sectPr>
      </w:pPr>
    </w:p>
    <w:p>
      <w:pPr>
        <w:ind w:firstLine="320" w:firstLineChars="1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中国共产党</w:t>
      </w:r>
      <w:r>
        <w:rPr>
          <w:rFonts w:hint="eastAsia" w:ascii="黑体" w:hAnsi="黑体" w:eastAsia="黑体" w:cs="黑体"/>
          <w:sz w:val="32"/>
          <w:szCs w:val="32"/>
          <w:highlight w:val="none"/>
        </w:rPr>
        <w:t>环江</w:t>
      </w:r>
      <w:r>
        <w:rPr>
          <w:rFonts w:hint="eastAsia" w:ascii="黑体" w:hAnsi="黑体" w:eastAsia="黑体" w:cs="黑体"/>
          <w:sz w:val="32"/>
          <w:szCs w:val="32"/>
          <w:highlight w:val="none"/>
          <w:lang w:eastAsia="zh-CN"/>
        </w:rPr>
        <w:t>毛南族自治县委员会机构编制委员会办公室</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265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w:t>
            </w:r>
            <w:r>
              <w:rPr>
                <w:rFonts w:hint="eastAsia" w:ascii="宋体" w:hAnsi="宋体" w:eastAsia="宋体" w:cs="宋体"/>
                <w:color w:val="000000"/>
                <w:kern w:val="0"/>
                <w:sz w:val="22"/>
                <w:szCs w:val="22"/>
                <w:highlight w:val="none"/>
                <w:lang w:val="en-US" w:eastAsia="zh-CN" w:bidi="ar"/>
              </w:rPr>
              <w:t>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173</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24</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18.41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w:t>
            </w:r>
            <w:r>
              <w:rPr>
                <w:rFonts w:hint="eastAsia" w:ascii="宋体" w:hAnsi="宋体" w:eastAsia="宋体" w:cs="宋体"/>
                <w:color w:val="000000"/>
                <w:kern w:val="0"/>
                <w:sz w:val="22"/>
                <w:szCs w:val="22"/>
                <w:highlight w:val="none"/>
                <w:lang w:val="en-US" w:eastAsia="zh-CN" w:bidi="ar"/>
              </w:rPr>
              <w:t>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w:t>
            </w:r>
            <w:r>
              <w:rPr>
                <w:rFonts w:hint="eastAsia" w:ascii="宋体" w:hAnsi="宋体" w:eastAsia="宋体" w:cs="宋体"/>
                <w:color w:val="000000"/>
                <w:kern w:val="0"/>
                <w:sz w:val="22"/>
                <w:szCs w:val="22"/>
                <w:highlight w:val="none"/>
                <w:lang w:val="en-US" w:eastAsia="zh-CN" w:bidi="ar"/>
              </w:rPr>
              <w:t>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w:t>
            </w:r>
            <w:r>
              <w:rPr>
                <w:rFonts w:hint="eastAsia" w:ascii="宋体" w:hAnsi="宋体" w:eastAsia="宋体" w:cs="宋体"/>
                <w:color w:val="000000"/>
                <w:kern w:val="0"/>
                <w:sz w:val="22"/>
                <w:szCs w:val="22"/>
                <w:highlight w:val="none"/>
                <w:lang w:val="en-US" w:eastAsia="zh-CN" w:bidi="ar"/>
              </w:rPr>
              <w:t>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8</w:t>
            </w:r>
            <w:r>
              <w:rPr>
                <w:rFonts w:hint="eastAsia" w:ascii="宋体" w:hAnsi="宋体" w:eastAsia="宋体" w:cs="宋体"/>
                <w:color w:val="000000"/>
                <w:kern w:val="0"/>
                <w:sz w:val="22"/>
                <w:szCs w:val="22"/>
                <w:highlight w:val="none"/>
                <w:lang w:val="en-US" w:eastAsia="zh-CN" w:bidi="ar"/>
              </w:rPr>
              <w:t>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0"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265</w:t>
            </w:r>
            <w:r>
              <w:rPr>
                <w:rFonts w:hint="eastAsia" w:ascii="宋体" w:hAnsi="宋体" w:eastAsia="宋体" w:cs="宋体"/>
                <w:b/>
                <w:bCs/>
                <w:color w:val="000000"/>
                <w:sz w:val="22"/>
                <w:szCs w:val="22"/>
                <w:highlight w:val="none"/>
                <w:lang w:val="en-US" w:eastAsia="zh-CN"/>
              </w:rPr>
              <w:t>.</w:t>
            </w:r>
            <w:r>
              <w:rPr>
                <w:rFonts w:hint="eastAsia" w:ascii="宋体" w:hAnsi="宋体" w:eastAsia="宋体" w:cs="宋体"/>
                <w:b/>
                <w:bCs/>
                <w:color w:val="000000"/>
                <w:sz w:val="22"/>
                <w:szCs w:val="22"/>
                <w:highlight w:val="none"/>
              </w:rPr>
              <w:t>8</w:t>
            </w:r>
            <w:r>
              <w:rPr>
                <w:rFonts w:hint="eastAsia" w:ascii="宋体" w:hAnsi="宋体" w:eastAsia="宋体" w:cs="宋体"/>
                <w:b/>
                <w:bCs/>
                <w:color w:val="000000"/>
                <w:sz w:val="22"/>
                <w:szCs w:val="22"/>
                <w:highlight w:val="none"/>
                <w:lang w:val="en-US" w:eastAsia="zh-CN"/>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265</w:t>
            </w:r>
            <w:r>
              <w:rPr>
                <w:rFonts w:hint="eastAsia" w:ascii="宋体" w:hAnsi="宋体" w:eastAsia="宋体" w:cs="宋体"/>
                <w:b/>
                <w:bCs/>
                <w:color w:val="000000"/>
                <w:sz w:val="22"/>
                <w:szCs w:val="22"/>
                <w:highlight w:val="none"/>
                <w:lang w:val="en-US" w:eastAsia="zh-CN"/>
              </w:rPr>
              <w:t>.</w:t>
            </w:r>
            <w:r>
              <w:rPr>
                <w:rFonts w:hint="eastAsia" w:ascii="宋体" w:hAnsi="宋体" w:eastAsia="宋体" w:cs="宋体"/>
                <w:b/>
                <w:bCs/>
                <w:color w:val="000000"/>
                <w:sz w:val="22"/>
                <w:szCs w:val="22"/>
                <w:highlight w:val="none"/>
              </w:rPr>
              <w:t>8</w:t>
            </w:r>
            <w:r>
              <w:rPr>
                <w:rFonts w:hint="eastAsia" w:ascii="宋体" w:hAnsi="宋体" w:eastAsia="宋体" w:cs="宋体"/>
                <w:b/>
                <w:bCs/>
                <w:color w:val="000000"/>
                <w:sz w:val="22"/>
                <w:szCs w:val="22"/>
                <w:highlight w:val="none"/>
                <w:lang w:val="en-US" w:eastAsia="zh-CN"/>
              </w:rPr>
              <w:t>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64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173</w:t>
            </w:r>
            <w:r>
              <w:rPr>
                <w:rFonts w:hint="eastAsia"/>
                <w:lang w:val="en-US" w:eastAsia="zh-CN"/>
              </w:rPr>
              <w:t>.</w:t>
            </w:r>
            <w:r>
              <w:rPr>
                <w:rFonts w:hint="eastAsia"/>
              </w:rPr>
              <w:t>2</w:t>
            </w:r>
            <w:r>
              <w:rPr>
                <w:rFonts w:hint="eastAsia"/>
                <w:lang w:val="en-US" w:eastAsia="zh-C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rPr>
              <w:t>173</w:t>
            </w:r>
            <w:r>
              <w:rPr>
                <w:rFonts w:hint="eastAsia"/>
                <w:lang w:val="en-US" w:eastAsia="zh-CN"/>
              </w:rPr>
              <w:t>.</w:t>
            </w:r>
            <w:r>
              <w:rPr>
                <w:rFonts w:hint="eastAsia"/>
              </w:rPr>
              <w:t>2</w:t>
            </w:r>
            <w:r>
              <w:rPr>
                <w:rFonts w:hint="eastAsia"/>
                <w:lang w:val="en-US" w:eastAsia="zh-CN"/>
              </w:rPr>
              <w:t>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169</w:t>
            </w:r>
            <w:r>
              <w:rPr>
                <w:rFonts w:hint="eastAsia"/>
                <w:lang w:val="en-US" w:eastAsia="zh-CN"/>
              </w:rPr>
              <w:t>.</w:t>
            </w:r>
            <w:r>
              <w:rPr>
                <w:rFonts w:hint="eastAsia"/>
              </w:rPr>
              <w:t>8</w:t>
            </w:r>
            <w:r>
              <w:rPr>
                <w:rFonts w:hint="eastAsia"/>
                <w:lang w:val="en-US" w:eastAsia="zh-CN"/>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rPr>
              <w:t>169</w:t>
            </w:r>
            <w:r>
              <w:rPr>
                <w:rFonts w:hint="eastAsia"/>
                <w:lang w:val="en-US" w:eastAsia="zh-CN"/>
              </w:rPr>
              <w:t>.</w:t>
            </w:r>
            <w:r>
              <w:rPr>
                <w:rFonts w:hint="eastAsia"/>
              </w:rPr>
              <w:t>8</w:t>
            </w:r>
            <w:r>
              <w:rPr>
                <w:rFonts w:hint="eastAsia"/>
                <w:lang w:val="en-US" w:eastAsia="zh-CN"/>
              </w:rPr>
              <w:t>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0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1,69</w:t>
            </w:r>
            <w:r>
              <w:rPr>
                <w:rFonts w:hint="eastAsia"/>
                <w:lang w:val="en-US" w:eastAsia="zh-CN"/>
              </w:rPr>
              <w:t>.</w:t>
            </w:r>
            <w:r>
              <w:rPr>
                <w:rFonts w:hint="eastAsia"/>
              </w:rPr>
              <w:t>8</w:t>
            </w:r>
            <w:r>
              <w:rPr>
                <w:rFonts w:hint="eastAsia"/>
                <w:lang w:val="en-US" w:eastAsia="zh-CN"/>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rPr>
              <w:t>1,69</w:t>
            </w:r>
            <w:r>
              <w:rPr>
                <w:rFonts w:hint="eastAsia"/>
                <w:lang w:val="en-US" w:eastAsia="zh-CN"/>
              </w:rPr>
              <w:t>.</w:t>
            </w:r>
            <w:r>
              <w:rPr>
                <w:rFonts w:hint="eastAsia"/>
              </w:rPr>
              <w:t>8</w:t>
            </w:r>
            <w:r>
              <w:rPr>
                <w:rFonts w:hint="eastAsia"/>
                <w:lang w:val="en-US" w:eastAsia="zh-CN"/>
              </w:rPr>
              <w:t>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5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3</w:t>
            </w:r>
            <w:r>
              <w:rPr>
                <w:rFonts w:hint="eastAsia"/>
                <w:lang w:val="en-US" w:eastAsia="zh-CN"/>
              </w:rPr>
              <w:t>.</w:t>
            </w:r>
            <w:r>
              <w:rPr>
                <w:rFonts w:hint="eastAsia"/>
              </w:rPr>
              <w:t>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3</w:t>
            </w:r>
            <w:r>
              <w:rPr>
                <w:rFonts w:hint="eastAsia"/>
                <w:lang w:val="en-US" w:eastAsia="zh-CN"/>
              </w:rPr>
              <w:t>.</w:t>
            </w:r>
            <w:r>
              <w:rPr>
                <w:rFonts w:hint="eastAsia"/>
              </w:rPr>
              <w:t>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3</w:t>
            </w:r>
            <w:r>
              <w:rPr>
                <w:rFonts w:hint="eastAsia"/>
                <w:lang w:val="en-US" w:eastAsia="zh-CN"/>
              </w:rPr>
              <w:t>.</w:t>
            </w:r>
            <w:r>
              <w:rPr>
                <w:rFonts w:hint="eastAsia"/>
              </w:rPr>
              <w:t>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3</w:t>
            </w:r>
            <w:r>
              <w:rPr>
                <w:rFonts w:hint="eastAsia"/>
                <w:lang w:val="en-US" w:eastAsia="zh-CN"/>
              </w:rPr>
              <w:t>.</w:t>
            </w:r>
            <w:r>
              <w:rPr>
                <w:rFonts w:hint="eastAsia"/>
              </w:rPr>
              <w:t>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6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w:t>
            </w:r>
            <w:r>
              <w:rPr>
                <w:rFonts w:hint="eastAsia"/>
                <w:lang w:val="en-US" w:eastAsia="zh-CN"/>
              </w:rPr>
              <w:t>.</w:t>
            </w:r>
            <w:r>
              <w:rPr>
                <w:rFonts w:hint="eastAsia"/>
              </w:rPr>
              <w:t>1</w:t>
            </w:r>
            <w:r>
              <w:rPr>
                <w:rFonts w:hint="eastAsia"/>
                <w:lang w:val="en-US" w:eastAsia="zh-C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w:t>
            </w:r>
            <w:r>
              <w:rPr>
                <w:rFonts w:hint="eastAsia"/>
                <w:lang w:val="en-US" w:eastAsia="zh-CN"/>
              </w:rPr>
              <w:t>.</w:t>
            </w:r>
            <w:r>
              <w:rPr>
                <w:rFonts w:hint="eastAsia"/>
              </w:rPr>
              <w:t>1</w:t>
            </w:r>
            <w:r>
              <w:rPr>
                <w:rFonts w:hint="eastAsia"/>
                <w:lang w:val="en-US" w:eastAsia="zh-CN"/>
              </w:rPr>
              <w:t>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24</w:t>
            </w:r>
            <w:r>
              <w:rPr>
                <w:rFonts w:hint="eastAsia"/>
                <w:lang w:val="en-US" w:eastAsia="zh-CN"/>
              </w:rPr>
              <w:t>.</w:t>
            </w:r>
            <w:r>
              <w:rPr>
                <w:rFonts w:hint="eastAsia"/>
              </w:rPr>
              <w:t>1</w:t>
            </w:r>
            <w:r>
              <w:rPr>
                <w:rFonts w:hint="eastAsia"/>
                <w:lang w:val="en-US" w:eastAsia="zh-C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w:t>
            </w:r>
            <w:r>
              <w:rPr>
                <w:rFonts w:hint="eastAsia"/>
                <w:lang w:val="en-US" w:eastAsia="zh-CN"/>
              </w:rPr>
              <w:t>.</w:t>
            </w:r>
            <w:r>
              <w:rPr>
                <w:rFonts w:hint="eastAsia"/>
              </w:rPr>
              <w:t>1</w:t>
            </w:r>
            <w:r>
              <w:rPr>
                <w:rFonts w:hint="eastAsia"/>
                <w:lang w:val="en-US" w:eastAsia="zh-CN"/>
              </w:rPr>
              <w:t>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8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w:t>
            </w:r>
            <w:r>
              <w:rPr>
                <w:rFonts w:hint="eastAsia"/>
                <w:lang w:val="en-US" w:eastAsia="zh-CN"/>
              </w:rPr>
              <w:t>.</w:t>
            </w:r>
            <w:r>
              <w:rPr>
                <w:rFonts w:hint="eastAsia"/>
              </w:rPr>
              <w:t>1</w:t>
            </w:r>
            <w:r>
              <w:rPr>
                <w:rFonts w:hint="eastAsia"/>
                <w:lang w:val="en-US" w:eastAsia="zh-C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w:t>
            </w:r>
            <w:r>
              <w:rPr>
                <w:rFonts w:hint="eastAsia"/>
                <w:lang w:val="en-US" w:eastAsia="zh-CN"/>
              </w:rPr>
              <w:t>.</w:t>
            </w:r>
            <w:r>
              <w:rPr>
                <w:rFonts w:hint="eastAsia"/>
              </w:rPr>
              <w:t>1</w:t>
            </w:r>
            <w:r>
              <w:rPr>
                <w:rFonts w:hint="eastAsia"/>
                <w:lang w:val="en-US" w:eastAsia="zh-CN"/>
              </w:rPr>
              <w:t>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64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18</w:t>
            </w:r>
            <w:r>
              <w:rPr>
                <w:rFonts w:hint="eastAsia"/>
                <w:lang w:val="en-US" w:eastAsia="zh-CN"/>
              </w:rPr>
              <w:t>.</w:t>
            </w:r>
            <w:r>
              <w:rPr>
                <w:rFonts w:hint="eastAsia"/>
              </w:rPr>
              <w:t>4</w:t>
            </w:r>
            <w:r>
              <w:rPr>
                <w:rFonts w:hint="eastAsia"/>
                <w:lang w:val="en-US" w:eastAsia="zh-CN"/>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18</w:t>
            </w:r>
            <w:r>
              <w:rPr>
                <w:rFonts w:hint="eastAsia"/>
                <w:lang w:val="en-US" w:eastAsia="zh-CN"/>
              </w:rPr>
              <w:t>.</w:t>
            </w:r>
            <w:r>
              <w:rPr>
                <w:rFonts w:hint="eastAsia"/>
              </w:rPr>
              <w:t>4</w:t>
            </w:r>
            <w:r>
              <w:rPr>
                <w:rFonts w:hint="eastAsia"/>
                <w:lang w:val="en-US" w:eastAsia="zh-CN"/>
              </w:rPr>
              <w:t>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18</w:t>
            </w:r>
            <w:r>
              <w:rPr>
                <w:rFonts w:hint="eastAsia"/>
                <w:lang w:val="en-US" w:eastAsia="zh-CN"/>
              </w:rPr>
              <w:t>.</w:t>
            </w:r>
            <w:r>
              <w:rPr>
                <w:rFonts w:hint="eastAsia"/>
              </w:rPr>
              <w:t>4</w:t>
            </w:r>
            <w:r>
              <w:rPr>
                <w:rFonts w:hint="eastAsia"/>
                <w:lang w:val="en-US" w:eastAsia="zh-CN"/>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18</w:t>
            </w:r>
            <w:r>
              <w:rPr>
                <w:rFonts w:hint="eastAsia"/>
                <w:lang w:val="en-US" w:eastAsia="zh-CN"/>
              </w:rPr>
              <w:t>.</w:t>
            </w:r>
            <w:r>
              <w:rPr>
                <w:rFonts w:hint="eastAsia"/>
              </w:rPr>
              <w:t>4</w:t>
            </w:r>
            <w:r>
              <w:rPr>
                <w:rFonts w:hint="eastAsia"/>
                <w:lang w:val="en-US" w:eastAsia="zh-CN"/>
              </w:rPr>
              <w:t>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7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18</w:t>
            </w:r>
            <w:r>
              <w:rPr>
                <w:rFonts w:hint="eastAsia"/>
                <w:lang w:val="en-US" w:eastAsia="zh-CN"/>
              </w:rPr>
              <w:t>.</w:t>
            </w:r>
            <w:r>
              <w:rPr>
                <w:rFonts w:hint="eastAsia"/>
              </w:rPr>
              <w:t>4</w:t>
            </w:r>
            <w:r>
              <w:rPr>
                <w:rFonts w:hint="eastAsia"/>
                <w:lang w:val="en-US" w:eastAsia="zh-CN"/>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18</w:t>
            </w:r>
            <w:r>
              <w:rPr>
                <w:rFonts w:hint="eastAsia"/>
                <w:lang w:val="en-US" w:eastAsia="zh-CN"/>
              </w:rPr>
              <w:t>.</w:t>
            </w:r>
            <w:r>
              <w:rPr>
                <w:rFonts w:hint="eastAsia"/>
              </w:rPr>
              <w:t>4</w:t>
            </w:r>
            <w:r>
              <w:rPr>
                <w:rFonts w:hint="eastAsia"/>
                <w:lang w:val="en-US" w:eastAsia="zh-CN"/>
              </w:rPr>
              <w:t>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7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0"/>
                <w:sz w:val="22"/>
                <w:szCs w:val="22"/>
                <w:highlight w:val="none"/>
                <w:lang w:eastAsia="zh-CN" w:bidi="ar"/>
              </w:rPr>
            </w:pPr>
            <w:r>
              <w:rPr>
                <w:rFonts w:hint="eastAsia"/>
              </w:rPr>
              <w:t>50</w:t>
            </w:r>
            <w:r>
              <w:rPr>
                <w:rFonts w:hint="eastAsia"/>
                <w:lang w:val="en-US" w:eastAsia="zh-CN"/>
              </w:rPr>
              <w:t>.</w:t>
            </w:r>
            <w:r>
              <w:rPr>
                <w:rFonts w:hint="eastAsia"/>
              </w:rPr>
              <w:t>0</w:t>
            </w:r>
            <w:r>
              <w:rPr>
                <w:rFonts w:hint="eastAsia"/>
                <w:lang w:val="en-US" w:eastAsia="zh-CN"/>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50</w:t>
            </w:r>
            <w:r>
              <w:rPr>
                <w:rFonts w:hint="eastAsia"/>
                <w:lang w:val="en-US" w:eastAsia="zh-CN"/>
              </w:rPr>
              <w:t>.</w:t>
            </w:r>
            <w:r>
              <w:rPr>
                <w:rFonts w:hint="eastAsia"/>
              </w:rPr>
              <w:t>0</w:t>
            </w:r>
            <w:r>
              <w:rPr>
                <w:rFonts w:hint="eastAsia"/>
                <w:lang w:val="en-US" w:eastAsia="zh-CN"/>
              </w:rPr>
              <w:t>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9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50</w:t>
            </w:r>
            <w:r>
              <w:rPr>
                <w:rFonts w:hint="eastAsia"/>
                <w:lang w:val="en-US" w:eastAsia="zh-CN"/>
              </w:rPr>
              <w:t>.</w:t>
            </w:r>
            <w:r>
              <w:rPr>
                <w:rFonts w:hint="eastAsia"/>
              </w:rPr>
              <w:t>0</w:t>
            </w:r>
            <w:r>
              <w:rPr>
                <w:rFonts w:hint="eastAsia"/>
                <w:lang w:val="en-US" w:eastAsia="zh-CN"/>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50</w:t>
            </w:r>
            <w:r>
              <w:rPr>
                <w:rFonts w:hint="eastAsia"/>
                <w:lang w:val="en-US" w:eastAsia="zh-CN"/>
              </w:rPr>
              <w:t>.</w:t>
            </w:r>
            <w:r>
              <w:rPr>
                <w:rFonts w:hint="eastAsia"/>
              </w:rPr>
              <w:t>0</w:t>
            </w:r>
            <w:r>
              <w:rPr>
                <w:rFonts w:hint="eastAsia"/>
                <w:lang w:val="en-US" w:eastAsia="zh-CN"/>
              </w:rPr>
              <w:t>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1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50</w:t>
            </w:r>
            <w:r>
              <w:rPr>
                <w:rFonts w:hint="eastAsia"/>
                <w:lang w:val="en-US" w:eastAsia="zh-CN"/>
              </w:rPr>
              <w:t>.</w:t>
            </w:r>
            <w:r>
              <w:rPr>
                <w:rFonts w:hint="eastAsia"/>
              </w:rPr>
              <w:t>0</w:t>
            </w:r>
            <w:r>
              <w:rPr>
                <w:rFonts w:hint="eastAsia"/>
                <w:lang w:val="en-US" w:eastAsia="zh-CN"/>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50</w:t>
            </w:r>
            <w:r>
              <w:rPr>
                <w:rFonts w:hint="eastAsia"/>
                <w:lang w:val="en-US" w:eastAsia="zh-CN"/>
              </w:rPr>
              <w:t>.</w:t>
            </w:r>
            <w:r>
              <w:rPr>
                <w:rFonts w:hint="eastAsia"/>
              </w:rPr>
              <w:t>0</w:t>
            </w:r>
            <w:r>
              <w:rPr>
                <w:rFonts w:hint="eastAsia"/>
                <w:lang w:val="en-US" w:eastAsia="zh-CN"/>
              </w:rPr>
              <w:t>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bl>
    <w:p>
      <w:pPr>
        <w:jc w:val="both"/>
        <w:rPr>
          <w:rFonts w:ascii="仿宋" w:hAnsi="仿宋" w:eastAsia="仿宋" w:cs="仿宋"/>
          <w:sz w:val="24"/>
          <w:highlight w:val="none"/>
        </w:rPr>
      </w:pPr>
      <w:r>
        <w:rPr>
          <w:rFonts w:hint="eastAsia" w:ascii="宋体" w:hAnsi="宋体" w:eastAsia="宋体" w:cs="宋体"/>
          <w:color w:val="000000"/>
          <w:kern w:val="0"/>
          <w:sz w:val="22"/>
          <w:szCs w:val="22"/>
          <w:highlight w:val="none"/>
          <w:lang w:bidi="ar"/>
        </w:rPr>
        <w:t>注：本表反映部门本年度取得的各项收入情况。</w:t>
      </w: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265.85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253.88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50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161.28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6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7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2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85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79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5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9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73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5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173.24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173.24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24.14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18.41</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50.06</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265.85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265.85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253.88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161.28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157.88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157.88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 w:name="OLE_LINK3"/>
            <w:bookmarkStart w:id="2"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231.91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1"/>
      <w:bookmarkEnd w:id="2"/>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236.32</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17.56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中国共产党</w:t>
            </w:r>
            <w:r>
              <w:rPr>
                <w:rFonts w:hint="eastAsia" w:ascii="宋体" w:hAnsi="宋体" w:eastAsia="宋体" w:cs="宋体"/>
                <w:color w:val="000000"/>
                <w:kern w:val="0"/>
                <w:sz w:val="20"/>
                <w:szCs w:val="20"/>
                <w:highlight w:val="none"/>
                <w:lang w:bidi="ar"/>
              </w:rPr>
              <w:t>环江</w:t>
            </w:r>
            <w:r>
              <w:rPr>
                <w:rFonts w:hint="eastAsia" w:ascii="宋体" w:hAnsi="宋体" w:eastAsia="宋体" w:cs="宋体"/>
                <w:color w:val="000000"/>
                <w:kern w:val="0"/>
                <w:sz w:val="20"/>
                <w:szCs w:val="20"/>
                <w:highlight w:val="none"/>
                <w:lang w:eastAsia="zh-CN" w:bidi="ar"/>
              </w:rPr>
              <w:t>毛南族自治县委员会机构编制委员会办公室</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0.82</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0.82</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0.82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中国共产党</w:t>
      </w:r>
      <w:r>
        <w:rPr>
          <w:rFonts w:hint="eastAsia" w:ascii="黑体" w:hAnsi="黑体" w:eastAsia="黑体" w:cs="黑体"/>
          <w:sz w:val="32"/>
          <w:szCs w:val="32"/>
          <w:highlight w:val="none"/>
        </w:rPr>
        <w:t>环江</w:t>
      </w:r>
      <w:r>
        <w:rPr>
          <w:rFonts w:hint="eastAsia" w:ascii="黑体" w:hAnsi="黑体" w:eastAsia="黑体" w:cs="黑体"/>
          <w:sz w:val="32"/>
          <w:szCs w:val="32"/>
          <w:highlight w:val="none"/>
          <w:lang w:eastAsia="zh-CN"/>
        </w:rPr>
        <w:t>毛南族自治县委员会机构编制</w:t>
      </w:r>
    </w:p>
    <w:p>
      <w:pPr>
        <w:jc w:val="center"/>
        <w:rPr>
          <w:rFonts w:ascii="仿宋" w:hAnsi="仿宋" w:eastAsia="仿宋" w:cs="仿宋"/>
          <w:sz w:val="32"/>
          <w:szCs w:val="32"/>
          <w:highlight w:val="none"/>
        </w:rPr>
      </w:pPr>
      <w:r>
        <w:rPr>
          <w:rFonts w:hint="eastAsia" w:ascii="黑体" w:hAnsi="黑体" w:eastAsia="黑体" w:cs="黑体"/>
          <w:sz w:val="32"/>
          <w:szCs w:val="32"/>
          <w:highlight w:val="none"/>
          <w:lang w:eastAsia="zh-CN"/>
        </w:rPr>
        <w:t>委员会办公室</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6.12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2.25</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265.85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6.12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2.25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lang w:val="en-US" w:eastAsia="zh-CN"/>
        </w:rPr>
        <w:t>人员变动工资福利减少。</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黑体"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万元，较2021年度决算数</w:t>
      </w:r>
      <w:r>
        <w:rPr>
          <w:rFonts w:ascii="仿宋" w:hAnsi="仿宋" w:eastAsia="仿宋" w:cs="仿宋"/>
          <w:sz w:val="32"/>
          <w:u w:color="auto"/>
        </w:rPr>
        <w:t>少</w:t>
      </w:r>
      <w:r>
        <w:rPr>
          <w:rFonts w:hint="eastAsia" w:ascii="仿宋" w:hAnsi="仿宋" w:eastAsia="仿宋" w:cs="仿宋"/>
          <w:sz w:val="32"/>
          <w:u w:color="auto"/>
          <w:lang w:val="en-US" w:eastAsia="zh-CN"/>
        </w:rPr>
        <w:t>6.12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2.25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w:t>
      </w:r>
      <w:r>
        <w:rPr>
          <w:rFonts w:hint="eastAsia" w:ascii="仿宋" w:hAnsi="仿宋" w:eastAsia="仿宋" w:cs="仿宋"/>
          <w:sz w:val="32"/>
          <w:szCs w:val="32"/>
          <w:highlight w:val="none"/>
          <w:lang w:val="en-US" w:eastAsia="zh-CN" w:bidi="ar"/>
        </w:rPr>
        <w:t>173.24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6.93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4.17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bCs/>
          <w:kern w:val="0"/>
          <w:sz w:val="32"/>
          <w:szCs w:val="32"/>
          <w:highlight w:val="none"/>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ascii="仿宋" w:hAnsi="仿宋" w:eastAsia="仿宋"/>
          <w:sz w:val="32"/>
          <w:u w:color="auto"/>
        </w:rPr>
        <w:t>（208</w:t>
      </w:r>
      <w:r>
        <w:rPr>
          <w:rFonts w:hint="eastAsia" w:ascii="仿宋" w:hAnsi="仿宋" w:eastAsia="仿宋"/>
          <w:sz w:val="32"/>
          <w:szCs w:val="32"/>
          <w:highlight w:val="none"/>
        </w:rPr>
        <w:t>类）</w:t>
      </w:r>
      <w:r>
        <w:rPr>
          <w:rFonts w:hint="eastAsia" w:ascii="仿宋" w:hAnsi="仿宋" w:eastAsia="仿宋" w:cs="仿宋"/>
          <w:sz w:val="32"/>
          <w:szCs w:val="32"/>
          <w:highlight w:val="none"/>
          <w:lang w:val="en-US" w:eastAsia="zh-CN" w:bidi="ar"/>
        </w:rPr>
        <w:t>24.14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w:t>
      </w:r>
      <w:r>
        <w:rPr>
          <w:rFonts w:hint="eastAsia" w:ascii="仿宋_GB2312" w:hAnsi="仿宋_GB2312" w:eastAsia="仿宋_GB2312" w:cs="仿宋_GB2312"/>
          <w:bCs/>
          <w:kern w:val="0"/>
          <w:sz w:val="32"/>
          <w:szCs w:val="32"/>
          <w:highlight w:val="none"/>
          <w:lang w:eastAsia="zh-CN"/>
        </w:rPr>
        <w:t>单位</w:t>
      </w:r>
      <w:r>
        <w:rPr>
          <w:rFonts w:hint="eastAsia" w:ascii="仿宋_GB2312" w:hAnsi="仿宋_GB2312" w:eastAsia="仿宋_GB2312" w:cs="仿宋_GB2312"/>
          <w:bCs/>
          <w:kern w:val="0"/>
          <w:sz w:val="32"/>
          <w:szCs w:val="32"/>
          <w:highlight w:val="none"/>
        </w:rPr>
        <w:t>按规定的比例计缴的</w:t>
      </w:r>
      <w:r>
        <w:rPr>
          <w:rFonts w:hint="eastAsia" w:ascii="仿宋_GB2312" w:hAnsi="仿宋_GB2312" w:eastAsia="仿宋_GB2312" w:cs="仿宋_GB2312"/>
          <w:bCs/>
          <w:kern w:val="0"/>
          <w:sz w:val="32"/>
          <w:szCs w:val="32"/>
          <w:highlight w:val="none"/>
          <w:lang w:eastAsia="zh-CN"/>
        </w:rPr>
        <w:t>养老保险</w:t>
      </w:r>
      <w:r>
        <w:rPr>
          <w:rFonts w:hint="eastAsia" w:ascii="仿宋_GB2312" w:hAnsi="仿宋_GB2312" w:eastAsia="仿宋_GB2312" w:cs="仿宋_GB2312"/>
          <w:bCs/>
          <w:kern w:val="0"/>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7.82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w:t>
      </w:r>
      <w:r>
        <w:rPr>
          <w:rFonts w:hint="eastAsia" w:ascii="仿宋" w:hAnsi="仿宋" w:eastAsia="仿宋" w:cs="仿宋"/>
          <w:sz w:val="32"/>
          <w:szCs w:val="32"/>
          <w:highlight w:val="none"/>
          <w:lang w:val="en-US" w:eastAsia="zh-CN" w:bidi="ar"/>
        </w:rPr>
        <w:t>18.41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本</w:t>
      </w:r>
      <w:r>
        <w:rPr>
          <w:rFonts w:hint="eastAsia" w:ascii="仿宋_GB2312" w:hAnsi="仿宋_GB2312" w:eastAsia="仿宋_GB2312" w:cs="仿宋_GB2312"/>
          <w:bCs/>
          <w:kern w:val="0"/>
          <w:sz w:val="32"/>
          <w:szCs w:val="32"/>
          <w:highlight w:val="none"/>
          <w:lang w:eastAsia="zh-CN"/>
        </w:rPr>
        <w:t>单位</w:t>
      </w:r>
      <w:r>
        <w:rPr>
          <w:rFonts w:hint="eastAsia" w:ascii="仿宋_GB2312" w:hAnsi="仿宋_GB2312" w:eastAsia="仿宋_GB2312" w:cs="仿宋_GB2312"/>
          <w:bCs/>
          <w:kern w:val="0"/>
          <w:sz w:val="32"/>
          <w:szCs w:val="32"/>
          <w:highlight w:val="none"/>
        </w:rPr>
        <w:t>及所属事业单位按规定的比例计缴的住房公积金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5.93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ascii="仿宋" w:hAnsi="仿宋" w:eastAsia="仿宋"/>
          <w:sz w:val="32"/>
          <w:u w:color="auto"/>
        </w:rPr>
        <w:t>（2</w:t>
      </w:r>
      <w:r>
        <w:rPr>
          <w:rFonts w:hint="eastAsia" w:ascii="仿宋" w:hAnsi="仿宋" w:eastAsia="仿宋"/>
          <w:sz w:val="32"/>
          <w:u w:color="auto"/>
          <w:lang w:val="en-US" w:eastAsia="zh-CN"/>
        </w:rPr>
        <w:t>29</w:t>
      </w:r>
      <w:r>
        <w:rPr>
          <w:rFonts w:hint="eastAsia" w:ascii="仿宋" w:hAnsi="仿宋" w:eastAsia="仿宋"/>
          <w:sz w:val="32"/>
          <w:szCs w:val="32"/>
          <w:highlight w:val="none"/>
        </w:rPr>
        <w:t>类）</w:t>
      </w:r>
      <w:r>
        <w:rPr>
          <w:rFonts w:hint="eastAsia" w:ascii="仿宋" w:hAnsi="仿宋" w:eastAsia="仿宋" w:cs="仿宋"/>
          <w:sz w:val="32"/>
          <w:szCs w:val="32"/>
          <w:highlight w:val="none"/>
          <w:lang w:val="en-US" w:eastAsia="zh-CN" w:bidi="ar"/>
        </w:rPr>
        <w:t>50.06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Cs/>
          <w:kern w:val="0"/>
          <w:sz w:val="32"/>
          <w:szCs w:val="32"/>
          <w:lang w:eastAsia="zh-CN"/>
        </w:rPr>
        <w:t>奖励性补贴与伙食补助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10.23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16.97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主要原因是：本单位没有</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5172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6.12</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2.25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253.88</w:t>
      </w:r>
      <w:r>
        <w:rPr>
          <w:rFonts w:hint="eastAsia" w:ascii="仿宋" w:hAnsi="仿宋" w:eastAsia="仿宋" w:cs="仿宋"/>
          <w:sz w:val="32"/>
          <w:szCs w:val="32"/>
          <w:highlight w:val="none"/>
        </w:rPr>
        <w:t>万元，项目支出</w:t>
      </w:r>
      <w:r>
        <w:rPr>
          <w:rFonts w:hint="eastAsia" w:ascii="仿宋" w:hAnsi="仿宋" w:eastAsia="仿宋" w:cs="仿宋"/>
          <w:sz w:val="32"/>
          <w:u w:color="auto"/>
        </w:rPr>
        <w:t>11.96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234.09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113.57</w:t>
      </w:r>
      <w:r>
        <w:rPr>
          <w:rFonts w:ascii="仿宋" w:hAnsi="仿宋" w:eastAsia="仿宋" w:cs="仿宋"/>
          <w:sz w:val="32"/>
          <w:u w:color="auto"/>
        </w:rPr>
        <w:t>%</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一般公共服务支出</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186.93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173.24</w:t>
      </w:r>
      <w:r>
        <w:rPr>
          <w:rFonts w:hint="eastAsia" w:ascii="仿宋" w:hAnsi="仿宋" w:eastAsia="仿宋"/>
          <w:sz w:val="32"/>
          <w:szCs w:val="32"/>
          <w:highlight w:val="none"/>
        </w:rPr>
        <w:t>万元，完成年初预算的</w:t>
      </w:r>
      <w:r>
        <w:rPr>
          <w:rFonts w:ascii="仿宋" w:hAnsi="仿宋" w:eastAsia="仿宋"/>
          <w:sz w:val="32"/>
          <w:szCs w:val="32"/>
          <w:highlight w:val="none"/>
        </w:rPr>
        <w:t>102.63%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186.93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工资福利、项目支出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190.32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工资福利、项目支出、工会经费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r>
              <w:rPr>
                <w:rFonts w:hint="eastAsia" w:ascii="仿宋" w:hAnsi="仿宋" w:eastAsia="仿宋" w:cs="仿宋"/>
                <w:color w:val="auto"/>
                <w:sz w:val="21"/>
                <w:szCs w:val="21"/>
                <w:highlight w:val="none"/>
                <w:lang w:val="en-US" w:eastAsia="zh-CN"/>
              </w:rPr>
              <w:t>工会经费支出</w:t>
            </w: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26.95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24.14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89.57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18.41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91.09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both"/>
        <w:rPr>
          <w:rFonts w:hint="eastAsia" w:ascii="仿宋" w:hAnsi="仿宋" w:eastAsia="仿宋" w:cs="仿宋"/>
          <w:sz w:val="32"/>
          <w:szCs w:val="32"/>
          <w:highlight w:val="none"/>
        </w:rPr>
      </w:pPr>
    </w:p>
    <w:p>
      <w:pPr>
        <w:numPr>
          <w:ilvl w:val="0"/>
          <w:numId w:val="1"/>
        </w:numPr>
        <w:ind w:left="0" w:leftChars="0" w:firstLine="420" w:firstLineChars="0"/>
        <w:jc w:val="left"/>
        <w:rPr>
          <w:rFonts w:hint="eastAsia" w:ascii="仿宋" w:hAnsi="仿宋" w:eastAsia="仿宋" w:cs="仿宋"/>
          <w:sz w:val="32"/>
          <w:szCs w:val="32"/>
          <w:highlight w:val="none"/>
        </w:rPr>
      </w:pPr>
      <w:r>
        <w:rPr>
          <w:rFonts w:hint="eastAsia" w:ascii="仿宋" w:hAnsi="仿宋" w:eastAsia="仿宋"/>
          <w:sz w:val="32"/>
          <w:szCs w:val="32"/>
          <w:highlight w:val="none"/>
          <w:lang w:eastAsia="zh-CN"/>
        </w:rPr>
        <w:t>其他支出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50.06</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原因是：用于</w:t>
      </w:r>
      <w:r>
        <w:rPr>
          <w:rFonts w:hint="eastAsia" w:ascii="仿宋" w:hAnsi="仿宋" w:eastAsia="仿宋" w:cs="仿宋"/>
          <w:bCs/>
          <w:kern w:val="0"/>
          <w:sz w:val="32"/>
          <w:szCs w:val="32"/>
          <w:lang w:eastAsia="zh-CN"/>
        </w:rPr>
        <w:t>奖励性补贴与伙食补助</w:t>
      </w:r>
      <w:r>
        <w:rPr>
          <w:rFonts w:hint="eastAsia" w:ascii="仿宋" w:hAnsi="仿宋" w:eastAsia="仿宋" w:cs="仿宋"/>
          <w:sz w:val="32"/>
          <w:szCs w:val="32"/>
          <w:highlight w:val="none"/>
        </w:rPr>
        <w:t>。</w:t>
      </w:r>
    </w:p>
    <w:p>
      <w:pPr>
        <w:numPr>
          <w:ilvl w:val="0"/>
          <w:numId w:val="0"/>
        </w:num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用于奖励性补贴与伙食补助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用于奖励性补贴与伙食补助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lang w:eastAsia="zh-CN"/>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中国共产党</w:t>
      </w:r>
      <w:r>
        <w:rPr>
          <w:rFonts w:hint="eastAsia" w:ascii="仿宋" w:hAnsi="仿宋" w:eastAsia="仿宋" w:cs="仿宋"/>
          <w:sz w:val="32"/>
          <w:szCs w:val="32"/>
          <w:highlight w:val="none"/>
        </w:rPr>
        <w:t>环江</w:t>
      </w:r>
      <w:r>
        <w:rPr>
          <w:rFonts w:hint="eastAsia" w:ascii="仿宋" w:hAnsi="仿宋" w:eastAsia="仿宋" w:cs="仿宋"/>
          <w:sz w:val="32"/>
          <w:szCs w:val="32"/>
          <w:highlight w:val="none"/>
          <w:lang w:eastAsia="zh-CN"/>
        </w:rPr>
        <w:t>毛南族自治县委员会机构编制委员会办公室</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265.85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236.32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17.56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231.91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121.15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人员变动工资福利收入增加。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67.20万元，30102津贴补贴25.29万元，30103奖金68.79万元，30106伙食补助费3.20万元，30107绩效工资13.00万元，30108机关事业单位基本养老保险缴费24.14万元，30110职工基本医疗保险缴费9.98万元，30111公务员医疗补助缴费0.00万元，30112其他社会保障缴费1.79万元，30113住房公积金18.41万元，30199其他工资福利支出0.00万元，30114医疗费0.10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spacing w:line="560" w:lineRule="exact"/>
        <w:ind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17.56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91.89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z w:val="32"/>
          <w:szCs w:val="32"/>
          <w:lang w:eastAsia="zh-CN"/>
        </w:rPr>
        <w:t>人员变动，</w:t>
      </w:r>
      <w:r>
        <w:rPr>
          <w:rFonts w:hint="eastAsia" w:ascii="仿宋_GB2312" w:hAnsi="仿宋_GB2312" w:eastAsia="仿宋_GB2312" w:cs="仿宋_GB2312"/>
          <w:sz w:val="32"/>
          <w:szCs w:val="32"/>
        </w:rPr>
        <w:t>公务交通补贴</w:t>
      </w:r>
      <w:r>
        <w:rPr>
          <w:rFonts w:hint="eastAsia" w:ascii="仿宋_GB2312" w:hAnsi="仿宋_GB2312" w:eastAsia="仿宋_GB2312" w:cs="仿宋_GB2312"/>
          <w:sz w:val="32"/>
          <w:szCs w:val="32"/>
          <w:lang w:eastAsia="zh-CN"/>
        </w:rPr>
        <w:t>和公务员通信补贴支出对应减少。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2.27万元，30202印刷费0.14万元，30205水费0.33万元，30206水费0.48万元，30207邮电费2.01万元，30211差旅费0.00万元，30213维修（护）费0.13万元，30215会议费0.00万元，30216培训费0.00万元，30226劳务费0.00万元，30228工会经费3.39万元，30239其他交通费用8.82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4.42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108.07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主要原因是：2022年度退休人员增加。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30301离休费0.00万元，30302退休费0.00万元，30305生活补助4.39万元，30309奖励金0.03万元。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债务利息及费用支出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4957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资本性支出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其他支出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u w:color="auto"/>
        </w:rPr>
        <w:t>中国共产党环江毛南族自治县委员会机构编制委员会办公室</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 w:hAnsi="仿宋" w:eastAsia="仿宋" w:cs="仿宋"/>
          <w:color w:val="auto"/>
          <w:sz w:val="32"/>
          <w:szCs w:val="32"/>
          <w:highlight w:val="none"/>
          <w:lang w:eastAsia="zh-CN"/>
        </w:rPr>
        <w:t>中国共产党</w:t>
      </w:r>
      <w:r>
        <w:rPr>
          <w:rFonts w:hint="eastAsia" w:ascii="仿宋" w:hAnsi="仿宋" w:eastAsia="仿宋" w:cs="仿宋"/>
          <w:color w:val="auto"/>
          <w:sz w:val="32"/>
          <w:szCs w:val="32"/>
          <w:highlight w:val="none"/>
        </w:rPr>
        <w:t>环江</w:t>
      </w:r>
      <w:r>
        <w:rPr>
          <w:rFonts w:hint="eastAsia" w:ascii="仿宋" w:hAnsi="仿宋" w:eastAsia="仿宋" w:cs="仿宋"/>
          <w:color w:val="auto"/>
          <w:sz w:val="32"/>
          <w:szCs w:val="32"/>
          <w:highlight w:val="none"/>
          <w:lang w:eastAsia="zh-CN"/>
        </w:rPr>
        <w:t>毛南族自治县委员会机构编制委员会办公室</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0.82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0.29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主要原因是：增加公务接待次数。</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0.82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0"/>
        </w:num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6" w:name="PO_part3A6B2IncReason1"/>
      <w:r>
        <w:rPr>
          <w:rFonts w:hint="eastAsia" w:ascii="仿宋" w:hAnsi="仿宋" w:eastAsia="仿宋" w:cs="仿宋"/>
          <w:color w:val="auto"/>
          <w:sz w:val="32"/>
          <w:szCs w:val="32"/>
        </w:rPr>
        <w:t>本部门无公务用车购置</w:t>
      </w:r>
      <w:bookmarkEnd w:id="6"/>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eastAsia="zh-CN"/>
        </w:rPr>
        <w:t>。</w:t>
      </w:r>
      <w:r>
        <w:rPr>
          <w:rFonts w:hint="eastAsia" w:ascii="仿宋" w:hAnsi="仿宋" w:eastAsia="仿宋" w:cs="仿宋"/>
          <w:sz w:val="32"/>
          <w:szCs w:val="32"/>
          <w:highlight w:val="none"/>
        </w:rPr>
        <w:t>2022年，</w:t>
      </w:r>
      <w:r>
        <w:rPr>
          <w:rFonts w:hint="eastAsia" w:ascii="仿宋" w:hAnsi="仿宋" w:eastAsia="仿宋" w:cs="仿宋"/>
          <w:color w:val="auto"/>
          <w:sz w:val="32"/>
          <w:szCs w:val="32"/>
          <w:highlight w:val="none"/>
          <w:lang w:eastAsia="zh-CN"/>
        </w:rPr>
        <w:t>中国共产党</w:t>
      </w:r>
      <w:r>
        <w:rPr>
          <w:rFonts w:hint="eastAsia" w:ascii="仿宋" w:hAnsi="仿宋" w:eastAsia="仿宋" w:cs="仿宋"/>
          <w:color w:val="auto"/>
          <w:sz w:val="32"/>
          <w:szCs w:val="32"/>
          <w:highlight w:val="none"/>
        </w:rPr>
        <w:t>环江</w:t>
      </w:r>
      <w:r>
        <w:rPr>
          <w:rFonts w:hint="eastAsia" w:ascii="仿宋" w:hAnsi="仿宋" w:eastAsia="仿宋" w:cs="仿宋"/>
          <w:color w:val="auto"/>
          <w:sz w:val="32"/>
          <w:szCs w:val="32"/>
          <w:highlight w:val="none"/>
          <w:lang w:eastAsia="zh-CN"/>
        </w:rPr>
        <w:t>毛南族自治县委员会机构编制委员会办公室</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0.82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5%</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_GB2312" w:eastAsia="仿宋_GB2312" w:cs="仿宋_GB2312"/>
          <w:kern w:val="0"/>
          <w:sz w:val="32"/>
          <w:szCs w:val="32"/>
        </w:rPr>
        <w:t>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_GB2312" w:hAnsi="仿宋_GB2312" w:eastAsia="仿宋_GB2312" w:cs="仿宋_GB2312"/>
          <w:bCs/>
          <w:kern w:val="0"/>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autoSpaceDE w:val="0"/>
        <w:spacing w:line="560" w:lineRule="exact"/>
        <w:ind w:right="0"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17.56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1.55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8.11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13.67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_GB2312" w:hAnsi="仿宋_GB2312" w:eastAsia="仿宋_GB2312" w:cs="仿宋_GB2312"/>
          <w:sz w:val="32"/>
          <w:szCs w:val="32"/>
          <w:lang w:eastAsia="zh-CN"/>
        </w:rPr>
        <w:t>人员变动，</w:t>
      </w:r>
      <w:r>
        <w:rPr>
          <w:rFonts w:hint="eastAsia" w:ascii="仿宋_GB2312" w:hAnsi="仿宋_GB2312" w:eastAsia="仿宋_GB2312" w:cs="仿宋_GB2312"/>
          <w:sz w:val="32"/>
          <w:szCs w:val="32"/>
        </w:rPr>
        <w:t>公务交通补贴</w:t>
      </w:r>
      <w:r>
        <w:rPr>
          <w:rFonts w:hint="eastAsia" w:ascii="仿宋_GB2312" w:hAnsi="仿宋_GB2312" w:eastAsia="仿宋_GB2312" w:cs="仿宋_GB2312"/>
          <w:sz w:val="32"/>
          <w:szCs w:val="32"/>
          <w:lang w:eastAsia="zh-CN"/>
        </w:rPr>
        <w:t>和公务员通信补贴支出对应减少。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24.94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事业单位登记管理业务费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24.94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19.46万元，当年预算数31.12万元，全年执行数24.94万元，完成执行率80.11%，自评结论：一等。</w:t>
      </w:r>
    </w:p>
    <w:p>
      <w:pPr>
        <w:autoSpaceDE w:val="0"/>
        <w:autoSpaceDN w:val="0"/>
        <w:adjustRightInd w:val="0"/>
        <w:spacing w:line="560" w:lineRule="exact"/>
        <w:ind w:firstLine="640" w:firstLineChars="200"/>
        <w:jc w:val="left"/>
        <w:rPr>
          <w:rFonts w:hint="default" w:ascii="仿宋_GB2312" w:hAnsi="仿宋_GB2312" w:eastAsia="仿宋_GB2312" w:cs="仿宋_GB2312"/>
          <w:color w:val="FF0000"/>
          <w:sz w:val="32"/>
          <w:szCs w:val="32"/>
          <w:highlight w:val="none"/>
          <w:u w:val="single"/>
          <w:lang w:val="en-US"/>
        </w:rPr>
      </w:pP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_GB2312" w:hAnsi="仿宋_GB2312" w:eastAsia="仿宋_GB2312" w:cs="仿宋_GB2312"/>
          <w:sz w:val="32"/>
          <w:szCs w:val="32"/>
        </w:rPr>
        <w:t>272.0</w:t>
      </w:r>
      <w:r>
        <w:rPr>
          <w:rFonts w:hint="eastAsia" w:ascii="仿宋_GB2312" w:hAnsi="仿宋_GB2312" w:eastAsia="仿宋_GB2312" w:cs="仿宋_GB2312"/>
          <w:sz w:val="32"/>
          <w:szCs w:val="32"/>
          <w:lang w:val="en-US" w:eastAsia="zh-CN"/>
        </w:rPr>
        <w:t>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_GB2312" w:hAnsi="仿宋_GB2312" w:eastAsia="仿宋_GB2312" w:cs="仿宋_GB2312"/>
          <w:sz w:val="32"/>
          <w:szCs w:val="32"/>
        </w:rPr>
        <w:t>234.0</w:t>
      </w:r>
      <w:r>
        <w:rPr>
          <w:rFonts w:hint="eastAsia" w:ascii="仿宋_GB2312" w:hAnsi="仿宋_GB2312" w:eastAsia="仿宋_GB2312" w:cs="仿宋_GB2312"/>
          <w:sz w:val="32"/>
          <w:szCs w:val="32"/>
          <w:lang w:val="en-US" w:eastAsia="zh-CN"/>
        </w:rPr>
        <w:t>9</w:t>
      </w:r>
      <w:r>
        <w:rPr>
          <w:rFonts w:hint="eastAsia" w:ascii="仿宋" w:hAnsi="仿宋" w:eastAsia="仿宋" w:cs="仿宋"/>
          <w:color w:val="000000" w:themeColor="text1"/>
          <w:sz w:val="32"/>
          <w:szCs w:val="32"/>
          <w:lang w:val="en-US" w:eastAsia="zh-CN"/>
          <w14:textFill>
            <w14:solidFill>
              <w14:schemeClr w14:val="tx1"/>
            </w14:solidFill>
          </w14:textFill>
        </w:rPr>
        <w:t>万元，当年预算数</w:t>
      </w:r>
      <w:r>
        <w:rPr>
          <w:rFonts w:hint="eastAsia" w:ascii="仿宋_GB2312" w:hAnsi="仿宋_GB2312" w:eastAsia="仿宋_GB2312" w:cs="仿宋_GB2312"/>
          <w:sz w:val="32"/>
          <w:szCs w:val="32"/>
        </w:rPr>
        <w:t>272.0</w:t>
      </w:r>
      <w:r>
        <w:rPr>
          <w:rFonts w:hint="eastAsia" w:ascii="仿宋_GB2312" w:hAnsi="仿宋_GB2312" w:eastAsia="仿宋_GB2312" w:cs="仿宋_GB2312"/>
          <w:sz w:val="32"/>
          <w:szCs w:val="32"/>
          <w:lang w:val="en-US" w:eastAsia="zh-CN"/>
        </w:rPr>
        <w:t>4</w:t>
      </w:r>
      <w:r>
        <w:rPr>
          <w:rFonts w:hint="eastAsia" w:ascii="仿宋" w:hAnsi="仿宋" w:eastAsia="仿宋" w:cs="仿宋"/>
          <w:color w:val="000000" w:themeColor="text1"/>
          <w:sz w:val="32"/>
          <w:szCs w:val="32"/>
          <w:lang w:val="en-US" w:eastAsia="zh-CN"/>
          <w14:textFill>
            <w14:solidFill>
              <w14:schemeClr w14:val="tx1"/>
            </w14:solidFill>
          </w14:textFill>
        </w:rPr>
        <w:t>万元，全年执行数</w:t>
      </w:r>
      <w:r>
        <w:rPr>
          <w:rFonts w:hint="eastAsia" w:ascii="仿宋_GB2312" w:hAnsi="仿宋_GB2312" w:eastAsia="仿宋_GB2312" w:cs="仿宋_GB2312"/>
          <w:sz w:val="32"/>
          <w:szCs w:val="32"/>
        </w:rPr>
        <w:t>265.8</w:t>
      </w:r>
      <w:r>
        <w:rPr>
          <w:rFonts w:hint="eastAsia" w:ascii="仿宋_GB2312" w:hAnsi="仿宋_GB2312" w:eastAsia="仿宋_GB2312" w:cs="仿宋_GB2312"/>
          <w:sz w:val="32"/>
          <w:szCs w:val="32"/>
          <w:lang w:val="en-US" w:eastAsia="zh-CN"/>
        </w:rPr>
        <w:t>5</w:t>
      </w:r>
      <w:r>
        <w:rPr>
          <w:rFonts w:hint="eastAsia" w:ascii="仿宋" w:hAnsi="仿宋" w:eastAsia="仿宋" w:cs="仿宋"/>
          <w:color w:val="000000" w:themeColor="text1"/>
          <w:sz w:val="32"/>
          <w:szCs w:val="32"/>
          <w:lang w:val="en-US" w:eastAsia="zh-CN"/>
          <w14:textFill>
            <w14:solidFill>
              <w14:schemeClr w14:val="tx1"/>
            </w14:solidFill>
          </w14:textFill>
        </w:rPr>
        <w:t>万元，完成执行率</w:t>
      </w:r>
      <w:r>
        <w:rPr>
          <w:rFonts w:hint="eastAsia" w:ascii="仿宋_GB2312" w:hAnsi="仿宋_GB2312" w:eastAsia="仿宋_GB2312" w:cs="仿宋_GB2312"/>
          <w:sz w:val="32"/>
          <w:szCs w:val="32"/>
        </w:rPr>
        <w:t>99.72</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情况如下：</w:t>
      </w:r>
    </w:p>
    <w:p>
      <w:pPr>
        <w:numPr>
          <w:ilvl w:val="0"/>
          <w:numId w:val="0"/>
        </w:numPr>
        <w:ind w:left="638" w:leftChars="304"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事业单位登记管理业务费项目自评得分为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日常业务工作经费项目自评得分为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99.1</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绩效考评工作经费项目自评得分为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99.07</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机构编制业务费项目自评得分为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98.39</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办公设备购买费项目自评得分为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92.5</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党支部组织生活活动费项目自评得分为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政务和公益中文域名注册及运行费项目自评得分为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cols w:space="0" w:num="1"/>
          <w:docGrid w:type="lines" w:linePitch="312" w:charSpace="0"/>
        </w:sectPr>
      </w:pPr>
    </w:p>
    <w:tbl>
      <w:tblPr>
        <w:tblStyle w:val="6"/>
        <w:tblW w:w="16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559"/>
        <w:gridCol w:w="1860"/>
        <w:gridCol w:w="1305"/>
        <w:gridCol w:w="603"/>
        <w:gridCol w:w="2308"/>
        <w:gridCol w:w="930"/>
        <w:gridCol w:w="1230"/>
        <w:gridCol w:w="1035"/>
        <w:gridCol w:w="282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事业单位登记管理业务费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主要用于开展事业单位登记,事业单位法人年度报告公示,事业单位法人资格监督检查,事业单位履职考评等业务工作支出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事业单位登记管理业务费主要用于开展事业单位登记,事业单位法人年度报告公示,事业单位法人资格监督检查,事业单位履职考评等业务工作支出.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事业单位登记工作</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推动发展</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451226220311600006297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2022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享受人数</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116667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提高工作积极性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日常业务工作经费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3.8398</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3.8398</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主要用于开展日常业务工作及驻水源镇里腊村、普法教育、公共机构节能、卫生健康等工作的差旅费、水电费、邮电费等各项支出。其中：邮电费0.7万元、差旅费2万元、水费0.6万元、电费1.3万元。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日常业务工作经费主要用于开展日常业务工作及驻水源镇里腊村、普法教育、公共机构节能、卫生健康等工作的办公费、差旅费、水电费、邮电费、维修维护费、公务接待费等各项支出。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i w:val="0"/>
                <w:iCs w:val="0"/>
                <w:color w:val="000000"/>
                <w:sz w:val="16"/>
                <w:szCs w:val="16"/>
                <w:u w:val="none"/>
                <w:lang w:val="en-US"/>
              </w:rPr>
            </w:pPr>
            <w:r>
              <w:rPr>
                <w:rFonts w:hint="eastAsia" w:ascii="仿宋_GB2312" w:hAnsi="Arial" w:eastAsia="仿宋_GB2312" w:cs="仿宋_GB2312"/>
                <w:i w:val="0"/>
                <w:iCs w:val="0"/>
                <w:color w:val="000000"/>
                <w:kern w:val="0"/>
                <w:sz w:val="16"/>
                <w:szCs w:val="16"/>
                <w:u w:val="none"/>
                <w:lang w:val="en-US" w:eastAsia="zh-CN" w:bidi="ar"/>
              </w:rPr>
              <w:t>99.10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日常业务办公室完成量</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预算经费充足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2022年10月31日前完成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≤42180元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38398.2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办公条件改善情况</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绩效考评工作经费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4.5468</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4.5468</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用于开展全县绩效考评各项工作支出。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绩效考评工作经费用于开展全县绩效考评各项工作支出。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i w:val="0"/>
                <w:iCs w:val="0"/>
                <w:color w:val="000000"/>
                <w:sz w:val="16"/>
                <w:szCs w:val="16"/>
                <w:u w:val="none"/>
                <w:lang w:val="en-US"/>
              </w:rPr>
            </w:pPr>
            <w:r>
              <w:rPr>
                <w:rFonts w:hint="eastAsia" w:ascii="仿宋_GB2312" w:hAnsi="Arial" w:eastAsia="仿宋_GB2312" w:cs="仿宋_GB2312"/>
                <w:i w:val="0"/>
                <w:iCs w:val="0"/>
                <w:color w:val="000000"/>
                <w:kern w:val="0"/>
                <w:sz w:val="16"/>
                <w:szCs w:val="16"/>
                <w:u w:val="none"/>
                <w:lang w:val="en-US" w:eastAsia="zh-CN" w:bidi="ar"/>
              </w:rPr>
              <w:t>99.07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绩效考评工作</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≤50120元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45467.99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提高工作积极性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机构编制业务费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2.6835</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2.6835</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主要用于开展事业单位分类改革、事业单位机构改革、行政事业机构职能评估等机构编制业务各项工作的支出。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机构编制业务费主要用于开展事业单位分类改革、事业单位机构改革、行政事业机构职能评估等机构编制业务各项工作的支出。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机构编制工作数量</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≤32000元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26834.85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提高工作积极性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办公设备购买费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用于购买电脑、复印机、打印机等办公设备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用于购买电脑、复印机、打印机等办公设备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i w:val="0"/>
                <w:iCs w:val="0"/>
                <w:color w:val="000000"/>
                <w:sz w:val="16"/>
                <w:szCs w:val="16"/>
                <w:u w:val="none"/>
                <w:lang w:val="en-US"/>
              </w:rPr>
            </w:pPr>
            <w:r>
              <w:rPr>
                <w:rFonts w:hint="eastAsia" w:ascii="仿宋_GB2312" w:hAnsi="Arial" w:eastAsia="仿宋_GB2312" w:cs="仿宋_GB2312"/>
                <w:i w:val="0"/>
                <w:iCs w:val="0"/>
                <w:color w:val="000000"/>
                <w:kern w:val="0"/>
                <w:sz w:val="16"/>
                <w:szCs w:val="16"/>
                <w:u w:val="none"/>
                <w:lang w:val="en-US" w:eastAsia="zh-CN" w:bidi="ar"/>
              </w:rPr>
              <w:t>92.50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购置设备数量</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改善办公条件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使用人员满意度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党支部组织生活活动费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451226210411600004192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本党支部共17名党员，每人每年组织生活活动费100元，共计1700元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本党支部共17名党员，每人每年组织生活活动费100元，共计1700元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i w:val="0"/>
                <w:iCs w:val="0"/>
                <w:color w:val="000000"/>
                <w:sz w:val="16"/>
                <w:szCs w:val="16"/>
                <w:u w:val="none"/>
                <w:lang w:val="en-US"/>
              </w:rPr>
            </w:pPr>
            <w:r>
              <w:rPr>
                <w:rFonts w:hint="eastAsia" w:ascii="仿宋_GB2312" w:hAnsi="Arial" w:eastAsia="仿宋_GB2312" w:cs="仿宋_GB2312"/>
                <w:i w:val="0"/>
                <w:iCs w:val="0"/>
                <w:color w:val="000000"/>
                <w:kern w:val="0"/>
                <w:sz w:val="16"/>
                <w:szCs w:val="16"/>
                <w:u w:val="none"/>
                <w:lang w:val="en-US" w:eastAsia="zh-CN" w:bidi="ar"/>
              </w:rPr>
              <w:t>90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党支部组织生活活动</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预算经费充足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经费充足能保证各项工作正常运行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2022年12月31日前完成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经费充足，确保各项工作正常开展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年初预算1500元，调整后预算数1500元，全年执行数1500元，预算完成率0%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增加党员感情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效果明显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Style w:val="12"/>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政务和公益中文域名注册及运行费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451226210311600004001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116001-中国共产党环江毛南族自治县委员会机构编制委员会办公室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116-中国共产党环江毛南族自治县委员会机构编制委员会办公室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根据中央编办发[2014]69号、桂编办发[2015]号要求，党政机关、事业单位和社会组织都要注册政务、公益中文域名，每个机构每年需要续费100元。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3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根据中央编办发[2014]69号、桂编办发[2015]号要求，党政机关、事业单位和社会组织都要注册政务、公益中文域名，每个机构每年需要续费100元。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i w:val="0"/>
                <w:iCs w:val="0"/>
                <w:color w:val="000000"/>
                <w:sz w:val="16"/>
                <w:szCs w:val="16"/>
                <w:u w:val="none"/>
                <w:lang w:val="en-US"/>
              </w:rPr>
            </w:pPr>
            <w:r>
              <w:rPr>
                <w:rFonts w:hint="eastAsia" w:ascii="仿宋_GB2312" w:hAnsi="Arial" w:eastAsia="仿宋_GB2312" w:cs="仿宋_GB2312"/>
                <w:i w:val="0"/>
                <w:iCs w:val="0"/>
                <w:color w:val="000000"/>
                <w:kern w:val="0"/>
                <w:sz w:val="16"/>
                <w:szCs w:val="16"/>
                <w:u w:val="none"/>
                <w:lang w:val="en-US" w:eastAsia="zh-CN" w:bidi="ar"/>
              </w:rPr>
              <w:t>80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项目受益对象数量</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项目受益对象大于1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经费支出符合规定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工作完成时间</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部分达成预期指标并具有一定效果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在2022年进行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进度较缓慢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项目对应标准</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每个单位经费为100元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项目受益对象单位</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受益对象为县里单位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numPr>
          <w:ilvl w:val="0"/>
          <w:numId w:val="0"/>
        </w:numPr>
        <w:jc w:val="left"/>
        <w:rPr>
          <w:rFonts w:hint="eastAsia" w:ascii="仿宋" w:hAnsi="仿宋" w:eastAsia="仿宋" w:cs="仿宋"/>
          <w:color w:val="000000" w:themeColor="text1"/>
          <w:sz w:val="32"/>
          <w:szCs w:val="32"/>
          <w14:textFill>
            <w14:solidFill>
              <w14:schemeClr w14:val="tx1"/>
            </w14:solidFill>
          </w14:textFill>
        </w:rPr>
        <w:sectPr>
          <w:pgSz w:w="16838" w:h="11906" w:orient="landscape"/>
          <w:pgMar w:top="283" w:right="283" w:bottom="283" w:left="283" w:header="851" w:footer="992" w:gutter="0"/>
          <w:cols w:space="0"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szCs w:val="32"/>
          <w:highlight w:val="none"/>
          <w:lang w:val="en-US" w:eastAsia="zh-CN"/>
        </w:rPr>
        <w:t>环江县</w:t>
      </w:r>
      <w:bookmarkStart w:id="7" w:name="_GoBack"/>
      <w:bookmarkEnd w:id="7"/>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3" w:bottom="1440" w:left="180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5A21A9D4"/>
    <w:multiLevelType w:val="singleLevel"/>
    <w:tmpl w:val="5A21A9D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NjI2NjI5NjIyYjRlOTc4ODA1YTk3YmQwNjdlZWUifQ=="/>
  </w:docVars>
  <w:rsids>
    <w:rsidRoot w:val="637D7558"/>
    <w:rsid w:val="00002C84"/>
    <w:rsid w:val="00022149"/>
    <w:rsid w:val="00047F6C"/>
    <w:rsid w:val="00093C26"/>
    <w:rsid w:val="00094B91"/>
    <w:rsid w:val="000B06D8"/>
    <w:rsid w:val="000E5855"/>
    <w:rsid w:val="000E68B6"/>
    <w:rsid w:val="001418A5"/>
    <w:rsid w:val="00147D40"/>
    <w:rsid w:val="00156EF2"/>
    <w:rsid w:val="001D7B97"/>
    <w:rsid w:val="00210E20"/>
    <w:rsid w:val="00223F38"/>
    <w:rsid w:val="00233613"/>
    <w:rsid w:val="00254DBE"/>
    <w:rsid w:val="00275CAB"/>
    <w:rsid w:val="0028709C"/>
    <w:rsid w:val="0029328F"/>
    <w:rsid w:val="002B2731"/>
    <w:rsid w:val="00366A63"/>
    <w:rsid w:val="00382867"/>
    <w:rsid w:val="003A4973"/>
    <w:rsid w:val="003C1C96"/>
    <w:rsid w:val="003C69F8"/>
    <w:rsid w:val="003E40BA"/>
    <w:rsid w:val="003E7165"/>
    <w:rsid w:val="0041579D"/>
    <w:rsid w:val="00427074"/>
    <w:rsid w:val="00434D04"/>
    <w:rsid w:val="004479E5"/>
    <w:rsid w:val="004C4D73"/>
    <w:rsid w:val="004D7D0E"/>
    <w:rsid w:val="005234F5"/>
    <w:rsid w:val="00531745"/>
    <w:rsid w:val="00574196"/>
    <w:rsid w:val="006123AD"/>
    <w:rsid w:val="00641E35"/>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3B0DE8"/>
    <w:rsid w:val="01437C9C"/>
    <w:rsid w:val="01453A14"/>
    <w:rsid w:val="014C3CE7"/>
    <w:rsid w:val="015F1951"/>
    <w:rsid w:val="01671BDD"/>
    <w:rsid w:val="01761E20"/>
    <w:rsid w:val="018D0006"/>
    <w:rsid w:val="018F4C90"/>
    <w:rsid w:val="019F1377"/>
    <w:rsid w:val="01B42948"/>
    <w:rsid w:val="01D54D98"/>
    <w:rsid w:val="01DD3C4D"/>
    <w:rsid w:val="01ED4312"/>
    <w:rsid w:val="020016E9"/>
    <w:rsid w:val="020C171D"/>
    <w:rsid w:val="0216715F"/>
    <w:rsid w:val="023A00D0"/>
    <w:rsid w:val="02873BB9"/>
    <w:rsid w:val="02E0291A"/>
    <w:rsid w:val="02ED6112"/>
    <w:rsid w:val="02F05C02"/>
    <w:rsid w:val="0328714A"/>
    <w:rsid w:val="03BB1D6C"/>
    <w:rsid w:val="045D1075"/>
    <w:rsid w:val="047F2D99"/>
    <w:rsid w:val="048E56D2"/>
    <w:rsid w:val="04D07A99"/>
    <w:rsid w:val="04E54546"/>
    <w:rsid w:val="05216546"/>
    <w:rsid w:val="05283431"/>
    <w:rsid w:val="057448C8"/>
    <w:rsid w:val="057743B8"/>
    <w:rsid w:val="05992762"/>
    <w:rsid w:val="05D9472B"/>
    <w:rsid w:val="062C51A3"/>
    <w:rsid w:val="06420522"/>
    <w:rsid w:val="06436860"/>
    <w:rsid w:val="06C4362D"/>
    <w:rsid w:val="06CD24E2"/>
    <w:rsid w:val="07B0770E"/>
    <w:rsid w:val="07CB09EC"/>
    <w:rsid w:val="07F41CF0"/>
    <w:rsid w:val="082E6EF7"/>
    <w:rsid w:val="085409E1"/>
    <w:rsid w:val="08616E32"/>
    <w:rsid w:val="08CD1C68"/>
    <w:rsid w:val="0922463B"/>
    <w:rsid w:val="0942143F"/>
    <w:rsid w:val="0995305F"/>
    <w:rsid w:val="09E6676A"/>
    <w:rsid w:val="0A326B00"/>
    <w:rsid w:val="0A400878"/>
    <w:rsid w:val="0A4C5E14"/>
    <w:rsid w:val="0AAC68B2"/>
    <w:rsid w:val="0AE157DE"/>
    <w:rsid w:val="0B6251C3"/>
    <w:rsid w:val="0B6C5BA7"/>
    <w:rsid w:val="0BCB0A74"/>
    <w:rsid w:val="0BCD4D32"/>
    <w:rsid w:val="0C564D28"/>
    <w:rsid w:val="0C7E602C"/>
    <w:rsid w:val="0C8C0749"/>
    <w:rsid w:val="0CCA3020"/>
    <w:rsid w:val="0D100297"/>
    <w:rsid w:val="0D202B45"/>
    <w:rsid w:val="0D215336"/>
    <w:rsid w:val="0D4032E2"/>
    <w:rsid w:val="0E3E5A73"/>
    <w:rsid w:val="0E8D69FB"/>
    <w:rsid w:val="0E9C279A"/>
    <w:rsid w:val="0EAF24CD"/>
    <w:rsid w:val="0F8D3F05"/>
    <w:rsid w:val="0F8D4C87"/>
    <w:rsid w:val="0FA83AEC"/>
    <w:rsid w:val="0FB816A4"/>
    <w:rsid w:val="0FF56606"/>
    <w:rsid w:val="101D790A"/>
    <w:rsid w:val="10450FF1"/>
    <w:rsid w:val="10505FAA"/>
    <w:rsid w:val="105F7E7E"/>
    <w:rsid w:val="108160EB"/>
    <w:rsid w:val="10E072B6"/>
    <w:rsid w:val="115B4B8E"/>
    <w:rsid w:val="11826C89"/>
    <w:rsid w:val="11DC615E"/>
    <w:rsid w:val="11E56B5B"/>
    <w:rsid w:val="11E84674"/>
    <w:rsid w:val="122554CA"/>
    <w:rsid w:val="122907E8"/>
    <w:rsid w:val="123C051C"/>
    <w:rsid w:val="12541D09"/>
    <w:rsid w:val="125C77AB"/>
    <w:rsid w:val="128A572B"/>
    <w:rsid w:val="12A61E39"/>
    <w:rsid w:val="12C01BDA"/>
    <w:rsid w:val="12C0745B"/>
    <w:rsid w:val="12D06EB6"/>
    <w:rsid w:val="13783BD1"/>
    <w:rsid w:val="13834031"/>
    <w:rsid w:val="139D4FEA"/>
    <w:rsid w:val="13BF49D6"/>
    <w:rsid w:val="140908D1"/>
    <w:rsid w:val="141F6347"/>
    <w:rsid w:val="144162BD"/>
    <w:rsid w:val="14922675"/>
    <w:rsid w:val="1494463F"/>
    <w:rsid w:val="149503B7"/>
    <w:rsid w:val="149C654B"/>
    <w:rsid w:val="14CB726E"/>
    <w:rsid w:val="14FE41AE"/>
    <w:rsid w:val="15190FE8"/>
    <w:rsid w:val="15A24B3A"/>
    <w:rsid w:val="15C846B4"/>
    <w:rsid w:val="16CD208A"/>
    <w:rsid w:val="17E56F60"/>
    <w:rsid w:val="17E92249"/>
    <w:rsid w:val="18115FA7"/>
    <w:rsid w:val="18420856"/>
    <w:rsid w:val="18810C7F"/>
    <w:rsid w:val="18BF1EA7"/>
    <w:rsid w:val="18D304F1"/>
    <w:rsid w:val="19603529"/>
    <w:rsid w:val="196E39FC"/>
    <w:rsid w:val="19A436D1"/>
    <w:rsid w:val="19F32577"/>
    <w:rsid w:val="19F45B80"/>
    <w:rsid w:val="1A4A39F2"/>
    <w:rsid w:val="1A4E5290"/>
    <w:rsid w:val="1AE96D67"/>
    <w:rsid w:val="1B0C078D"/>
    <w:rsid w:val="1B18764C"/>
    <w:rsid w:val="1B222279"/>
    <w:rsid w:val="1B2B31E2"/>
    <w:rsid w:val="1B351B70"/>
    <w:rsid w:val="1B4C295A"/>
    <w:rsid w:val="1B973C63"/>
    <w:rsid w:val="1BA1001E"/>
    <w:rsid w:val="1C16002F"/>
    <w:rsid w:val="1C2F10F1"/>
    <w:rsid w:val="1C49716D"/>
    <w:rsid w:val="1C5446B4"/>
    <w:rsid w:val="1CA93E55"/>
    <w:rsid w:val="1CF245F9"/>
    <w:rsid w:val="1D317259"/>
    <w:rsid w:val="1D525097"/>
    <w:rsid w:val="1DA67191"/>
    <w:rsid w:val="1DDC2BB3"/>
    <w:rsid w:val="1E0D5462"/>
    <w:rsid w:val="1E1D38F7"/>
    <w:rsid w:val="1E664F5B"/>
    <w:rsid w:val="1E675DD5"/>
    <w:rsid w:val="1E731769"/>
    <w:rsid w:val="1E7E25D3"/>
    <w:rsid w:val="1E875215"/>
    <w:rsid w:val="1E971CD0"/>
    <w:rsid w:val="1EA336D1"/>
    <w:rsid w:val="1EB34BE1"/>
    <w:rsid w:val="1F106FB8"/>
    <w:rsid w:val="1F680BA2"/>
    <w:rsid w:val="1F980D5B"/>
    <w:rsid w:val="202F24DC"/>
    <w:rsid w:val="204C59E3"/>
    <w:rsid w:val="206E0C49"/>
    <w:rsid w:val="2091593A"/>
    <w:rsid w:val="209661C2"/>
    <w:rsid w:val="20FD74DF"/>
    <w:rsid w:val="21117017"/>
    <w:rsid w:val="215E639F"/>
    <w:rsid w:val="216C04BF"/>
    <w:rsid w:val="21751354"/>
    <w:rsid w:val="21845A3B"/>
    <w:rsid w:val="21EC3183"/>
    <w:rsid w:val="220A4192"/>
    <w:rsid w:val="225E44DE"/>
    <w:rsid w:val="225E72CD"/>
    <w:rsid w:val="226E2973"/>
    <w:rsid w:val="226F3FF6"/>
    <w:rsid w:val="228201CD"/>
    <w:rsid w:val="228939A2"/>
    <w:rsid w:val="228A7081"/>
    <w:rsid w:val="22CD5B33"/>
    <w:rsid w:val="22CE3412"/>
    <w:rsid w:val="22FE5379"/>
    <w:rsid w:val="23931F66"/>
    <w:rsid w:val="23B26890"/>
    <w:rsid w:val="241A2687"/>
    <w:rsid w:val="246102B6"/>
    <w:rsid w:val="246E2F77"/>
    <w:rsid w:val="24B228BF"/>
    <w:rsid w:val="24E94533"/>
    <w:rsid w:val="25381017"/>
    <w:rsid w:val="253B0B07"/>
    <w:rsid w:val="254B4E2B"/>
    <w:rsid w:val="2564005E"/>
    <w:rsid w:val="259F1096"/>
    <w:rsid w:val="26031625"/>
    <w:rsid w:val="261F57E4"/>
    <w:rsid w:val="26B75F6B"/>
    <w:rsid w:val="27E92A9C"/>
    <w:rsid w:val="280478D6"/>
    <w:rsid w:val="280A144A"/>
    <w:rsid w:val="281A234B"/>
    <w:rsid w:val="283D7C94"/>
    <w:rsid w:val="28620159"/>
    <w:rsid w:val="28BC1F5F"/>
    <w:rsid w:val="29480E03"/>
    <w:rsid w:val="2983634D"/>
    <w:rsid w:val="29D357B2"/>
    <w:rsid w:val="29D85AE2"/>
    <w:rsid w:val="2AD74E2E"/>
    <w:rsid w:val="2AE7777A"/>
    <w:rsid w:val="2B683CD8"/>
    <w:rsid w:val="2B91322F"/>
    <w:rsid w:val="2BB02055"/>
    <w:rsid w:val="2C16110C"/>
    <w:rsid w:val="2C575A56"/>
    <w:rsid w:val="2CAE7E10"/>
    <w:rsid w:val="2CDE24A4"/>
    <w:rsid w:val="2CE518FD"/>
    <w:rsid w:val="2CF40CE2"/>
    <w:rsid w:val="2CF77A09"/>
    <w:rsid w:val="2D200D0E"/>
    <w:rsid w:val="2D2A393B"/>
    <w:rsid w:val="2D7352E2"/>
    <w:rsid w:val="2DC45B3D"/>
    <w:rsid w:val="2E144D73"/>
    <w:rsid w:val="2E183793"/>
    <w:rsid w:val="2E314855"/>
    <w:rsid w:val="2E5A3DAC"/>
    <w:rsid w:val="2EC92CDF"/>
    <w:rsid w:val="2ED33B5E"/>
    <w:rsid w:val="2F0B2F43"/>
    <w:rsid w:val="2F257714"/>
    <w:rsid w:val="2F2A0FE5"/>
    <w:rsid w:val="2F3275E5"/>
    <w:rsid w:val="2FA07EE4"/>
    <w:rsid w:val="2FA15A0A"/>
    <w:rsid w:val="2FB4573E"/>
    <w:rsid w:val="2FEA5603"/>
    <w:rsid w:val="30360848"/>
    <w:rsid w:val="304765B2"/>
    <w:rsid w:val="304940D8"/>
    <w:rsid w:val="30A6152A"/>
    <w:rsid w:val="30AA08EF"/>
    <w:rsid w:val="30B8125D"/>
    <w:rsid w:val="30D23D1C"/>
    <w:rsid w:val="311C7A3E"/>
    <w:rsid w:val="31221CF5"/>
    <w:rsid w:val="31400178"/>
    <w:rsid w:val="319E0453"/>
    <w:rsid w:val="321E3342"/>
    <w:rsid w:val="32390D4C"/>
    <w:rsid w:val="325D20BC"/>
    <w:rsid w:val="32715B68"/>
    <w:rsid w:val="327759C8"/>
    <w:rsid w:val="32C340F1"/>
    <w:rsid w:val="32CB52DE"/>
    <w:rsid w:val="32D560F7"/>
    <w:rsid w:val="33185FE3"/>
    <w:rsid w:val="332350B4"/>
    <w:rsid w:val="332E4AF9"/>
    <w:rsid w:val="33A45AC9"/>
    <w:rsid w:val="341D7D55"/>
    <w:rsid w:val="34D32B0A"/>
    <w:rsid w:val="34E46AC5"/>
    <w:rsid w:val="34EE2E36"/>
    <w:rsid w:val="35815A13"/>
    <w:rsid w:val="360F7B72"/>
    <w:rsid w:val="36603F29"/>
    <w:rsid w:val="36777241"/>
    <w:rsid w:val="369736C3"/>
    <w:rsid w:val="37092813"/>
    <w:rsid w:val="373548FF"/>
    <w:rsid w:val="37B81B43"/>
    <w:rsid w:val="37C30C14"/>
    <w:rsid w:val="37C370A2"/>
    <w:rsid w:val="37EE37B7"/>
    <w:rsid w:val="3809239F"/>
    <w:rsid w:val="38313859"/>
    <w:rsid w:val="385C2E16"/>
    <w:rsid w:val="386D0B7F"/>
    <w:rsid w:val="386F2B4A"/>
    <w:rsid w:val="38A951DB"/>
    <w:rsid w:val="38AA67D2"/>
    <w:rsid w:val="38B31605"/>
    <w:rsid w:val="38F766E7"/>
    <w:rsid w:val="39003F4F"/>
    <w:rsid w:val="39012B61"/>
    <w:rsid w:val="394B7113"/>
    <w:rsid w:val="39C42A21"/>
    <w:rsid w:val="3A116304"/>
    <w:rsid w:val="3A825DDE"/>
    <w:rsid w:val="3ADC4A5F"/>
    <w:rsid w:val="3AFB6916"/>
    <w:rsid w:val="3B787F67"/>
    <w:rsid w:val="3B892174"/>
    <w:rsid w:val="3BD258C9"/>
    <w:rsid w:val="3BE13D5E"/>
    <w:rsid w:val="3BE23632"/>
    <w:rsid w:val="3C07002B"/>
    <w:rsid w:val="3C12216A"/>
    <w:rsid w:val="3CD76F0F"/>
    <w:rsid w:val="3D0D152A"/>
    <w:rsid w:val="3D8A5D30"/>
    <w:rsid w:val="3DA212CB"/>
    <w:rsid w:val="3DA46DF1"/>
    <w:rsid w:val="3DB7359E"/>
    <w:rsid w:val="3DC56D68"/>
    <w:rsid w:val="3DF53AF1"/>
    <w:rsid w:val="3DF62756"/>
    <w:rsid w:val="3E646581"/>
    <w:rsid w:val="3E66054B"/>
    <w:rsid w:val="3E734A16"/>
    <w:rsid w:val="3ED8766D"/>
    <w:rsid w:val="3EDB529D"/>
    <w:rsid w:val="3F1B7587"/>
    <w:rsid w:val="3FA72BC9"/>
    <w:rsid w:val="3FB53538"/>
    <w:rsid w:val="403703F1"/>
    <w:rsid w:val="403B1563"/>
    <w:rsid w:val="403F72A5"/>
    <w:rsid w:val="40B27A77"/>
    <w:rsid w:val="41151DB4"/>
    <w:rsid w:val="41393CF5"/>
    <w:rsid w:val="418C651A"/>
    <w:rsid w:val="41967399"/>
    <w:rsid w:val="41A27AEC"/>
    <w:rsid w:val="41D852BC"/>
    <w:rsid w:val="41E57B4F"/>
    <w:rsid w:val="4249440B"/>
    <w:rsid w:val="4267663F"/>
    <w:rsid w:val="42764AD5"/>
    <w:rsid w:val="43140575"/>
    <w:rsid w:val="432F26F6"/>
    <w:rsid w:val="434075BC"/>
    <w:rsid w:val="434D1CD9"/>
    <w:rsid w:val="43601C4C"/>
    <w:rsid w:val="43880F63"/>
    <w:rsid w:val="43BD3832"/>
    <w:rsid w:val="43DD4E0B"/>
    <w:rsid w:val="441C5A6F"/>
    <w:rsid w:val="44775260"/>
    <w:rsid w:val="449A0F4E"/>
    <w:rsid w:val="44BD69EB"/>
    <w:rsid w:val="44C44FCC"/>
    <w:rsid w:val="44CC6FEC"/>
    <w:rsid w:val="44CC7369"/>
    <w:rsid w:val="44F00B6E"/>
    <w:rsid w:val="44F14025"/>
    <w:rsid w:val="45181E73"/>
    <w:rsid w:val="45270BBD"/>
    <w:rsid w:val="454B049A"/>
    <w:rsid w:val="457F5108"/>
    <w:rsid w:val="45DB35CC"/>
    <w:rsid w:val="45FD1795"/>
    <w:rsid w:val="46843FE7"/>
    <w:rsid w:val="46951B6B"/>
    <w:rsid w:val="474D04FA"/>
    <w:rsid w:val="47633879"/>
    <w:rsid w:val="476F66C2"/>
    <w:rsid w:val="478101A3"/>
    <w:rsid w:val="47971775"/>
    <w:rsid w:val="481D611E"/>
    <w:rsid w:val="482374AD"/>
    <w:rsid w:val="48561630"/>
    <w:rsid w:val="489A151D"/>
    <w:rsid w:val="48D902C8"/>
    <w:rsid w:val="49841BF0"/>
    <w:rsid w:val="49A34401"/>
    <w:rsid w:val="49E07403"/>
    <w:rsid w:val="49FC1D63"/>
    <w:rsid w:val="4A01737A"/>
    <w:rsid w:val="4A1E7F2C"/>
    <w:rsid w:val="4A3E30AB"/>
    <w:rsid w:val="4A6E7F27"/>
    <w:rsid w:val="4A7A7858"/>
    <w:rsid w:val="4AC14DAC"/>
    <w:rsid w:val="4B320132"/>
    <w:rsid w:val="4CCC0113"/>
    <w:rsid w:val="4CD40D75"/>
    <w:rsid w:val="4CE10BE1"/>
    <w:rsid w:val="4CF03E01"/>
    <w:rsid w:val="4CF5766A"/>
    <w:rsid w:val="4D0C49B3"/>
    <w:rsid w:val="4D13189E"/>
    <w:rsid w:val="4D154C85"/>
    <w:rsid w:val="4D3326F0"/>
    <w:rsid w:val="4D616AAD"/>
    <w:rsid w:val="4EC8553A"/>
    <w:rsid w:val="4EEE3181"/>
    <w:rsid w:val="4EF86F9D"/>
    <w:rsid w:val="4F1418FD"/>
    <w:rsid w:val="4F2E6E63"/>
    <w:rsid w:val="4F714FA1"/>
    <w:rsid w:val="4FB05ACA"/>
    <w:rsid w:val="4FC275AB"/>
    <w:rsid w:val="4FF05EC6"/>
    <w:rsid w:val="5006393C"/>
    <w:rsid w:val="50760AC1"/>
    <w:rsid w:val="50830AE8"/>
    <w:rsid w:val="508F4E24"/>
    <w:rsid w:val="50D852D8"/>
    <w:rsid w:val="51461E90"/>
    <w:rsid w:val="51463753"/>
    <w:rsid w:val="51516E38"/>
    <w:rsid w:val="517D5E7F"/>
    <w:rsid w:val="51856AE2"/>
    <w:rsid w:val="51AF7DB0"/>
    <w:rsid w:val="51E47CAD"/>
    <w:rsid w:val="52036385"/>
    <w:rsid w:val="52553A93"/>
    <w:rsid w:val="52770B21"/>
    <w:rsid w:val="52DE64AA"/>
    <w:rsid w:val="52F201A7"/>
    <w:rsid w:val="530D6D8F"/>
    <w:rsid w:val="53202F66"/>
    <w:rsid w:val="53366445"/>
    <w:rsid w:val="534704F3"/>
    <w:rsid w:val="534F55FA"/>
    <w:rsid w:val="53521F8B"/>
    <w:rsid w:val="53634C01"/>
    <w:rsid w:val="5381482A"/>
    <w:rsid w:val="53A21BCD"/>
    <w:rsid w:val="53A2397B"/>
    <w:rsid w:val="53E22F47"/>
    <w:rsid w:val="53EE4E13"/>
    <w:rsid w:val="54370568"/>
    <w:rsid w:val="54522FF8"/>
    <w:rsid w:val="54745318"/>
    <w:rsid w:val="547F5A6B"/>
    <w:rsid w:val="54837309"/>
    <w:rsid w:val="548B08B3"/>
    <w:rsid w:val="54B41BB8"/>
    <w:rsid w:val="55081F04"/>
    <w:rsid w:val="55450629"/>
    <w:rsid w:val="55A439DB"/>
    <w:rsid w:val="55A54A12"/>
    <w:rsid w:val="56692963"/>
    <w:rsid w:val="56755377"/>
    <w:rsid w:val="568B0F48"/>
    <w:rsid w:val="56B20379"/>
    <w:rsid w:val="56FE35BF"/>
    <w:rsid w:val="57362D58"/>
    <w:rsid w:val="57743881"/>
    <w:rsid w:val="5786217B"/>
    <w:rsid w:val="57C97313"/>
    <w:rsid w:val="57E36310"/>
    <w:rsid w:val="57E74053"/>
    <w:rsid w:val="58117322"/>
    <w:rsid w:val="58276B45"/>
    <w:rsid w:val="58313520"/>
    <w:rsid w:val="58D2260D"/>
    <w:rsid w:val="59084281"/>
    <w:rsid w:val="590D5D3B"/>
    <w:rsid w:val="59337A15"/>
    <w:rsid w:val="593A6404"/>
    <w:rsid w:val="59725B9E"/>
    <w:rsid w:val="59741916"/>
    <w:rsid w:val="59810274"/>
    <w:rsid w:val="598D29D8"/>
    <w:rsid w:val="59A57D21"/>
    <w:rsid w:val="5A617515"/>
    <w:rsid w:val="5A6C60F1"/>
    <w:rsid w:val="5AE96334"/>
    <w:rsid w:val="5BA87F9D"/>
    <w:rsid w:val="5BF15383"/>
    <w:rsid w:val="5C8133BB"/>
    <w:rsid w:val="5CA00C74"/>
    <w:rsid w:val="5CA96A00"/>
    <w:rsid w:val="5CCD7CBB"/>
    <w:rsid w:val="5CF730BC"/>
    <w:rsid w:val="5D814602"/>
    <w:rsid w:val="5D883BE2"/>
    <w:rsid w:val="5E037ED3"/>
    <w:rsid w:val="5E5F0DCE"/>
    <w:rsid w:val="5E5F0DE7"/>
    <w:rsid w:val="5E710B1A"/>
    <w:rsid w:val="5E79177D"/>
    <w:rsid w:val="5ED03A93"/>
    <w:rsid w:val="5EFF7ED4"/>
    <w:rsid w:val="5F38023A"/>
    <w:rsid w:val="5FA40A7B"/>
    <w:rsid w:val="5FC93D7A"/>
    <w:rsid w:val="5FD56D29"/>
    <w:rsid w:val="5FEC7F3F"/>
    <w:rsid w:val="603B318E"/>
    <w:rsid w:val="60591866"/>
    <w:rsid w:val="60597AB8"/>
    <w:rsid w:val="606C1599"/>
    <w:rsid w:val="60B44CEE"/>
    <w:rsid w:val="60F22251"/>
    <w:rsid w:val="60F74BC3"/>
    <w:rsid w:val="6166423A"/>
    <w:rsid w:val="617D3BF8"/>
    <w:rsid w:val="61841F6A"/>
    <w:rsid w:val="622D6B06"/>
    <w:rsid w:val="622F287E"/>
    <w:rsid w:val="623007A9"/>
    <w:rsid w:val="62B64D4D"/>
    <w:rsid w:val="63716EC6"/>
    <w:rsid w:val="63770981"/>
    <w:rsid w:val="637D7558"/>
    <w:rsid w:val="639857A9"/>
    <w:rsid w:val="63B02534"/>
    <w:rsid w:val="63B82D47"/>
    <w:rsid w:val="63EB46CB"/>
    <w:rsid w:val="644F19AC"/>
    <w:rsid w:val="64AC28AC"/>
    <w:rsid w:val="64BC6D09"/>
    <w:rsid w:val="64BE7904"/>
    <w:rsid w:val="65051FBC"/>
    <w:rsid w:val="651A5A67"/>
    <w:rsid w:val="6589499B"/>
    <w:rsid w:val="65AA4920"/>
    <w:rsid w:val="660B3602"/>
    <w:rsid w:val="66263F98"/>
    <w:rsid w:val="6635242D"/>
    <w:rsid w:val="66A114F4"/>
    <w:rsid w:val="66CA526B"/>
    <w:rsid w:val="671169F6"/>
    <w:rsid w:val="67694F1E"/>
    <w:rsid w:val="679A2E90"/>
    <w:rsid w:val="681D761D"/>
    <w:rsid w:val="682409AB"/>
    <w:rsid w:val="68B41D2F"/>
    <w:rsid w:val="691F6794"/>
    <w:rsid w:val="692A3D9F"/>
    <w:rsid w:val="69316E0A"/>
    <w:rsid w:val="69597934"/>
    <w:rsid w:val="697D4817"/>
    <w:rsid w:val="698C6808"/>
    <w:rsid w:val="69CF4947"/>
    <w:rsid w:val="6A633A0D"/>
    <w:rsid w:val="6A841BD5"/>
    <w:rsid w:val="6A914FD7"/>
    <w:rsid w:val="6ADE3093"/>
    <w:rsid w:val="6B166CD1"/>
    <w:rsid w:val="6B685053"/>
    <w:rsid w:val="6B964DDC"/>
    <w:rsid w:val="6C067725"/>
    <w:rsid w:val="6C783074"/>
    <w:rsid w:val="6CA34594"/>
    <w:rsid w:val="6CBC11B2"/>
    <w:rsid w:val="6D2F407A"/>
    <w:rsid w:val="6D301BA0"/>
    <w:rsid w:val="6D4D2752"/>
    <w:rsid w:val="6D9E65C6"/>
    <w:rsid w:val="6DA81947"/>
    <w:rsid w:val="6E192634"/>
    <w:rsid w:val="6E3D27C7"/>
    <w:rsid w:val="6EAB7730"/>
    <w:rsid w:val="6EB66DE2"/>
    <w:rsid w:val="6ED3075F"/>
    <w:rsid w:val="6EDE15A5"/>
    <w:rsid w:val="6F2A2D4B"/>
    <w:rsid w:val="6F2B6AC3"/>
    <w:rsid w:val="6F634F28"/>
    <w:rsid w:val="6F814935"/>
    <w:rsid w:val="6F8A0C1E"/>
    <w:rsid w:val="6FD40F09"/>
    <w:rsid w:val="6FFE1AE2"/>
    <w:rsid w:val="700C7EB2"/>
    <w:rsid w:val="702E686B"/>
    <w:rsid w:val="703F45D4"/>
    <w:rsid w:val="705A140E"/>
    <w:rsid w:val="709D579F"/>
    <w:rsid w:val="70E909E4"/>
    <w:rsid w:val="70F632C8"/>
    <w:rsid w:val="71186BD3"/>
    <w:rsid w:val="71265794"/>
    <w:rsid w:val="714B51FB"/>
    <w:rsid w:val="715D6546"/>
    <w:rsid w:val="71A843FB"/>
    <w:rsid w:val="71BE069E"/>
    <w:rsid w:val="71C54FAD"/>
    <w:rsid w:val="71FB09CF"/>
    <w:rsid w:val="72021D5D"/>
    <w:rsid w:val="723C5136"/>
    <w:rsid w:val="72B33057"/>
    <w:rsid w:val="72C214EC"/>
    <w:rsid w:val="73090EC9"/>
    <w:rsid w:val="73953409"/>
    <w:rsid w:val="73E069A3"/>
    <w:rsid w:val="73F05BE5"/>
    <w:rsid w:val="74017DF2"/>
    <w:rsid w:val="74DB6895"/>
    <w:rsid w:val="74DF1EE2"/>
    <w:rsid w:val="75330480"/>
    <w:rsid w:val="756B7C19"/>
    <w:rsid w:val="756D3991"/>
    <w:rsid w:val="75705230"/>
    <w:rsid w:val="75711E57"/>
    <w:rsid w:val="75B50E95"/>
    <w:rsid w:val="75B570E6"/>
    <w:rsid w:val="75E55862"/>
    <w:rsid w:val="75FC2F67"/>
    <w:rsid w:val="76320737"/>
    <w:rsid w:val="76326989"/>
    <w:rsid w:val="7691545E"/>
    <w:rsid w:val="77253DF8"/>
    <w:rsid w:val="77560455"/>
    <w:rsid w:val="7791148D"/>
    <w:rsid w:val="779F3BAA"/>
    <w:rsid w:val="77B27D81"/>
    <w:rsid w:val="77C47AB5"/>
    <w:rsid w:val="78104AA8"/>
    <w:rsid w:val="781E0F73"/>
    <w:rsid w:val="7851759A"/>
    <w:rsid w:val="7899684C"/>
    <w:rsid w:val="78E21FA1"/>
    <w:rsid w:val="78E257C5"/>
    <w:rsid w:val="791660EE"/>
    <w:rsid w:val="791F5DD1"/>
    <w:rsid w:val="794B35BE"/>
    <w:rsid w:val="79905EA0"/>
    <w:rsid w:val="79BC4EE7"/>
    <w:rsid w:val="79F0693F"/>
    <w:rsid w:val="7A0B3779"/>
    <w:rsid w:val="7A1563A6"/>
    <w:rsid w:val="7A7255A6"/>
    <w:rsid w:val="7B0A3A31"/>
    <w:rsid w:val="7B3360ED"/>
    <w:rsid w:val="7B5319F3"/>
    <w:rsid w:val="7B5B24DE"/>
    <w:rsid w:val="7B6969A9"/>
    <w:rsid w:val="7B762E74"/>
    <w:rsid w:val="7BDF037E"/>
    <w:rsid w:val="7BE6624C"/>
    <w:rsid w:val="7BF50948"/>
    <w:rsid w:val="7BFF2E69"/>
    <w:rsid w:val="7C1A7CA3"/>
    <w:rsid w:val="7C376AA7"/>
    <w:rsid w:val="7C3B5E78"/>
    <w:rsid w:val="7C5F1B5A"/>
    <w:rsid w:val="7C686C61"/>
    <w:rsid w:val="7CE66A78"/>
    <w:rsid w:val="7D23564C"/>
    <w:rsid w:val="7D5E062D"/>
    <w:rsid w:val="7D641B1E"/>
    <w:rsid w:val="7D9D293A"/>
    <w:rsid w:val="7DF76CD8"/>
    <w:rsid w:val="7EBE525E"/>
    <w:rsid w:val="7F376DBE"/>
    <w:rsid w:val="7F437511"/>
    <w:rsid w:val="7F695C26"/>
    <w:rsid w:val="7F9754D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265.85</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166.31</c:v>
                </c:pt>
                <c:pt idx="1">
                  <c:v>22.39</c:v>
                </c:pt>
                <c:pt idx="2">
                  <c:v>17.38</c:v>
                </c:pt>
                <c:pt idx="3">
                  <c:v>62.29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173.24</c:v>
                </c:pt>
                <c:pt idx="1">
                  <c:v>24.14</c:v>
                </c:pt>
                <c:pt idx="2">
                  <c:v>18.41</c:v>
                </c:pt>
                <c:pt idx="3">
                  <c:v>50.06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67.2</c:v>
                </c:pt>
                <c:pt idx="1">
                  <c:v>25.29</c:v>
                </c:pt>
                <c:pt idx="2">
                  <c:v>68.79</c:v>
                </c:pt>
                <c:pt idx="3">
                  <c:v>3.2</c:v>
                </c:pt>
                <c:pt idx="4">
                  <c:v>13</c:v>
                </c:pt>
                <c:pt idx="5">
                  <c:v>24.14</c:v>
                </c:pt>
                <c:pt idx="6">
                  <c:v>0</c:v>
                </c:pt>
                <c:pt idx="7">
                  <c:v>9.98</c:v>
                </c:pt>
                <c:pt idx="8">
                  <c:v>0</c:v>
                </c:pt>
                <c:pt idx="9">
                  <c:v>1.79</c:v>
                </c:pt>
                <c:pt idx="10">
                  <c:v>18.41</c:v>
                </c:pt>
                <c:pt idx="11">
                  <c:v>0.1</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2.27</c:v>
                </c:pt>
                <c:pt idx="1">
                  <c:v>0.14</c:v>
                </c:pt>
                <c:pt idx="2">
                  <c:v>0</c:v>
                </c:pt>
                <c:pt idx="3">
                  <c:v>0</c:v>
                </c:pt>
                <c:pt idx="4">
                  <c:v>0.33</c:v>
                </c:pt>
                <c:pt idx="5">
                  <c:v>0.48</c:v>
                </c:pt>
                <c:pt idx="6">
                  <c:v>2.01</c:v>
                </c:pt>
                <c:pt idx="7">
                  <c:v>0</c:v>
                </c:pt>
                <c:pt idx="8">
                  <c:v>0</c:v>
                </c:pt>
                <c:pt idx="9">
                  <c:v>0</c:v>
                </c:pt>
                <c:pt idx="10">
                  <c:v>0</c:v>
                </c:pt>
                <c:pt idx="11">
                  <c:v>0.13</c:v>
                </c:pt>
                <c:pt idx="12">
                  <c:v>0</c:v>
                </c:pt>
                <c:pt idx="13">
                  <c:v>0</c:v>
                </c:pt>
                <c:pt idx="14">
                  <c:v>0</c:v>
                </c:pt>
                <c:pt idx="15">
                  <c:v>0</c:v>
                </c:pt>
                <c:pt idx="16">
                  <c:v>0</c:v>
                </c:pt>
                <c:pt idx="17">
                  <c:v>0</c:v>
                </c:pt>
                <c:pt idx="18">
                  <c:v>0</c:v>
                </c:pt>
                <c:pt idx="19">
                  <c:v>0</c:v>
                </c:pt>
                <c:pt idx="20">
                  <c:v>0</c:v>
                </c:pt>
                <c:pt idx="21">
                  <c:v>3.39</c:v>
                </c:pt>
                <c:pt idx="22">
                  <c:v>0</c:v>
                </c:pt>
                <c:pt idx="23">
                  <c:v>0</c:v>
                </c:pt>
                <c:pt idx="24">
                  <c:v>8.82</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4.39</c:v>
                </c:pt>
                <c:pt idx="5">
                  <c:v>0</c:v>
                </c:pt>
                <c:pt idx="6">
                  <c:v>0</c:v>
                </c:pt>
                <c:pt idx="7">
                  <c:v>0</c:v>
                </c:pt>
                <c:pt idx="8">
                  <c:v>0.03</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11370</Words>
  <Characters>14932</Characters>
  <Lines>90</Lines>
  <Paragraphs>25</Paragraphs>
  <TotalTime>0</TotalTime>
  <ScaleCrop>false</ScaleCrop>
  <LinksUpToDate>false</LinksUpToDate>
  <CharactersWithSpaces>15159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2023-11-16T09:21:00Z</cp:lastPrinted>
  <dcterms:modified xsi:type="dcterms:W3CDTF">2023-11-29T03:39:02Z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