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bookmarkStart w:id="5" w:name="_GoBack"/>
      <w:r>
        <w:rPr>
          <w:rFonts w:hint="eastAsia" w:ascii="黑体" w:hAnsi="黑体" w:eastAsia="黑体" w:cs="黑体"/>
          <w:b/>
          <w:bCs/>
          <w:sz w:val="52"/>
          <w:szCs w:val="52"/>
          <w:highlight w:val="none"/>
        </w:rPr>
        <w:t>中国共产主义青年团环江毛南族自治县委员会</w:t>
      </w:r>
      <w:bookmarkEnd w:id="5"/>
      <w:r>
        <w:rPr>
          <w:rFonts w:hint="eastAsia" w:ascii="黑体" w:hAnsi="黑体" w:eastAsia="黑体" w:cs="黑体"/>
          <w:b/>
          <w:bCs/>
          <w:sz w:val="52"/>
          <w:szCs w:val="52"/>
          <w:highlight w:val="none"/>
        </w:rPr>
        <w:t>2022年度部门决算</w:t>
      </w: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jc w:val="center"/>
        <w:rPr>
          <w:rFonts w:hint="eastAsia" w:ascii="黑体" w:hAnsi="黑体" w:eastAsia="黑体" w:cs="黑体"/>
          <w:b/>
          <w:bCs/>
          <w:sz w:val="52"/>
          <w:szCs w:val="52"/>
          <w:highlight w:val="none"/>
        </w:rPr>
      </w:pPr>
    </w:p>
    <w:p>
      <w:pPr>
        <w:keepNext w:val="0"/>
        <w:keepLines w:val="0"/>
        <w:pageBreakBefore w:val="0"/>
        <w:kinsoku/>
        <w:wordWrap/>
        <w:overflowPunct/>
        <w:topLinePunct w:val="0"/>
        <w:autoSpaceDE/>
        <w:autoSpaceDN/>
        <w:bidi w:val="0"/>
        <w:adjustRightInd/>
        <w:snapToGrid/>
        <w:ind w:firstLine="3253" w:firstLineChars="9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中国共产主义青年团环江毛南族自治县委员会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中国共产主义青年团环江毛南族自治县委员会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中国共产主义青年团环江毛南族自治县委员会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hint="eastAsia" w:ascii="黑体" w:hAnsi="黑体" w:eastAsia="黑体" w:cs="黑体"/>
          <w:b/>
          <w:bCs/>
          <w:sz w:val="36"/>
          <w:szCs w:val="36"/>
          <w:highlight w:val="none"/>
        </w:rPr>
      </w:pPr>
      <w:r>
        <w:rPr>
          <w:rFonts w:hint="eastAsia" w:ascii="黑体" w:hAnsi="黑体" w:eastAsia="黑体" w:cs="黑体"/>
          <w:sz w:val="32"/>
          <w:szCs w:val="32"/>
          <w:highlight w:val="none"/>
        </w:rPr>
        <w:br w:type="page"/>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中国共产主义青年团环江毛南族自治县委员会</w:t>
      </w:r>
      <w:r>
        <w:rPr>
          <w:rFonts w:hint="eastAsia" w:ascii="黑体" w:hAnsi="黑体" w:eastAsia="黑体" w:cs="黑体"/>
          <w:sz w:val="32"/>
          <w:szCs w:val="32"/>
          <w:highlight w:val="none"/>
        </w:rPr>
        <w:t>概况</w:t>
      </w:r>
    </w:p>
    <w:p>
      <w:pPr>
        <w:keepNext w:val="0"/>
        <w:keepLines w:val="0"/>
        <w:pageBreakBefore w:val="0"/>
        <w:kinsoku/>
        <w:wordWrap/>
        <w:overflowPunct/>
        <w:topLinePunct w:val="0"/>
        <w:autoSpaceDE/>
        <w:autoSpaceDN/>
        <w:bidi w:val="0"/>
        <w:adjustRightInd/>
        <w:snapToGrid/>
        <w:ind w:firstLine="640" w:firstLineChars="200"/>
        <w:jc w:val="both"/>
        <w:outlineLvl w:val="0"/>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贯彻执行党中央关于青年工作的方针、政策和区党委、政府、市委和市政府及县委、县政府关于青年工作的指示和决定，根据团中央、团区委、团市委各个时期的工作部署，结合我县实际，制定我县各个时期团的工作任务并检查、指导和落实。</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（二）了解和掌握我县团员青年的思想状况，有针对性地加强青年思想政治工作；完善和拓展共青团的社会功能，加强青年工作体系建设，对我县青年</w:t>
      </w:r>
      <w:r>
        <w:rPr>
          <w:rFonts w:hint="eastAsia" w:ascii="仿宋_GB2312" w:hAnsi="仿宋_GB2312" w:eastAsia="仿宋_GB2312" w:cs="仿宋_GB2312"/>
          <w:sz w:val="32"/>
          <w:szCs w:val="32"/>
          <w:highlight w:val="none"/>
          <w:lang w:val="en-US" w:eastAsia="zh-CN"/>
        </w:rPr>
        <w:t>社会组织</w:t>
      </w:r>
      <w:r>
        <w:rPr>
          <w:rFonts w:hint="eastAsia" w:ascii="仿宋_GB2312" w:hAnsi="仿宋_GB2312" w:eastAsia="仿宋_GB2312" w:cs="仿宋_GB2312"/>
          <w:sz w:val="32"/>
          <w:szCs w:val="32"/>
          <w:highlight w:val="none"/>
        </w:rPr>
        <w:t>实行归口管理；加强团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队工作的宣传，优化青少年成长环境。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（三）围绕县委、县政府各个时期的中心工作，动员和组织全县团员青年在本职岗位上奋斗，争创一流成绩，</w:t>
      </w:r>
      <w:r>
        <w:rPr>
          <w:rFonts w:hint="eastAsia" w:ascii="仿宋_GB2312" w:hAnsi="仿宋_GB2312" w:eastAsia="仿宋_GB2312" w:cs="仿宋_GB2312"/>
          <w:sz w:val="32"/>
          <w:szCs w:val="32"/>
          <w:highlight w:val="none"/>
          <w:lang w:val="en-US" w:eastAsia="zh-CN"/>
        </w:rPr>
        <w:t>为奋力实现“四县两城”总目标，贡献青春智慧和力量</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动员、指导全县基层团组织努力开拓新的工作领域，培养和造就一大批熟练的青年劳动者和各种专业人才，开展“农村青年领头雁”、“实用技术培训”等活动，充分发挥广大青年在经济建设中的生力军作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（五）指导、组织全县各级团组织开展学雷锋、树新风活动，广泛开展青年志愿服务活动，总结青年中涌现的先进典型，大力宣传。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（六）指导各乡(镇)团委、直属企事业单位以及学校团委进行换届选举工作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加强团的组织、思想和作风建设。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（七）负责对</w:t>
      </w:r>
      <w:r>
        <w:rPr>
          <w:rFonts w:hint="eastAsia" w:ascii="仿宋_GB2312" w:hAnsi="仿宋_GB2312" w:eastAsia="仿宋_GB2312" w:cs="仿宋_GB2312"/>
          <w:sz w:val="32"/>
          <w:szCs w:val="32"/>
          <w:highlight w:val="none"/>
          <w:lang w:val="en-US" w:eastAsia="zh-CN"/>
        </w:rPr>
        <w:t>全县</w:t>
      </w:r>
      <w:r>
        <w:rPr>
          <w:rFonts w:hint="eastAsia" w:ascii="仿宋_GB2312" w:hAnsi="仿宋_GB2312" w:eastAsia="仿宋_GB2312" w:cs="仿宋_GB2312"/>
          <w:sz w:val="32"/>
          <w:szCs w:val="32"/>
          <w:highlight w:val="none"/>
        </w:rPr>
        <w:t>团干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少先队辅导员</w:t>
      </w:r>
      <w:r>
        <w:rPr>
          <w:rFonts w:hint="eastAsia" w:ascii="仿宋_GB2312" w:hAnsi="仿宋_GB2312" w:eastAsia="仿宋_GB2312" w:cs="仿宋_GB2312"/>
          <w:sz w:val="32"/>
          <w:szCs w:val="32"/>
          <w:highlight w:val="none"/>
        </w:rPr>
        <w:t>的业务培训，帮助提高理论水平与业务素质。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（八）研究制定全县团的组织建设的计划和任务，指导下级</w:t>
      </w:r>
      <w:r>
        <w:rPr>
          <w:rFonts w:hint="eastAsia" w:ascii="仿宋_GB2312" w:hAnsi="仿宋_GB2312" w:eastAsia="仿宋_GB2312" w:cs="仿宋_GB2312"/>
          <w:sz w:val="32"/>
          <w:szCs w:val="32"/>
          <w:highlight w:val="none"/>
          <w:lang w:val="en-US" w:eastAsia="zh-CN"/>
        </w:rPr>
        <w:t>做</w:t>
      </w:r>
      <w:r>
        <w:rPr>
          <w:rFonts w:hint="eastAsia" w:ascii="仿宋_GB2312" w:hAnsi="仿宋_GB2312" w:eastAsia="仿宋_GB2312" w:cs="仿宋_GB2312"/>
          <w:sz w:val="32"/>
          <w:szCs w:val="32"/>
          <w:highlight w:val="none"/>
        </w:rPr>
        <w:t>好团员</w:t>
      </w:r>
      <w:r>
        <w:rPr>
          <w:rFonts w:hint="eastAsia" w:ascii="仿宋_GB2312" w:hAnsi="仿宋_GB2312" w:eastAsia="仿宋_GB2312" w:cs="仿宋_GB2312"/>
          <w:sz w:val="32"/>
          <w:szCs w:val="32"/>
          <w:highlight w:val="none"/>
          <w:lang w:val="en-US" w:eastAsia="zh-CN"/>
        </w:rPr>
        <w:t>发展</w:t>
      </w:r>
      <w:r>
        <w:rPr>
          <w:rFonts w:hint="eastAsia" w:ascii="仿宋_GB2312" w:hAnsi="仿宋_GB2312" w:eastAsia="仿宋_GB2312" w:cs="仿宋_GB2312"/>
          <w:sz w:val="32"/>
          <w:szCs w:val="32"/>
          <w:highlight w:val="none"/>
        </w:rPr>
        <w:t>及管理</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，坚持“党建带团建”，推荐优秀团员青年加入党组织。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（九）做好希望工程的</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（十）加强青少年文化活动基础设施建设，</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rPr>
        <w:t>中国少年先锋队的组织工作。</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color w:val="FF0000"/>
          <w:sz w:val="32"/>
          <w:szCs w:val="32"/>
        </w:rPr>
      </w:pPr>
      <w:r>
        <w:rPr>
          <w:rFonts w:hint="eastAsia" w:ascii="仿宋_GB2312" w:hAnsi="仿宋_GB2312" w:eastAsia="仿宋_GB2312" w:cs="仿宋_GB2312"/>
          <w:sz w:val="32"/>
          <w:szCs w:val="32"/>
          <w:highlight w:val="none"/>
        </w:rPr>
        <w:t>（十一）完成县委、县政府交办的其他工作任务。</w:t>
      </w:r>
    </w:p>
    <w:p>
      <w:pPr>
        <w:keepNext w:val="0"/>
        <w:keepLines w:val="0"/>
        <w:pageBreakBefore w:val="0"/>
        <w:kinsoku/>
        <w:wordWrap/>
        <w:overflowPunct/>
        <w:topLinePunct w:val="0"/>
        <w:autoSpaceDE/>
        <w:autoSpaceDN/>
        <w:bidi w:val="0"/>
        <w:adjustRightInd/>
        <w:snapToGrid/>
        <w:ind w:firstLine="640" w:firstLineChars="200"/>
        <w:jc w:val="both"/>
        <w:outlineLvl w:val="0"/>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年度中国共产主义青年团环江毛南族自治县委员会的汇总决算报表由1个单位决算报表构成。其中行政单位1个，是中国共产主义青年团环江毛南族自治县委员会机关本级</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中国共产主义青年团环江毛南族自治县委员会</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2669"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212.44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191.64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217.74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217.74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217.74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217.74</w:t>
            </w:r>
          </w:p>
        </w:tc>
      </w:tr>
    </w:tbl>
    <w:p>
      <w:pPr>
        <w:keepNext w:val="0"/>
        <w:keepLines w:val="0"/>
        <w:pageBreakBefore w:val="0"/>
        <w:kinsoku/>
        <w:wordWrap/>
        <w:overflowPunct/>
        <w:topLinePunct w:val="0"/>
        <w:autoSpaceDE/>
        <w:autoSpaceDN/>
        <w:bidi w:val="0"/>
        <w:adjustRightInd/>
        <w:snapToGrid/>
        <w:ind w:firstLine="600" w:firstLineChars="200"/>
        <w:jc w:val="both"/>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373"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217.74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5.31</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5.31</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5.31</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0.35</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143.71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4.96</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pPr>
      <w:r>
        <w:rPr>
          <w:rFonts w:ascii="仿宋" w:hAnsi="仿宋" w:eastAsia="仿宋" w:cs="仿宋"/>
          <w:sz w:val="24"/>
          <w:highlight w:val="none"/>
        </w:rPr>
        <w:br w:type="page"/>
      </w:r>
    </w:p>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653" w:type="dxa"/>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217.74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144.57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144.57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47.07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144.57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137.92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pPr>
      <w:r>
        <w:rPr>
          <w:rFonts w:ascii="仿宋" w:hAnsi="仿宋" w:eastAsia="仿宋" w:cs="仿宋"/>
          <w:sz w:val="24"/>
          <w:highlight w:val="none"/>
        </w:rPr>
        <w:br w:type="page"/>
      </w:r>
    </w:p>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629" w:type="pct"/>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212.44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186.33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4.28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212.44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212.44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212.44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212.44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212.44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212.44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tc>
        <w:tc>
          <w:tcPr>
            <w:tcW w:w="672" w:type="pct"/>
            <w:tcBorders>
              <w:top w:val="single" w:color="auto" w:sz="4" w:space="0"/>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宋体" w:hAnsi="宋体" w:eastAsia="宋体" w:cs="宋体"/>
                <w:color w:val="000000"/>
                <w:sz w:val="20"/>
                <w:szCs w:val="20"/>
                <w:highlight w:val="none"/>
              </w:rPr>
            </w:pP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pPr>
      <w:r>
        <w:rPr>
          <w:rFonts w:ascii="仿宋" w:hAnsi="仿宋" w:eastAsia="仿宋" w:cs="仿宋"/>
          <w:sz w:val="24"/>
          <w:highlight w:val="none"/>
        </w:rPr>
        <w:br w:type="page"/>
      </w:r>
    </w:p>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3107"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67.87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144.57</w:t>
            </w:r>
          </w:p>
        </w:tc>
      </w:tr>
      <w:tr>
        <w:tblPrEx>
          <w:tblCellMar>
            <w:top w:w="0" w:type="dxa"/>
            <w:left w:w="108" w:type="dxa"/>
            <w:bottom w:w="0" w:type="dxa"/>
            <w:right w:w="108" w:type="dxa"/>
          </w:tblCellMar>
        </w:tblPrEx>
        <w:trPr>
          <w:trHeight w:val="90"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144.57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144.57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2.14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143.71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137.92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18.60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pPr>
      <w:r>
        <w:rPr>
          <w:rFonts w:ascii="仿宋" w:hAnsi="仿宋" w:eastAsia="仿宋" w:cs="仿宋"/>
          <w:sz w:val="24"/>
          <w:highlight w:val="none"/>
        </w:rPr>
        <w:br w:type="page"/>
      </w:r>
    </w:p>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160"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pPr>
      <w:r>
        <w:rPr>
          <w:rFonts w:ascii="仿宋" w:hAnsi="仿宋" w:eastAsia="仿宋" w:cs="仿宋"/>
          <w:sz w:val="24"/>
          <w:highlight w:val="none"/>
        </w:rPr>
        <w:br w:type="page"/>
      </w:r>
    </w:p>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680"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仿宋_GB2312"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注明：</w:t>
            </w:r>
            <w:r>
              <w:rPr>
                <w:rFonts w:hint="eastAsia" w:ascii="宋体" w:hAnsi="宋体" w:eastAsia="宋体" w:cs="宋体"/>
                <w:color w:val="000000"/>
                <w:kern w:val="0"/>
                <w:sz w:val="22"/>
                <w:szCs w:val="22"/>
                <w:highlight w:val="none"/>
                <w:lang w:val="en-US" w:eastAsia="zh-CN" w:bidi="ar"/>
              </w:rPr>
              <w:t>中国共产主义青年团环江毛南族自治县委员会</w:t>
            </w:r>
            <w:r>
              <w:rPr>
                <w:rFonts w:hint="eastAsia" w:ascii="宋体" w:hAnsi="宋体" w:eastAsia="宋体" w:cs="宋体"/>
                <w:color w:val="000000"/>
                <w:kern w:val="0"/>
                <w:sz w:val="22"/>
                <w:szCs w:val="22"/>
                <w:highlight w:val="none"/>
                <w:lang w:bidi="ar"/>
              </w:rPr>
              <w:t>202</w:t>
            </w:r>
            <w:r>
              <w:rPr>
                <w:rFonts w:hint="eastAsia" w:ascii="宋体" w:hAnsi="宋体" w:eastAsia="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bidi="ar"/>
              </w:rPr>
              <w:t>年度没有政府性基金预算财政拨款资金收入，也没有政府性基金预算财政拨款资金安排的支出，故本表无数据。</w:t>
            </w: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pPr>
      <w:r>
        <w:rPr>
          <w:rFonts w:ascii="仿宋" w:hAnsi="仿宋" w:eastAsia="仿宋" w:cs="仿宋"/>
          <w:sz w:val="24"/>
          <w:highlight w:val="none"/>
        </w:rPr>
        <w:br w:type="page"/>
      </w:r>
    </w:p>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313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注明：</w:t>
            </w:r>
            <w:r>
              <w:rPr>
                <w:rFonts w:hint="eastAsia" w:ascii="仿宋" w:hAnsi="仿宋" w:eastAsia="仿宋" w:cs="仿宋"/>
                <w:sz w:val="24"/>
                <w:highlight w:val="none"/>
                <w:lang w:val="en-US" w:eastAsia="zh-CN"/>
              </w:rPr>
              <w:t>中国共产主义青年团环江毛南族自治县委员会</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年度没有国有资本经营预算财政拨款资金收入，也没有国有资本经营预算财政拨款资金安排的支出，故本表无数据。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0"/>
                <w:sz w:val="32"/>
                <w:szCs w:val="32"/>
                <w:highlight w:val="none"/>
                <w:lang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0"/>
                <w:sz w:val="32"/>
                <w:szCs w:val="32"/>
                <w:highlight w:val="none"/>
                <w:lang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0"/>
                <w:sz w:val="32"/>
                <w:szCs w:val="32"/>
                <w:highlight w:val="none"/>
                <w:lang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0"/>
                <w:sz w:val="32"/>
                <w:szCs w:val="32"/>
                <w:highlight w:val="none"/>
                <w:lang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0"/>
                <w:sz w:val="32"/>
                <w:szCs w:val="32"/>
                <w:highlight w:val="none"/>
                <w:lang w:eastAsia="zh-CN"/>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06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注明：</w:t>
            </w:r>
            <w:r>
              <w:rPr>
                <w:rFonts w:hint="eastAsia" w:ascii="宋体" w:hAnsi="宋体" w:eastAsia="宋体" w:cs="宋体"/>
                <w:color w:val="000000"/>
                <w:kern w:val="0"/>
                <w:sz w:val="22"/>
                <w:szCs w:val="22"/>
                <w:highlight w:val="none"/>
                <w:lang w:val="en-US" w:eastAsia="zh-CN" w:bidi="ar"/>
              </w:rPr>
              <w:t>中国共产主义青年团环江毛南族自治县委员会</w:t>
            </w:r>
            <w:r>
              <w:rPr>
                <w:rFonts w:hint="eastAsia" w:ascii="宋体" w:hAnsi="宋体" w:eastAsia="宋体" w:cs="宋体"/>
                <w:color w:val="000000"/>
                <w:kern w:val="0"/>
                <w:sz w:val="22"/>
                <w:szCs w:val="22"/>
                <w:highlight w:val="none"/>
                <w:lang w:eastAsia="zh-CN" w:bidi="ar"/>
              </w:rPr>
              <w:t>202</w:t>
            </w:r>
            <w:r>
              <w:rPr>
                <w:rFonts w:hint="eastAsia" w:ascii="宋体" w:hAnsi="宋体" w:eastAsia="宋体" w:cs="宋体"/>
                <w:color w:val="000000"/>
                <w:kern w:val="0"/>
                <w:sz w:val="22"/>
                <w:szCs w:val="22"/>
                <w:highlight w:val="none"/>
                <w:lang w:val="en-US" w:eastAsia="zh-CN" w:bidi="ar"/>
              </w:rPr>
              <w:t>2年度没有没有财政拨款“三公”经费收入，也没有财政拨款“三公”经费安排的支出，故本表无数据”。</w:t>
            </w:r>
          </w:p>
        </w:tc>
      </w:tr>
    </w:tbl>
    <w:p>
      <w:pPr>
        <w:keepNext w:val="0"/>
        <w:keepLines w:val="0"/>
        <w:pageBreakBefore w:val="0"/>
        <w:kinsoku/>
        <w:wordWrap/>
        <w:overflowPunct/>
        <w:topLinePunct w:val="0"/>
        <w:autoSpaceDE/>
        <w:autoSpaceDN/>
        <w:bidi w:val="0"/>
        <w:adjustRightInd/>
        <w:snapToGrid/>
        <w:ind w:firstLine="480" w:firstLineChars="200"/>
        <w:jc w:val="both"/>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中国共产主义青年团环江毛南族自治县委员会</w:t>
      </w:r>
      <w:r>
        <w:rPr>
          <w:rFonts w:hint="eastAsia" w:ascii="黑体" w:hAnsi="黑体" w:eastAsia="黑体" w:cs="黑体"/>
          <w:sz w:val="32"/>
          <w:szCs w:val="32"/>
          <w:highlight w:val="none"/>
        </w:rPr>
        <w:t>2022年度部门决算情况说明</w:t>
      </w:r>
    </w:p>
    <w:p>
      <w:pPr>
        <w:keepNext w:val="0"/>
        <w:keepLines w:val="0"/>
        <w:pageBreakBefore w:val="0"/>
        <w:kinsoku/>
        <w:wordWrap/>
        <w:overflowPunct/>
        <w:topLinePunct w:val="0"/>
        <w:autoSpaceDE/>
        <w:autoSpaceDN/>
        <w:bidi w:val="0"/>
        <w:adjustRightInd/>
        <w:snapToGrid/>
        <w:ind w:firstLine="640" w:firstLineChars="200"/>
        <w:jc w:val="both"/>
        <w:outlineLvl w:val="0"/>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217.74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减少3.90</w:t>
      </w:r>
      <w:r>
        <w:rPr>
          <w:rFonts w:hint="eastAsia" w:ascii="仿宋" w:hAnsi="仿宋" w:eastAsia="仿宋" w:cs="仿宋"/>
          <w:sz w:val="32"/>
          <w:szCs w:val="32"/>
          <w:highlight w:val="none"/>
        </w:rPr>
        <w:t>万元，</w:t>
      </w:r>
      <w:r>
        <w:rPr>
          <w:rFonts w:ascii="仿宋" w:hAnsi="仿宋" w:eastAsia="仿宋" w:cs="仿宋"/>
          <w:sz w:val="32"/>
          <w:u w:color="auto"/>
        </w:rPr>
        <w:t>下降1.76%</w:t>
      </w:r>
      <w:r>
        <w:rPr>
          <w:rFonts w:hint="eastAsia" w:ascii="仿宋" w:hAnsi="仿宋" w:eastAsia="仿宋" w:cs="仿宋"/>
          <w:sz w:val="32"/>
          <w:szCs w:val="32"/>
          <w:highlight w:val="none"/>
        </w:rPr>
        <w:t>，其中本年收入</w:t>
      </w:r>
      <w:r>
        <w:rPr>
          <w:rFonts w:ascii="仿宋" w:hAnsi="仿宋" w:eastAsia="仿宋" w:cs="仿宋"/>
          <w:sz w:val="32"/>
          <w:u w:color="auto"/>
        </w:rPr>
        <w:t>217.74</w:t>
      </w:r>
      <w:r>
        <w:rPr>
          <w:rFonts w:hint="eastAsia" w:ascii="仿宋" w:hAnsi="仿宋" w:eastAsia="仿宋" w:cs="仿宋"/>
          <w:sz w:val="32"/>
          <w:szCs w:val="32"/>
          <w:highlight w:val="none"/>
        </w:rPr>
        <w:t>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212.44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增加6.16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增长2.99%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主要原因：一般公共服务支出与群众团体事务增加。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_GB2312" w:hAnsi="仿宋_GB2312" w:eastAsia="仿宋_GB2312" w:cs="仿宋_GB2312"/>
          <w:kern w:val="0"/>
          <w:sz w:val="32"/>
          <w:szCs w:val="32"/>
          <w:highlight w:val="none"/>
          <w:lang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年度没有政府性基金预算财政拨款资金收入，也没有政府性基金预算财政拨款资金安排的支出</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_GB2312" w:hAnsi="仿宋_GB2312" w:eastAsia="仿宋_GB2312" w:cs="仿宋_GB2312"/>
          <w:kern w:val="0"/>
          <w:sz w:val="32"/>
          <w:szCs w:val="32"/>
          <w:highlight w:val="none"/>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_GB2312" w:hAnsi="仿宋_GB2312" w:eastAsia="仿宋_GB2312" w:cs="仿宋_GB2312"/>
          <w:kern w:val="0"/>
          <w:sz w:val="32"/>
          <w:szCs w:val="32"/>
          <w:highlight w:val="none"/>
        </w:rPr>
        <w:t>也没有</w:t>
      </w:r>
      <w:r>
        <w:rPr>
          <w:rFonts w:hint="eastAsia" w:ascii="仿宋" w:hAnsi="仿宋" w:eastAsia="仿宋" w:cs="仿宋"/>
          <w:kern w:val="2"/>
          <w:sz w:val="32"/>
          <w:szCs w:val="32"/>
          <w:highlight w:val="none"/>
          <w:lang w:val="en-US" w:eastAsia="zh-CN" w:bidi="ar"/>
        </w:rPr>
        <w:t>国有资本经营预算财政拨款</w:t>
      </w:r>
      <w:r>
        <w:rPr>
          <w:rFonts w:hint="eastAsia" w:ascii="仿宋_GB2312" w:hAnsi="仿宋_GB2312" w:eastAsia="仿宋_GB2312" w:cs="仿宋_GB2312"/>
          <w:kern w:val="0"/>
          <w:sz w:val="32"/>
          <w:szCs w:val="32"/>
          <w:highlight w:val="none"/>
        </w:rPr>
        <w:t>支出</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本单位没有上级补助收入。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本单位没有事业收入。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5.31</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增加5.31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主要原因是：行政运行其他收入0.35万元，其他群众团体事务支出收入4.96万元。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sz w:val="32"/>
          <w:u w:color="auto"/>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本单位没有非财政拨款结余。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减少15.37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部分项目已在本年执行完毕，不需要结转至下年继续执行。</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51472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217.74</w:t>
      </w:r>
      <w:r>
        <w:rPr>
          <w:rFonts w:hint="eastAsia" w:ascii="仿宋" w:hAnsi="仿宋" w:eastAsia="仿宋" w:cs="仿宋"/>
          <w:sz w:val="32"/>
          <w:szCs w:val="32"/>
          <w:highlight w:val="none"/>
        </w:rPr>
        <w:t>万元，其中本年支出</w:t>
      </w:r>
      <w:r>
        <w:rPr>
          <w:rFonts w:ascii="仿宋" w:hAnsi="仿宋" w:eastAsia="仿宋" w:cs="仿宋"/>
          <w:sz w:val="32"/>
          <w:u w:color="auto"/>
        </w:rPr>
        <w:t>217.74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减少3.90</w:t>
      </w:r>
      <w:r>
        <w:rPr>
          <w:rFonts w:hint="eastAsia" w:ascii="仿宋" w:hAnsi="仿宋" w:eastAsia="仿宋" w:cs="仿宋"/>
          <w:sz w:val="32"/>
          <w:szCs w:val="32"/>
          <w:highlight w:val="none"/>
        </w:rPr>
        <w:t>万元，</w:t>
      </w:r>
      <w:r>
        <w:rPr>
          <w:rFonts w:ascii="仿宋" w:hAnsi="仿宋" w:eastAsia="仿宋" w:cs="仿宋"/>
          <w:sz w:val="32"/>
          <w:u w:color="auto"/>
        </w:rPr>
        <w:t>下降1.76%</w:t>
      </w:r>
      <w:r>
        <w:rPr>
          <w:rFonts w:hint="eastAsia" w:ascii="仿宋" w:hAnsi="仿宋" w:eastAsia="仿宋" w:cs="仿宋"/>
          <w:sz w:val="32"/>
          <w:szCs w:val="32"/>
          <w:highlight w:val="none"/>
        </w:rPr>
        <w:t>。支出具体情况如下：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191.64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下降0.65%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主要原因是：2022年团县委领导班子3人，在职在编干部1位。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4.28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在编人员基本养老保险缴费支出。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下降0.23%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经费用作支付一笔公积金，以及在编人员变动。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在编人员住房公积金支出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下降4.15%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系统测算金额与实际每月缴纳金额不符。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18.60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2021年绩效考评奖与2022年奖励性补贴支出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下降7.32%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2022年奖励性补贴低于2021年奖励性补贴。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20" w:firstLineChars="200"/>
        <w:jc w:val="both"/>
        <w:rPr>
          <w:rFonts w:hint="default"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2022年度本单位没有结余分配。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主要原因是：本单位2022年度没有</w:t>
      </w:r>
      <w:r>
        <w:rPr>
          <w:rFonts w:hint="eastAsia" w:ascii="仿宋" w:hAnsi="仿宋" w:eastAsia="仿宋" w:cs="仿宋"/>
          <w:sz w:val="32"/>
          <w:szCs w:val="32"/>
          <w:highlight w:val="none"/>
        </w:rPr>
        <w:t>年末结转和结余</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kinsoku/>
        <w:wordWrap/>
        <w:overflowPunct/>
        <w:topLinePunct w:val="0"/>
        <w:autoSpaceDE/>
        <w:autoSpaceDN/>
        <w:bidi w:val="0"/>
        <w:adjustRightInd/>
        <w:snapToGrid/>
        <w:ind w:firstLine="640" w:firstLineChars="200"/>
        <w:jc w:val="both"/>
        <w:outlineLvl w:val="0"/>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中国共产主义青年团环江毛南族自治县委员会2022年度一般公共预算财政拨款支出</w:t>
      </w:r>
      <w:r>
        <w:rPr>
          <w:rFonts w:ascii="仿宋" w:hAnsi="仿宋" w:eastAsia="仿宋" w:cs="仿宋"/>
          <w:sz w:val="32"/>
          <w:u w:color="auto"/>
        </w:rPr>
        <w:t>212.44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减少9.20</w:t>
      </w:r>
      <w:r>
        <w:rPr>
          <w:rFonts w:hint="eastAsia" w:ascii="仿宋" w:hAnsi="仿宋" w:eastAsia="仿宋" w:cs="仿宋"/>
          <w:sz w:val="32"/>
          <w:szCs w:val="32"/>
          <w:highlight w:val="none"/>
        </w:rPr>
        <w:t>万元，</w:t>
      </w:r>
      <w:r>
        <w:rPr>
          <w:rFonts w:ascii="仿宋" w:hAnsi="仿宋" w:eastAsia="仿宋" w:cs="仿宋"/>
          <w:sz w:val="32"/>
          <w:u w:color="auto"/>
        </w:rPr>
        <w:t>下降4.15%</w:t>
      </w:r>
      <w:r>
        <w:rPr>
          <w:rFonts w:hint="eastAsia" w:ascii="仿宋" w:hAnsi="仿宋" w:eastAsia="仿宋" w:cs="仿宋"/>
          <w:sz w:val="32"/>
          <w:szCs w:val="32"/>
          <w:highlight w:val="none"/>
        </w:rPr>
        <w:t>。其中：基本支出</w:t>
      </w:r>
      <w:r>
        <w:rPr>
          <w:rFonts w:ascii="仿宋" w:hAnsi="仿宋" w:eastAsia="仿宋" w:cs="仿宋"/>
          <w:sz w:val="32"/>
          <w:u w:color="auto"/>
        </w:rPr>
        <w:t>67.87</w:t>
      </w:r>
      <w:r>
        <w:rPr>
          <w:rFonts w:hint="eastAsia" w:ascii="仿宋" w:hAnsi="仿宋" w:eastAsia="仿宋" w:cs="仿宋"/>
          <w:sz w:val="32"/>
          <w:szCs w:val="32"/>
          <w:highlight w:val="none"/>
        </w:rPr>
        <w:t>万元，项目支出</w:t>
      </w:r>
      <w:r>
        <w:rPr>
          <w:rFonts w:ascii="仿宋" w:hAnsi="仿宋" w:eastAsia="仿宋" w:cs="仿宋"/>
          <w:sz w:val="32"/>
          <w:u w:color="auto"/>
        </w:rPr>
        <w:t>144.57</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中国共产主义青年团环江毛南族自治县委员会2022年度一般公共预算财政拨款支出年初预算为</w:t>
      </w:r>
      <w:r>
        <w:rPr>
          <w:rFonts w:ascii="仿宋" w:hAnsi="仿宋" w:eastAsia="仿宋" w:cs="仿宋"/>
          <w:sz w:val="32"/>
          <w:u w:color="auto"/>
        </w:rPr>
        <w:t>90.64</w:t>
      </w:r>
      <w:r>
        <w:rPr>
          <w:rFonts w:hint="eastAsia" w:ascii="仿宋" w:hAnsi="仿宋" w:eastAsia="仿宋" w:cs="仿宋"/>
          <w:sz w:val="32"/>
          <w:szCs w:val="32"/>
          <w:highlight w:val="none"/>
        </w:rPr>
        <w:t>万元，支出决算为</w:t>
      </w:r>
      <w:r>
        <w:rPr>
          <w:rFonts w:ascii="仿宋" w:hAnsi="仿宋" w:eastAsia="仿宋" w:cs="仿宋"/>
          <w:sz w:val="32"/>
          <w:u w:color="auto"/>
        </w:rPr>
        <w:t>212.44</w:t>
      </w:r>
      <w:r>
        <w:rPr>
          <w:rFonts w:hint="eastAsia" w:ascii="仿宋" w:hAnsi="仿宋" w:eastAsia="仿宋" w:cs="仿宋"/>
          <w:sz w:val="32"/>
          <w:szCs w:val="32"/>
          <w:highlight w:val="none"/>
        </w:rPr>
        <w:t>万元，完成年初预算的</w:t>
      </w:r>
      <w:r>
        <w:rPr>
          <w:rFonts w:ascii="仿宋" w:hAnsi="仿宋" w:eastAsia="仿宋" w:cs="仿宋"/>
          <w:sz w:val="32"/>
          <w:u w:color="auto"/>
        </w:rPr>
        <w:t>234.38%</w:t>
      </w:r>
      <w:r>
        <w:rPr>
          <w:rFonts w:hint="eastAsia" w:ascii="仿宋" w:hAnsi="仿宋" w:eastAsia="仿宋" w:cs="仿宋"/>
          <w:sz w:val="32"/>
          <w:szCs w:val="32"/>
          <w:highlight w:val="none"/>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85.81</w:t>
      </w:r>
      <w:r>
        <w:rPr>
          <w:rFonts w:hint="eastAsia" w:ascii="仿宋" w:hAnsi="仿宋" w:eastAsia="仿宋"/>
          <w:sz w:val="32"/>
          <w:szCs w:val="32"/>
          <w:highlight w:val="none"/>
        </w:rPr>
        <w:t>万元，支出决算为</w:t>
      </w:r>
      <w:r>
        <w:rPr>
          <w:rFonts w:ascii="仿宋" w:hAnsi="仿宋" w:eastAsia="仿宋"/>
          <w:sz w:val="32"/>
          <w:szCs w:val="32"/>
          <w:highlight w:val="none"/>
        </w:rPr>
        <w:t>186.33</w:t>
      </w:r>
      <w:r>
        <w:rPr>
          <w:rFonts w:hint="eastAsia" w:ascii="仿宋" w:hAnsi="仿宋" w:eastAsia="仿宋"/>
          <w:sz w:val="32"/>
          <w:szCs w:val="32"/>
          <w:highlight w:val="none"/>
        </w:rPr>
        <w:t>万元，完成年初预算的</w:t>
      </w:r>
      <w:r>
        <w:rPr>
          <w:rFonts w:ascii="仿宋" w:hAnsi="仿宋" w:eastAsia="仿宋"/>
          <w:sz w:val="32"/>
          <w:szCs w:val="32"/>
          <w:highlight w:val="none"/>
        </w:rPr>
        <w:t>217.14%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原因是：对其他群众团体事务类预算分类不准确，2022年度部门其他人员类别共7人，固其他群众团体事务支出完成预算百分比较高。</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39.02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40.48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103.74%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七彩假期志愿者餐补、活动广告费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桂财行〔2021〕78号关于提前下达2022年广西青少年综合服务平台工作经费的通知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46.79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143.71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307.14%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西部计划志愿者中央、自治区补贴等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85.81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186.33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bl>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ind w:right="0" w:rightChars="0"/>
        <w:jc w:val="both"/>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2.76</w:t>
      </w:r>
      <w:r>
        <w:rPr>
          <w:rFonts w:hint="eastAsia" w:ascii="仿宋" w:hAnsi="仿宋" w:eastAsia="仿宋"/>
          <w:sz w:val="32"/>
          <w:szCs w:val="32"/>
          <w:highlight w:val="none"/>
        </w:rPr>
        <w:t>万元，支出决算为</w:t>
      </w:r>
      <w:r>
        <w:rPr>
          <w:rFonts w:ascii="仿宋" w:hAnsi="仿宋" w:eastAsia="仿宋"/>
          <w:sz w:val="32"/>
          <w:szCs w:val="32"/>
          <w:highlight w:val="none"/>
        </w:rPr>
        <w:t>4.28</w:t>
      </w:r>
      <w:r>
        <w:rPr>
          <w:rFonts w:hint="eastAsia" w:ascii="仿宋" w:hAnsi="仿宋" w:eastAsia="仿宋"/>
          <w:sz w:val="32"/>
          <w:szCs w:val="32"/>
          <w:highlight w:val="none"/>
        </w:rPr>
        <w:t>万元，完成年初预算的</w:t>
      </w:r>
      <w:r>
        <w:rPr>
          <w:rFonts w:ascii="仿宋" w:hAnsi="仿宋" w:eastAsia="仿宋"/>
          <w:sz w:val="32"/>
          <w:szCs w:val="32"/>
          <w:highlight w:val="none"/>
        </w:rPr>
        <w:t>155.07%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原因是：经费用作支付一笔公积金，以及在编人员变动。</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在编人员养老保险支出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在编人员养老保险支出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在编人员养老保险支出</w:t>
            </w:r>
          </w:p>
        </w:tc>
      </w:tr>
    </w:tbl>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autoSpaceDE/>
        <w:autoSpaceDN/>
        <w:bidi w:val="0"/>
        <w:adjustRightInd/>
        <w:snapToGrid/>
        <w:ind w:firstLine="640" w:firstLineChars="200"/>
        <w:jc w:val="both"/>
        <w:rPr>
          <w:rFonts w:hint="eastAsia" w:eastAsia="仿宋"/>
          <w:color w:val="FF0000"/>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2.07</w:t>
      </w:r>
      <w:r>
        <w:rPr>
          <w:rFonts w:hint="eastAsia" w:ascii="仿宋" w:hAnsi="仿宋" w:eastAsia="仿宋"/>
          <w:sz w:val="32"/>
          <w:szCs w:val="32"/>
          <w:highlight w:val="none"/>
        </w:rPr>
        <w:t>万元，支出决算为</w:t>
      </w:r>
      <w:r>
        <w:rPr>
          <w:rFonts w:ascii="仿宋" w:hAnsi="仿宋" w:eastAsia="仿宋"/>
          <w:sz w:val="32"/>
          <w:szCs w:val="32"/>
          <w:highlight w:val="none"/>
        </w:rPr>
        <w:t>3.23</w:t>
      </w:r>
      <w:r>
        <w:rPr>
          <w:rFonts w:hint="eastAsia" w:ascii="仿宋" w:hAnsi="仿宋" w:eastAsia="仿宋"/>
          <w:sz w:val="32"/>
          <w:szCs w:val="32"/>
          <w:highlight w:val="none"/>
        </w:rPr>
        <w:t>万元，完成年初预算的</w:t>
      </w:r>
      <w:r>
        <w:rPr>
          <w:rFonts w:ascii="仿宋" w:hAnsi="仿宋" w:eastAsia="仿宋"/>
          <w:sz w:val="32"/>
          <w:szCs w:val="32"/>
          <w:highlight w:val="none"/>
        </w:rPr>
        <w:t>156.04%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原因是：系统测算金额与实际每月缴纳金额不符。</w:t>
      </w:r>
    </w:p>
    <w:p>
      <w:pPr>
        <w:keepNext w:val="0"/>
        <w:keepLines w:val="0"/>
        <w:pageBreakBefore w:val="0"/>
        <w:kinsoku/>
        <w:wordWrap/>
        <w:overflowPunct/>
        <w:topLinePunct w:val="0"/>
        <w:autoSpaceDE/>
        <w:autoSpaceDN/>
        <w:bidi w:val="0"/>
        <w:adjustRightInd/>
        <w:snapToGrid/>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156.04%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bl>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ind w:right="0" w:rightChars="0"/>
        <w:jc w:val="both"/>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18.60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原因是：2021年绩效考评奖与2022年奖励性补贴未做预算，但需要支出。</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683"/>
        <w:gridCol w:w="1220"/>
        <w:gridCol w:w="2230"/>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18.60</w:t>
            </w:r>
          </w:p>
        </w:tc>
        <w:tc>
          <w:tcPr>
            <w:tcW w:w="12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2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2021年绩效考评奖与2022年奖励性补贴</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center"/>
              <w:textAlignment w:val="center"/>
              <w:rPr>
                <w:rFonts w:hint="default" w:ascii="宋体" w:hAnsi="宋体" w:eastAsia="宋体" w:cs="宋体"/>
                <w:i w:val="0"/>
                <w:iCs w:val="0"/>
                <w:color w:val="000000"/>
                <w:sz w:val="18"/>
                <w:szCs w:val="18"/>
                <w:highlight w:val="none"/>
                <w:u w:val="none"/>
                <w:lang w:val="en-US" w:eastAsia="zh-CN"/>
              </w:rPr>
            </w:pPr>
          </w:p>
        </w:tc>
        <w:tc>
          <w:tcPr>
            <w:tcW w:w="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18.60</w:t>
            </w:r>
          </w:p>
        </w:tc>
        <w:tc>
          <w:tcPr>
            <w:tcW w:w="12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center"/>
              <w:textAlignment w:val="center"/>
              <w:rPr>
                <w:rFonts w:hint="default" w:ascii="宋体" w:hAnsi="宋体" w:eastAsia="宋体" w:cs="宋体"/>
                <w:i w:val="0"/>
                <w:iCs w:val="0"/>
                <w:color w:val="000000"/>
                <w:sz w:val="18"/>
                <w:szCs w:val="18"/>
                <w:highlight w:val="none"/>
                <w:u w:val="none"/>
                <w:lang w:val="en-US" w:eastAsia="zh-CN"/>
              </w:rPr>
            </w:pPr>
          </w:p>
        </w:tc>
        <w:tc>
          <w:tcPr>
            <w:tcW w:w="2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2021年绩效考评奖与2022年奖励性补贴</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一般公共预算资金</w:t>
            </w:r>
          </w:p>
        </w:tc>
      </w:tr>
    </w:tbl>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autoSpaceDE/>
        <w:autoSpaceDN/>
        <w:bidi w:val="0"/>
        <w:adjustRightInd/>
        <w:snapToGrid/>
        <w:ind w:firstLine="640" w:firstLineChars="200"/>
        <w:jc w:val="both"/>
        <w:outlineLvl w:val="0"/>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中国共产主义青年团环江毛南族自治县委员会2022年度一般公共预算财政拨款基本支出</w:t>
      </w:r>
      <w:r>
        <w:rPr>
          <w:rFonts w:ascii="仿宋" w:hAnsi="仿宋" w:eastAsia="仿宋" w:cs="仿宋"/>
          <w:sz w:val="32"/>
          <w:u w:color="auto"/>
        </w:rPr>
        <w:t>67.87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66.97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公用经费支出</w:t>
      </w:r>
      <w:r>
        <w:rPr>
          <w:rFonts w:hint="eastAsia" w:ascii="仿宋" w:hAnsi="仿宋" w:eastAsia="仿宋" w:cs="仿宋"/>
          <w:sz w:val="32"/>
          <w:szCs w:val="32"/>
          <w:highlight w:val="none"/>
        </w:rPr>
        <w:t>0.90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66.97万元，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169.54%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主要原因是：完成在编人人员工资提升及统发，其西部计划志愿者补贴发放人数与预算存在差异。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23.26万元，30102津贴补贴1.39万元，30103奖金26.89万元，30106伙食补助费1.00万元，30108机关事业单位基本养老保险缴费4.28万元，30110职工基本医疗保险缴费1.79万元，30112其他社会保障缴费0.17万元，30113住房公积金3.23万元，30199其他工资福利支出4.96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05430"/>
            <wp:effectExtent l="4445" t="4445" r="16510" b="952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商品和服务支出</w:t>
      </w:r>
      <w:r>
        <w:rPr>
          <w:rFonts w:ascii="仿宋" w:hAnsi="仿宋" w:eastAsia="仿宋" w:cs="仿宋"/>
          <w:sz w:val="32"/>
          <w:u w:color="auto"/>
        </w:rPr>
        <w:t>0.90万元，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34.75%</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主要原因是：2022年电费支出使用拨办公室搬迁及办公设备采购费用等指标。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30201办公费0.47万元，30206电费0.08万元，30207邮电费0.35万元。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主要原因是：2022年度不存在对个人和家庭的补助预算。</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主要原因是：2022年度不存在债务利息及费用支出。</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37355" cy="2900680"/>
            <wp:effectExtent l="4445" t="4445" r="6350" b="952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主要原因是：2022年度本单位不存在资本性支出。</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ind w:left="0" w:leftChars="0" w:right="0" w:firstLine="640" w:firstLineChars="200"/>
        <w:jc w:val="both"/>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主要原因是：2022年度不存在其他支出及预算。</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429000" cy="2188845"/>
            <wp:effectExtent l="4445" t="4445" r="14605" b="1651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kinsoku/>
        <w:wordWrap/>
        <w:overflowPunct/>
        <w:topLinePunct w:val="0"/>
        <w:autoSpaceDE/>
        <w:autoSpaceDN/>
        <w:bidi w:val="0"/>
        <w:adjustRightInd/>
        <w:snapToGrid/>
        <w:ind w:firstLine="640" w:firstLineChars="200"/>
        <w:jc w:val="both"/>
        <w:outlineLvl w:val="0"/>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outlineLvl w:val="0"/>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中国共产主义青年团环江毛南族自治县委员会2022年度国有资本经营预算支出年初预算为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outlineLvl w:val="0"/>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全年使用财政拨款安排（局、办、镇）机关、个所属单位出国团组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个，参加其他单位组织的出国团组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个，全年因公出国（境）团组共计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bookmarkStart w:id="4" w:name="PO_part3A6B2IncReason1"/>
      <w:r>
        <w:rPr>
          <w:rFonts w:hint="eastAsia" w:ascii="仿宋" w:hAnsi="仿宋" w:eastAsia="仿宋" w:cs="仿宋"/>
          <w:sz w:val="32"/>
          <w:szCs w:val="32"/>
          <w:highlight w:val="none"/>
          <w:lang w:val="en-US" w:eastAsia="zh-CN"/>
        </w:rPr>
        <w:t>主要原因是：</w:t>
      </w:r>
      <w:r>
        <w:rPr>
          <w:rFonts w:hint="eastAsia" w:ascii="仿宋" w:hAnsi="仿宋" w:eastAsia="仿宋" w:cs="仿宋"/>
          <w:sz w:val="32"/>
          <w:szCs w:val="32"/>
          <w:highlight w:val="none"/>
        </w:rPr>
        <w:t>本部门无公务用车购置</w:t>
      </w:r>
      <w:bookmarkEnd w:id="4"/>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default" w:ascii="仿宋_GB2312" w:hAnsi="微软雅黑" w:eastAsia="仿宋_GB2312" w:cs="仿宋_GB2312"/>
          <w:color w:val="333333"/>
          <w:sz w:val="31"/>
          <w:szCs w:val="31"/>
          <w:shd w:val="clear" w:color="auto" w:fill="FFFFFF"/>
        </w:rPr>
        <w:t>主要用于单位机要文件交换、城区乡镇因公出行以及开展业务所需车辆燃料费、维修费、过路过桥费、保险费等。</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本部门未配有公务车。</w:t>
      </w:r>
      <w:r>
        <w:rPr>
          <w:rFonts w:hint="eastAsia" w:ascii="仿宋" w:hAnsi="仿宋" w:eastAsia="仿宋" w:cs="仿宋"/>
          <w:sz w:val="32"/>
          <w:szCs w:val="32"/>
          <w:highlight w:val="none"/>
        </w:rPr>
        <w:t>2022年，</w:t>
      </w:r>
      <w:r>
        <w:rPr>
          <w:rFonts w:ascii="仿宋" w:hAnsi="仿宋" w:eastAsia="仿宋" w:cs="仿宋"/>
          <w:sz w:val="32"/>
          <w:u w:color="auto"/>
        </w:rPr>
        <w:t>广西河池市中国共产主义青年团环江毛南族自治县委员会</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主要原因是：未增加此预算科目，财政指标未下达。</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kinsoku/>
        <w:wordWrap/>
        <w:overflowPunct/>
        <w:topLinePunct w:val="0"/>
        <w:autoSpaceDE/>
        <w:autoSpaceDN/>
        <w:bidi w:val="0"/>
        <w:adjustRightInd/>
        <w:snapToGrid/>
        <w:ind w:firstLine="640" w:firstLineChars="200"/>
        <w:jc w:val="both"/>
        <w:outlineLvl w:val="0"/>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kinsoku/>
        <w:wordWrap/>
        <w:overflowPunct/>
        <w:topLinePunct w:val="0"/>
        <w:autoSpaceDE/>
        <w:autoSpaceDN/>
        <w:bidi w:val="0"/>
        <w:adjustRightInd/>
        <w:snapToGrid/>
        <w:ind w:firstLine="640" w:firstLineChars="20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（一）机关运行经费支出情况说明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0.90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减少1.69</w:t>
      </w:r>
      <w:r>
        <w:rPr>
          <w:rFonts w:hint="eastAsia" w:ascii="仿宋" w:hAnsi="仿宋" w:eastAsia="仿宋" w:cs="仿宋"/>
          <w:sz w:val="32"/>
          <w:szCs w:val="32"/>
          <w:highlight w:val="none"/>
        </w:rPr>
        <w:t>万元，</w:t>
      </w:r>
      <w:r>
        <w:rPr>
          <w:rFonts w:ascii="仿宋" w:hAnsi="仿宋" w:eastAsia="仿宋" w:cs="仿宋"/>
          <w:sz w:val="32"/>
          <w:szCs w:val="32"/>
          <w:highlight w:val="none"/>
        </w:rPr>
        <w:t>下降65.25%</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减少0.27</w:t>
      </w:r>
      <w:r>
        <w:rPr>
          <w:rFonts w:hint="eastAsia" w:ascii="仿宋" w:hAnsi="仿宋" w:eastAsia="仿宋" w:cs="仿宋"/>
          <w:sz w:val="32"/>
          <w:szCs w:val="32"/>
          <w:highlight w:val="none"/>
        </w:rPr>
        <w:t>万元，</w:t>
      </w:r>
      <w:r>
        <w:rPr>
          <w:rFonts w:ascii="仿宋" w:hAnsi="仿宋" w:eastAsia="仿宋" w:cs="仿宋"/>
          <w:sz w:val="32"/>
          <w:szCs w:val="32"/>
          <w:highlight w:val="none"/>
        </w:rPr>
        <w:t>下降23.08%</w:t>
      </w:r>
      <w:r>
        <w:rPr>
          <w:rFonts w:hint="eastAsia" w:ascii="仿宋" w:hAnsi="仿宋" w:eastAsia="仿宋" w:cs="仿宋"/>
          <w:sz w:val="32"/>
          <w:szCs w:val="32"/>
          <w:highlight w:val="none"/>
        </w:rPr>
        <w:t>。原因是：</w:t>
      </w:r>
      <w:r>
        <w:rPr>
          <w:rFonts w:hint="eastAsia" w:ascii="仿宋" w:hAnsi="仿宋" w:eastAsia="仿宋" w:cs="仿宋"/>
          <w:sz w:val="32"/>
          <w:szCs w:val="32"/>
          <w:highlight w:val="none"/>
          <w:lang w:val="en-US" w:eastAsia="zh-CN"/>
        </w:rPr>
        <w:t>做好项目预算，合理减少经费开支。</w:t>
      </w:r>
    </w:p>
    <w:p>
      <w:pPr>
        <w:keepNext w:val="0"/>
        <w:keepLines w:val="0"/>
        <w:pageBreakBefore w:val="0"/>
        <w:kinsoku/>
        <w:wordWrap/>
        <w:overflowPunct/>
        <w:topLinePunct w:val="0"/>
        <w:autoSpaceDE/>
        <w:autoSpaceDN/>
        <w:bidi w:val="0"/>
        <w:adjustRightInd/>
        <w:snapToGrid/>
        <w:ind w:firstLine="640" w:firstLineChars="20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2.19</w:t>
      </w:r>
      <w:r>
        <w:rPr>
          <w:rFonts w:hint="eastAsia" w:ascii="仿宋" w:hAnsi="仿宋" w:eastAsia="仿宋" w:cs="仿宋"/>
          <w:sz w:val="32"/>
          <w:szCs w:val="32"/>
          <w:highlight w:val="none"/>
        </w:rPr>
        <w:t>万元，占政府采购支出总额的，其中：授予小微企业合同金额</w:t>
      </w:r>
      <w:r>
        <w:rPr>
          <w:rFonts w:ascii="仿宋" w:hAnsi="仿宋" w:eastAsia="仿宋" w:cs="仿宋"/>
          <w:sz w:val="32"/>
          <w:szCs w:val="32"/>
          <w:highlight w:val="none"/>
        </w:rPr>
        <w:t>2.19</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100.00%</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ind w:firstLine="640" w:firstLineChars="200"/>
        <w:jc w:val="both"/>
        <w:outlineLvl w:val="1"/>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keepNext w:val="0"/>
        <w:keepLines w:val="0"/>
        <w:pageBreakBefore w:val="0"/>
        <w:kinsoku/>
        <w:wordWrap/>
        <w:overflowPunct/>
        <w:topLinePunct w:val="0"/>
        <w:autoSpaceDE/>
        <w:autoSpaceDN/>
        <w:bidi w:val="0"/>
        <w:adjustRightInd/>
        <w:snapToGrid/>
        <w:ind w:firstLine="640" w:firstLineChars="200"/>
        <w:jc w:val="both"/>
        <w:outlineLvl w:val="1"/>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kinsoku/>
        <w:wordWrap/>
        <w:overflowPunct/>
        <w:topLinePunct w:val="0"/>
        <w:autoSpaceDE/>
        <w:autoSpaceDN/>
        <w:bidi w:val="0"/>
        <w:adjustRightInd/>
        <w:snapToGrid/>
        <w:ind w:firstLine="640" w:firstLineChars="200"/>
        <w:jc w:val="both"/>
        <w:outlineLvl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144.09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99.67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西部计划志愿者生活补贴（自治区补助经费）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4.166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本部门</w:t>
      </w:r>
      <w:r>
        <w:rPr>
          <w:rFonts w:hint="eastAsia" w:ascii="仿宋" w:hAnsi="仿宋" w:eastAsia="仿宋" w:cs="仿宋"/>
          <w:color w:val="000000" w:themeColor="text1"/>
          <w:sz w:val="32"/>
          <w:szCs w:val="32"/>
          <w:lang w:eastAsia="zh-CN"/>
          <w14:textFill>
            <w14:solidFill>
              <w14:schemeClr w14:val="tx1"/>
            </w14:solidFill>
          </w14:textFill>
        </w:rPr>
        <w:t>严格遵守相关财经法规、制度，加强全过程绩效管理，确保年度绩效目标如期实现。</w:t>
      </w:r>
      <w:r>
        <w:rPr>
          <w:rFonts w:hint="eastAsia" w:ascii="仿宋" w:hAnsi="仿宋" w:eastAsia="仿宋" w:cs="仿宋"/>
          <w:color w:val="000000" w:themeColor="text1"/>
          <w:sz w:val="32"/>
          <w:szCs w:val="32"/>
          <w:lang w:val="en-US" w:eastAsia="zh-CN"/>
          <w14:textFill>
            <w14:solidFill>
              <w14:schemeClr w14:val="tx1"/>
            </w14:solidFill>
          </w14:textFill>
        </w:rPr>
        <w:t>整体支出绩效评价效果较好，该项目达成预期指标。</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217.74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auto"/>
          <w:kern w:val="0"/>
          <w:sz w:val="32"/>
          <w:szCs w:val="32"/>
          <w:highlight w:val="none"/>
          <w:u w:val="none"/>
          <w:lang w:val="en-US" w:eastAsia="zh-CN"/>
        </w:rPr>
        <w:t>我</w:t>
      </w:r>
      <w:r>
        <w:rPr>
          <w:rFonts w:hint="eastAsia" w:ascii="仿宋_GB2312" w:hAnsi="仿宋_GB2312" w:eastAsia="仿宋_GB2312" w:cs="仿宋_GB2312"/>
          <w:color w:val="auto"/>
          <w:sz w:val="32"/>
          <w:szCs w:val="32"/>
          <w:highlight w:val="none"/>
          <w:u w:val="none"/>
        </w:rPr>
        <w:t>部门能认真履行职责，做好统筹协调、各类重要工作文稿起草、重要会议服务等工作；业务管理和财务管理制度比较健全，能得到贯彻执行，</w:t>
      </w:r>
      <w:r>
        <w:rPr>
          <w:rFonts w:hint="eastAsia" w:ascii="仿宋_GB2312" w:hAnsi="仿宋_GB2312" w:eastAsia="仿宋_GB2312" w:cs="仿宋_GB2312"/>
          <w:color w:val="auto"/>
          <w:kern w:val="0"/>
          <w:sz w:val="32"/>
          <w:szCs w:val="32"/>
          <w:highlight w:val="none"/>
          <w:u w:val="none"/>
        </w:rPr>
        <w:t>整体支出绩效评价效果较好，达到了预期</w:t>
      </w:r>
      <w:r>
        <w:rPr>
          <w:rFonts w:hint="eastAsia" w:ascii="仿宋_GB2312" w:hAnsi="仿宋_GB2312" w:eastAsia="仿宋_GB2312" w:cs="仿宋_GB2312"/>
          <w:color w:val="auto"/>
          <w:sz w:val="32"/>
          <w:szCs w:val="32"/>
          <w:highlight w:val="none"/>
          <w:u w:val="none"/>
        </w:rPr>
        <w:t>目标。</w:t>
      </w:r>
    </w:p>
    <w:p>
      <w:pPr>
        <w:keepNext w:val="0"/>
        <w:keepLines w:val="0"/>
        <w:pageBreakBefore w:val="0"/>
        <w:kinsoku/>
        <w:wordWrap/>
        <w:overflowPunct/>
        <w:topLinePunct w:val="0"/>
        <w:autoSpaceDE/>
        <w:autoSpaceDN/>
        <w:bidi w:val="0"/>
        <w:adjustRightInd/>
        <w:snapToGrid/>
        <w:ind w:firstLine="640" w:firstLineChars="200"/>
        <w:jc w:val="both"/>
        <w:outlineLvl w:val="2"/>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其中满分项目7个，</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144.09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99.67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部门整体项目支出绩效评价较好，基本达到预期目标。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办公经费项目年初预算数为1.76万元，实际支出数为1.7584万元，自评得分为99.99分。该项目基本都已达成预期指标，在办公经费支出方面本部门做好经费把控，确保经费支出合规性，在提高公共产品质量和控制节约成本的同时，充分发挥财政资金使用效益。</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基层党组织活动项目经费年初预算数为0.04万元，实际支出数为0.0385万元，自评得分为99.63分。基层党组织使用财政资金开展“三会一课”、主题党日活动、党员和入党积极分子教育培训、学习调研等党建活动，本部门将结合党建工作要求和机关工作实际，坚持厉行节约、反对浪费的原则，统筹使用财政资金。</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预防青少年违法犯罪工作项目经费年初预算数为5万元，实际支出数为4.9615万元，自评得分为99.92分。本项目以贯彻落实中央、自治区关于进一步深化预防青少年违法犯罪工作的要求为主线，以《广西壮族自治区预防未成年人犯罪条例》的实施为重点，加强与各相关部门的协调联动，开展教育宣传活动等共惠及人群6000余人，重点青少年群体服务管理和预防犯罪工作覆盖率达100%，整体项目较好完成了2022年全县预防青少年违法犯罪工作。</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（4）纪念建团100周年工作项目经费调整后预算数为10.5万元，实际支出6.2887万元，自评得分95.99分。项目主要支出“青春杯”法律知识竞赛活动，“不忘初心 颂响青春”纪念建团100周年青春诗会活动，因时间安排，活动预算与实际开展存在差异，但活动开展过程中，本部门使资金使用效益最大化，较好完成了项目活动的开展。</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西部计划自治县项目办日常工作经费年初预算数为2.5万元，实际支出2.1218万元，项目自评得分98.49分。用于项目办开展西部计划志愿者团支部系列活动，以及开支西部志愿者差旅费，节约经费，在后续活动开展中，应提高资金使用效益，统筹整合安排，完善资金使用的制度和机制。</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西部志愿者生活交通补贴项目经费年初预算数为34.8万元，实际支出数为33.5612万元，项目自评得分99.64分。项目按照人力资源和社会保障部等单位《关于统筹实施引导高校毕业生到农村基层服务项目工作的通知》文件要求，确定西部计划志愿者生活补贴标准，并为在艰苦边远地区服务的西部计划志愿者提供艰苦边远地区津贴，积极为西部计划志愿者提供交通、住宿和伙食等方面的便利，提高保障水平。项目基本全部达成预期指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西部志愿者住房补贴项目经费年初预算数为3.95万元，实际支出数为2.5万元，项目自评得分96.33分。该项目积极为西部计划志愿者提供交通、住宿（或为志愿者提供符合当地物价水平的住房补贴）和伙食等方面的便利，提高保障水平。根据在岗志愿者人数每月付住房补贴，项目基本完成预期指标，使得经费合理支出。</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广西青少年综合服务平台工作经费年初预算数为4万元，实际支出数为2.1391万元，项目自评得分93.35分。该项目经费主要用于平台建设及日常运营项目产生的费用，围绕促进社区关系融洽、重点青少年群体帮扶、帮助青年就业创业、净化美化社区环境、新时代少先队工作等内容开展各类主题活动和项目。由于2022年度该项目指标未下达，固实际活动支出未完全支付，但项目实际开展均已达到预期指标，整体项目评价较好。</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（9）机关事业单位伙食补助费年初预算数1万元，实际支出数为1万元，项目自评得分100分。项目按照单位在职人数做好相关预算及支付，机关事业单位伙食补助费覆盖率达100%。</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办公室搬迁及办公设备采购费用年初预算数为2.76万元，实际支出数为2.7483万元，项目自评得分为99.96分。为满足办公需求，我单位需更换、新增部分办公设备。经预算，办公室搬迁及办公设备采购费用共27600元。本单位属全额财政拨款行政单位，无预算外资金来源。做到专款专用，降低物资购买成本，节约经费支出，均已达成项目绩效目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（11）奖励性补贴项目经费调整后预算数为4.9万元，实际支出4.9万元，项目自评得分100分。完成2022年度奖励性补贴的发放，均已达到项目预期指标。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桂财行[2021]80号《广西壮族自治区财政厅关于提前下达2022年1-7月广西西部计划志愿者相关经费的通知》生活补贴中央补助经费调整后预算数为29.2933万元，实际支出数为29.2933万元，项目自评得分100分。根据广西大学生服务西部计划志愿者实际在岗人数提前下达2022年1-7月生活补贴，资金按相关资金管理办法要求下拨，按照要求为每位志愿者下拨西部计划志愿者生活补贴，根据下达的绩效目标开展项目绩效管理工作，加强全过程绩效管理，年度绩效目标如期实现。</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桂财行[2021]80号《广西壮族自治区财政厅关于提前下达2022年8-12月广西西部计划志愿者相关经费的通知》生活补贴自治区补助经费调整后预算数为5.0828万元，实际支出数为5.0828万元，项目自评得分100分。资金按相关资金管理办法要求下拨，按照要求为每位志愿者下拨西部计划志愿者生活补贴，根据下达的绩效目标开展项目绩效管理工作，加强全过程绩效管理，年度绩效目标如期实现，项目绩效达成预期指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桂财行[2021]80号《广西壮族自治区财政厅关于提前下达2022年1-7月广西西部计划志愿者相关经费的通知》社保(单位缴纳部分)自治区补助经费调整后预算数为9.2738万元，实际支出数为9.2738万元，项目自评得分100分。按缴纳标准按月缴纳，如期完成预期指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西部计划志愿者生活补贴（自治区补助经费）项目年初预算为4.166万元，自评得分为满分。通过组织西部计划志愿者投身基层工作、组织西部计划志愿者开展公益活动等方式方法，保障了西部计划志愿者们日常工作的开展，在全社会营造关心、支持西部计划投身基层的良好氛围中，切实履行共青团服务青年和维护青年合法权益的重要职责。</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（16）西部计划志愿者社保(单位缴纳部分)自治区补助经费调整后预算数为13.466万元，实际支出数为9.2536万元，项目自评分为94.87分。每月按时缴存，部分达成预期指标并具有一定效果。</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17）西部计划志愿者生活补贴(中央补助经费)调整后预算数为25万元，实际支出数为25万元，项目自评分为100分。按照西部计划全国项目办及自治区文件要求，按照每人每月2500元投入，我县实际在岗志愿者20人。根据下达的绩效目标开展项目绩效管理工作，加强全过程绩效管理，年度绩效目标如期实现。</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ind w:firstLine="640" w:firstLineChars="200"/>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六、年初结转和结余：指以前年度尚未完成、结转到本年按有关规定继续使用的资金</w:t>
      </w:r>
      <w:r>
        <w:rPr>
          <w:rFonts w:hint="eastAsia" w:ascii="仿宋" w:hAnsi="仿宋" w:eastAsia="仿宋" w:cs="仿宋"/>
          <w:sz w:val="32"/>
          <w:szCs w:val="32"/>
          <w:highlight w:val="none"/>
          <w:lang w:eastAsia="zh-CN"/>
        </w:rPr>
        <w:t>。</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autoSpaceDE/>
        <w:autoSpaceDN/>
        <w:bidi w:val="0"/>
        <w:adjustRightInd/>
        <w:snapToGrid/>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3219E"/>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51AF1"/>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6623C0"/>
    <w:rsid w:val="020C171D"/>
    <w:rsid w:val="0216715F"/>
    <w:rsid w:val="02E0291A"/>
    <w:rsid w:val="04E54546"/>
    <w:rsid w:val="05706B86"/>
    <w:rsid w:val="05992762"/>
    <w:rsid w:val="068F086F"/>
    <w:rsid w:val="07B0770E"/>
    <w:rsid w:val="0942143F"/>
    <w:rsid w:val="098731CA"/>
    <w:rsid w:val="0C871CA3"/>
    <w:rsid w:val="0D100297"/>
    <w:rsid w:val="0D202B45"/>
    <w:rsid w:val="0F8D4C87"/>
    <w:rsid w:val="0FA4668E"/>
    <w:rsid w:val="10505FAA"/>
    <w:rsid w:val="105F7E7E"/>
    <w:rsid w:val="118C5756"/>
    <w:rsid w:val="11E56B5B"/>
    <w:rsid w:val="122F68DE"/>
    <w:rsid w:val="125C77AB"/>
    <w:rsid w:val="147E0B09"/>
    <w:rsid w:val="14CB726E"/>
    <w:rsid w:val="174539B8"/>
    <w:rsid w:val="17E92249"/>
    <w:rsid w:val="18D304F1"/>
    <w:rsid w:val="19F32577"/>
    <w:rsid w:val="19F45B80"/>
    <w:rsid w:val="1B0C078D"/>
    <w:rsid w:val="1B2B31E2"/>
    <w:rsid w:val="1B4C295A"/>
    <w:rsid w:val="1B973C63"/>
    <w:rsid w:val="1BA1001E"/>
    <w:rsid w:val="1C7958C4"/>
    <w:rsid w:val="1D317259"/>
    <w:rsid w:val="1E664F5B"/>
    <w:rsid w:val="1EB34BE1"/>
    <w:rsid w:val="215E639F"/>
    <w:rsid w:val="21CE280D"/>
    <w:rsid w:val="21EC3183"/>
    <w:rsid w:val="225E72CD"/>
    <w:rsid w:val="246E2F77"/>
    <w:rsid w:val="24E53442"/>
    <w:rsid w:val="254B4E2B"/>
    <w:rsid w:val="255372CC"/>
    <w:rsid w:val="258E03AA"/>
    <w:rsid w:val="26D241C0"/>
    <w:rsid w:val="283D760F"/>
    <w:rsid w:val="283D7C94"/>
    <w:rsid w:val="28F23637"/>
    <w:rsid w:val="29480E03"/>
    <w:rsid w:val="2983634D"/>
    <w:rsid w:val="2B021E40"/>
    <w:rsid w:val="2BB02055"/>
    <w:rsid w:val="2C575A56"/>
    <w:rsid w:val="2CA9619C"/>
    <w:rsid w:val="2E691A32"/>
    <w:rsid w:val="2EA65F06"/>
    <w:rsid w:val="2F257714"/>
    <w:rsid w:val="2F3275E5"/>
    <w:rsid w:val="30AA08EF"/>
    <w:rsid w:val="30D23D1C"/>
    <w:rsid w:val="31221CF5"/>
    <w:rsid w:val="31400178"/>
    <w:rsid w:val="319B5ADC"/>
    <w:rsid w:val="321E3342"/>
    <w:rsid w:val="327759C8"/>
    <w:rsid w:val="33185FE3"/>
    <w:rsid w:val="331B1D66"/>
    <w:rsid w:val="34EE2E36"/>
    <w:rsid w:val="36777241"/>
    <w:rsid w:val="371E78D5"/>
    <w:rsid w:val="38A951DB"/>
    <w:rsid w:val="38B31605"/>
    <w:rsid w:val="39003F4F"/>
    <w:rsid w:val="3C07002B"/>
    <w:rsid w:val="3D0D152A"/>
    <w:rsid w:val="3D685F78"/>
    <w:rsid w:val="3DEF2039"/>
    <w:rsid w:val="3DF62756"/>
    <w:rsid w:val="3F1B7587"/>
    <w:rsid w:val="3F8939DB"/>
    <w:rsid w:val="41E57B4F"/>
    <w:rsid w:val="432F26F6"/>
    <w:rsid w:val="43880F63"/>
    <w:rsid w:val="441C5A6F"/>
    <w:rsid w:val="44C44FCC"/>
    <w:rsid w:val="44CC7369"/>
    <w:rsid w:val="457F5108"/>
    <w:rsid w:val="46951B6B"/>
    <w:rsid w:val="49A34401"/>
    <w:rsid w:val="4A2205F3"/>
    <w:rsid w:val="4A3E30AB"/>
    <w:rsid w:val="4AC14DAC"/>
    <w:rsid w:val="4B3479C0"/>
    <w:rsid w:val="4B357FF2"/>
    <w:rsid w:val="4D154C85"/>
    <w:rsid w:val="4EB35ECE"/>
    <w:rsid w:val="502019C5"/>
    <w:rsid w:val="508F4E24"/>
    <w:rsid w:val="51461E90"/>
    <w:rsid w:val="51463753"/>
    <w:rsid w:val="52553A93"/>
    <w:rsid w:val="53521F8B"/>
    <w:rsid w:val="53E22F47"/>
    <w:rsid w:val="54522FF8"/>
    <w:rsid w:val="55207330"/>
    <w:rsid w:val="55450629"/>
    <w:rsid w:val="55D44A61"/>
    <w:rsid w:val="56692963"/>
    <w:rsid w:val="568B0F48"/>
    <w:rsid w:val="5786217B"/>
    <w:rsid w:val="59337A15"/>
    <w:rsid w:val="59810274"/>
    <w:rsid w:val="5CA96A00"/>
    <w:rsid w:val="5CF730BC"/>
    <w:rsid w:val="5D7F2734"/>
    <w:rsid w:val="5DCE32F5"/>
    <w:rsid w:val="5E5F0DCE"/>
    <w:rsid w:val="5EE05553"/>
    <w:rsid w:val="5FA40A7B"/>
    <w:rsid w:val="5FD56D29"/>
    <w:rsid w:val="5FEC7F3F"/>
    <w:rsid w:val="60992F1E"/>
    <w:rsid w:val="60F74BC3"/>
    <w:rsid w:val="617D3BF8"/>
    <w:rsid w:val="61841F6A"/>
    <w:rsid w:val="623007A9"/>
    <w:rsid w:val="62797715"/>
    <w:rsid w:val="62BF71FF"/>
    <w:rsid w:val="637D7558"/>
    <w:rsid w:val="644F19AC"/>
    <w:rsid w:val="64F878B5"/>
    <w:rsid w:val="6537031E"/>
    <w:rsid w:val="65AA4920"/>
    <w:rsid w:val="65E31D0B"/>
    <w:rsid w:val="67694F1E"/>
    <w:rsid w:val="677D7C4A"/>
    <w:rsid w:val="69597934"/>
    <w:rsid w:val="6B964DDC"/>
    <w:rsid w:val="6C783074"/>
    <w:rsid w:val="6C8B21FC"/>
    <w:rsid w:val="6D431CF5"/>
    <w:rsid w:val="6D9E65C6"/>
    <w:rsid w:val="6DA81947"/>
    <w:rsid w:val="6EB66DE2"/>
    <w:rsid w:val="6ED3075F"/>
    <w:rsid w:val="6F2A2D4B"/>
    <w:rsid w:val="6F8A0C1E"/>
    <w:rsid w:val="703F45D4"/>
    <w:rsid w:val="70AE52B6"/>
    <w:rsid w:val="715D6546"/>
    <w:rsid w:val="71BE069E"/>
    <w:rsid w:val="72F117CE"/>
    <w:rsid w:val="73953409"/>
    <w:rsid w:val="73E069A3"/>
    <w:rsid w:val="77DD663D"/>
    <w:rsid w:val="78104AA8"/>
    <w:rsid w:val="787A08CF"/>
    <w:rsid w:val="78E257C5"/>
    <w:rsid w:val="794B35BE"/>
    <w:rsid w:val="7A5E230C"/>
    <w:rsid w:val="7B0A3A31"/>
    <w:rsid w:val="7B3360ED"/>
    <w:rsid w:val="7BDF037E"/>
    <w:rsid w:val="7BEB46DA"/>
    <w:rsid w:val="7BF50948"/>
    <w:rsid w:val="7C553B3B"/>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212.44</c:v>
                </c:pt>
                <c:pt idx="1">
                  <c:v>5.31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192.89</c:v>
                </c:pt>
                <c:pt idx="1">
                  <c:v>4.29</c:v>
                </c:pt>
                <c:pt idx="2">
                  <c:v>3.37</c:v>
                </c:pt>
                <c:pt idx="3">
                  <c:v>20.07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191.64</c:v>
                </c:pt>
                <c:pt idx="1">
                  <c:v>4.28</c:v>
                </c:pt>
                <c:pt idx="2">
                  <c:v>3.23</c:v>
                </c:pt>
                <c:pt idx="3">
                  <c:v>18.6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2012901</c:v>
                </c:pt>
                <c:pt idx="1">
                  <c:v>2012902</c:v>
                </c:pt>
                <c:pt idx="2">
                  <c:v>2012999</c:v>
                </c:pt>
                <c:pt idx="3">
                  <c:v>201x</c:v>
                </c:pt>
              </c:strCache>
            </c:strRef>
          </c:cat>
          <c:val>
            <c:numRef>
              <c:f>Sheet1!$B$2:$B$5</c:f>
              <c:numCache>
                <c:formatCode>General</c:formatCode>
                <c:ptCount val="4"/>
                <c:pt idx="0">
                  <c:v>40.48</c:v>
                </c:pt>
                <c:pt idx="1">
                  <c:v>2.14</c:v>
                </c:pt>
                <c:pt idx="2">
                  <c:v>143.71</c:v>
                </c:pt>
                <c:pt idx="3">
                  <c:v>186.33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4.28</c:v>
                </c:pt>
                <c:pt idx="1">
                  <c:v>4.28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3.23</c:v>
                </c:pt>
                <c:pt idx="1">
                  <c:v>3.23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18.6</c:v>
                </c:pt>
                <c:pt idx="1">
                  <c:v>18.6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23.26</c:v>
                </c:pt>
                <c:pt idx="1">
                  <c:v>1.39</c:v>
                </c:pt>
                <c:pt idx="2">
                  <c:v>26.89</c:v>
                </c:pt>
                <c:pt idx="3">
                  <c:v>1</c:v>
                </c:pt>
                <c:pt idx="4">
                  <c:v>0</c:v>
                </c:pt>
                <c:pt idx="5">
                  <c:v>4.28</c:v>
                </c:pt>
                <c:pt idx="6">
                  <c:v>0</c:v>
                </c:pt>
                <c:pt idx="7">
                  <c:v>1.79</c:v>
                </c:pt>
                <c:pt idx="8">
                  <c:v>0</c:v>
                </c:pt>
                <c:pt idx="9">
                  <c:v>0.17</c:v>
                </c:pt>
                <c:pt idx="10">
                  <c:v>3.23</c:v>
                </c:pt>
                <c:pt idx="11">
                  <c:v>0</c:v>
                </c:pt>
                <c:pt idx="12">
                  <c:v>4.96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0.47</c:v>
                </c:pt>
                <c:pt idx="1">
                  <c:v>0</c:v>
                </c:pt>
                <c:pt idx="2">
                  <c:v>0</c:v>
                </c:pt>
                <c:pt idx="3">
                  <c:v>0</c:v>
                </c:pt>
                <c:pt idx="4">
                  <c:v>0</c:v>
                </c:pt>
                <c:pt idx="5">
                  <c:v>0.08</c:v>
                </c:pt>
                <c:pt idx="6">
                  <c:v>0.35</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233</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2023-11-29T03:43:23Z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BC8E9925EE7B47469EB7113CE207CE48</vt:lpwstr>
  </property>
</Properties>
</file>