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lang w:eastAsia="zh-CN"/>
        </w:rPr>
        <w:t>环江毛南族自治县地方志编纂委员会办公室</w:t>
      </w:r>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szCs w:val="32"/>
          <w:highlight w:val="none"/>
          <w:lang w:eastAsia="zh-CN"/>
        </w:rPr>
        <w:t>县地方志编纂委员会办公室</w:t>
      </w:r>
      <w:r>
        <w:rPr>
          <w:rFonts w:hint="eastAsia" w:ascii="黑体" w:hAnsi="黑体" w:eastAsia="黑体" w:cs="黑体"/>
          <w:sz w:val="32"/>
          <w:u w:color="auto"/>
          <w:lang w:eastAsia="zh-CN"/>
        </w:rPr>
        <w:t>单位</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szCs w:val="32"/>
          <w:highlight w:val="none"/>
          <w:lang w:eastAsia="zh-CN"/>
        </w:rPr>
        <w:t>县地方志编纂委员会办公室</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szCs w:val="32"/>
          <w:highlight w:val="none"/>
          <w:lang w:eastAsia="zh-CN"/>
        </w:rPr>
        <w:t>县地方志编纂委员会办公室</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sz w:val="32"/>
          <w:u w:color="auto"/>
          <w:lang w:eastAsia="zh-CN"/>
        </w:rPr>
        <w:t>单</w:t>
      </w:r>
      <w:r>
        <w:rPr>
          <w:rFonts w:hint="eastAsia" w:ascii="黑体" w:hAnsi="黑体" w:eastAsia="黑体" w:cs="黑体"/>
          <w:b/>
          <w:sz w:val="32"/>
          <w:u w:color="auto"/>
          <w:lang w:val="en-US" w:eastAsia="zh-CN"/>
        </w:rPr>
        <w:t xml:space="preserve"> </w:t>
      </w:r>
      <w:r>
        <w:rPr>
          <w:rFonts w:hint="eastAsia" w:ascii="黑体" w:hAnsi="黑体" w:eastAsia="黑体" w:cs="黑体"/>
          <w:b/>
          <w:sz w:val="32"/>
          <w:u w:color="auto"/>
          <w:lang w:eastAsia="zh-CN"/>
        </w:rPr>
        <w:t>位</w:t>
      </w:r>
      <w:r>
        <w:rPr>
          <w:rFonts w:hint="eastAsia" w:ascii="黑体" w:hAnsi="黑体" w:eastAsia="黑体" w:cs="黑体"/>
          <w:b/>
          <w:sz w:val="32"/>
          <w:u w:color="auto"/>
          <w:lang w:val="en-US" w:eastAsia="zh-CN"/>
        </w:rPr>
        <w:t xml:space="preserve"> </w:t>
      </w:r>
      <w:r>
        <w:rPr>
          <w:rFonts w:hint="eastAsia" w:ascii="黑体" w:hAnsi="黑体" w:eastAsia="黑体" w:cs="黑体"/>
          <w:b/>
          <w:bCs/>
          <w:sz w:val="32"/>
          <w:szCs w:val="32"/>
          <w:highlight w:val="none"/>
        </w:rPr>
        <w:t>概</w:t>
      </w:r>
      <w:r>
        <w:rPr>
          <w:rFonts w:hint="eastAsia" w:ascii="黑体" w:hAnsi="黑体" w:eastAsia="黑体" w:cs="黑体"/>
          <w:b/>
          <w:bCs/>
          <w:sz w:val="32"/>
          <w:szCs w:val="32"/>
          <w:highlight w:val="none"/>
          <w:lang w:val="en-US" w:eastAsia="zh-CN"/>
        </w:rPr>
        <w:t xml:space="preserve"> </w:t>
      </w:r>
      <w:r>
        <w:rPr>
          <w:rFonts w:hint="eastAsia" w:ascii="黑体" w:hAnsi="黑体" w:eastAsia="黑体" w:cs="黑体"/>
          <w:b/>
          <w:bCs/>
          <w:sz w:val="32"/>
          <w:szCs w:val="32"/>
          <w:highlight w:val="none"/>
        </w:rPr>
        <w:t>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ind w:left="0" w:firstLine="645"/>
        <w:textAlignment w:val="auto"/>
        <w:rPr>
          <w:color w:val="666666"/>
        </w:rPr>
      </w:pPr>
      <w:r>
        <w:rPr>
          <w:rFonts w:hint="default" w:ascii="Times New Roman" w:hAnsi="Times New Roman" w:eastAsia="仿宋_GB2312" w:cs="Times New Roman"/>
          <w:color w:val="333333"/>
          <w:sz w:val="31"/>
          <w:szCs w:val="31"/>
          <w:shd w:val="clear" w:fill="FFFFFF"/>
        </w:rPr>
        <w:t>1</w:t>
      </w:r>
      <w:r>
        <w:rPr>
          <w:rFonts w:hint="default" w:ascii="仿宋_GB2312" w:hAnsi="微软雅黑" w:eastAsia="仿宋_GB2312" w:cs="仿宋_GB2312"/>
          <w:color w:val="333333"/>
          <w:sz w:val="31"/>
          <w:szCs w:val="31"/>
          <w:shd w:val="clear" w:fill="FFFFFF"/>
        </w:rPr>
        <w:t>、拟定地方志、年鉴工作规划和编纂方案。</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ind w:left="0" w:firstLine="645"/>
        <w:textAlignment w:val="auto"/>
        <w:rPr>
          <w:color w:val="666666"/>
        </w:rPr>
      </w:pPr>
      <w:r>
        <w:rPr>
          <w:rFonts w:hint="default" w:ascii="Times New Roman" w:hAnsi="Times New Roman" w:eastAsia="仿宋_GB2312" w:cs="Times New Roman"/>
          <w:color w:val="333333"/>
          <w:sz w:val="31"/>
          <w:szCs w:val="31"/>
          <w:shd w:val="clear" w:fill="FFFFFF"/>
        </w:rPr>
        <w:t>2</w:t>
      </w:r>
      <w:r>
        <w:rPr>
          <w:rFonts w:hint="default" w:ascii="仿宋_GB2312" w:hAnsi="微软雅黑" w:eastAsia="仿宋_GB2312" w:cs="仿宋_GB2312"/>
          <w:color w:val="333333"/>
          <w:sz w:val="31"/>
          <w:szCs w:val="31"/>
          <w:shd w:val="clear" w:fill="FFFFFF"/>
        </w:rPr>
        <w:t>、组织编纂地方志书、地方综合年鉴。</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ind w:left="0" w:firstLine="645"/>
        <w:textAlignment w:val="auto"/>
        <w:rPr>
          <w:color w:val="666666"/>
        </w:rPr>
      </w:pPr>
      <w:r>
        <w:rPr>
          <w:rFonts w:hint="default" w:ascii="Times New Roman" w:hAnsi="Times New Roman" w:eastAsia="仿宋_GB2312" w:cs="Times New Roman"/>
          <w:color w:val="333333"/>
          <w:sz w:val="31"/>
          <w:szCs w:val="31"/>
          <w:shd w:val="clear" w:fill="FFFFFF"/>
        </w:rPr>
        <w:t> 3</w:t>
      </w:r>
      <w:r>
        <w:rPr>
          <w:rFonts w:hint="default" w:ascii="仿宋_GB2312" w:hAnsi="微软雅黑" w:eastAsia="仿宋_GB2312" w:cs="仿宋_GB2312"/>
          <w:color w:val="333333"/>
          <w:sz w:val="31"/>
          <w:szCs w:val="31"/>
          <w:shd w:val="clear" w:fill="FFFFFF"/>
        </w:rPr>
        <w:t>、搜集、保存地方志文献和资料，组织整理旧志，推动方志理论研究。</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ind w:left="0" w:firstLine="645"/>
        <w:textAlignment w:val="auto"/>
        <w:rPr>
          <w:color w:val="666666"/>
        </w:rPr>
      </w:pPr>
      <w:r>
        <w:rPr>
          <w:rFonts w:hint="default" w:ascii="Times New Roman" w:hAnsi="Times New Roman" w:eastAsia="仿宋_GB2312" w:cs="Times New Roman"/>
          <w:color w:val="333333"/>
          <w:sz w:val="31"/>
          <w:szCs w:val="31"/>
          <w:shd w:val="clear" w:fill="FFFFFF"/>
        </w:rPr>
        <w:t> 4</w:t>
      </w:r>
      <w:r>
        <w:rPr>
          <w:rFonts w:hint="default" w:ascii="仿宋_GB2312" w:hAnsi="微软雅黑" w:eastAsia="仿宋_GB2312" w:cs="仿宋_GB2312"/>
          <w:color w:val="333333"/>
          <w:sz w:val="31"/>
          <w:szCs w:val="31"/>
          <w:shd w:val="clear" w:fill="FFFFFF"/>
        </w:rPr>
        <w:t>、组织开发利用地方志资源。</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ind w:left="0" w:firstLine="645"/>
        <w:textAlignment w:val="auto"/>
        <w:rPr>
          <w:color w:val="666666"/>
        </w:rPr>
      </w:pPr>
      <w:r>
        <w:rPr>
          <w:rFonts w:hint="default" w:ascii="Times New Roman" w:hAnsi="Times New Roman" w:eastAsia="仿宋_GB2312" w:cs="Times New Roman"/>
          <w:color w:val="333333"/>
          <w:sz w:val="31"/>
          <w:szCs w:val="31"/>
          <w:shd w:val="clear" w:fill="FFFFFF"/>
        </w:rPr>
        <w:t> 5</w:t>
      </w:r>
      <w:r>
        <w:rPr>
          <w:rFonts w:hint="default" w:ascii="仿宋_GB2312" w:hAnsi="微软雅黑" w:eastAsia="仿宋_GB2312" w:cs="仿宋_GB2312"/>
          <w:color w:val="333333"/>
          <w:sz w:val="31"/>
          <w:szCs w:val="31"/>
          <w:shd w:val="clear" w:fill="FFFFFF"/>
        </w:rPr>
        <w:t>、宣传、贯彻执行《地方志工作条例》及法律、法规、规章和相关政策。</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ind w:left="0" w:firstLine="645"/>
        <w:textAlignment w:val="auto"/>
        <w:rPr>
          <w:color w:val="666666"/>
        </w:rPr>
      </w:pPr>
      <w:r>
        <w:rPr>
          <w:rFonts w:hint="default" w:ascii="Times New Roman" w:hAnsi="Times New Roman" w:eastAsia="仿宋_GB2312" w:cs="Times New Roman"/>
          <w:color w:val="333333"/>
          <w:sz w:val="31"/>
          <w:szCs w:val="31"/>
          <w:shd w:val="clear" w:fill="FFFFFF"/>
        </w:rPr>
        <w:t>6</w:t>
      </w:r>
      <w:r>
        <w:rPr>
          <w:rFonts w:hint="default" w:ascii="仿宋_GB2312" w:hAnsi="微软雅黑" w:eastAsia="仿宋_GB2312" w:cs="仿宋_GB2312"/>
          <w:color w:val="333333"/>
          <w:sz w:val="31"/>
          <w:szCs w:val="31"/>
          <w:shd w:val="clear" w:fill="FFFFFF"/>
        </w:rPr>
        <w:t>、组织乡镇志、部门志的审查验收、备案。</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ind w:left="0" w:firstLine="645"/>
        <w:textAlignment w:val="auto"/>
        <w:rPr>
          <w:color w:val="666666"/>
        </w:rPr>
      </w:pPr>
      <w:r>
        <w:rPr>
          <w:rFonts w:hint="default" w:ascii="Times New Roman" w:hAnsi="Times New Roman" w:eastAsia="仿宋_GB2312" w:cs="Times New Roman"/>
          <w:color w:val="333333"/>
          <w:sz w:val="31"/>
          <w:szCs w:val="31"/>
          <w:shd w:val="clear" w:fill="FFFFFF"/>
        </w:rPr>
        <w:t> 7</w:t>
      </w:r>
      <w:r>
        <w:rPr>
          <w:rFonts w:hint="default" w:ascii="仿宋_GB2312" w:hAnsi="微软雅黑" w:eastAsia="仿宋_GB2312" w:cs="仿宋_GB2312"/>
          <w:color w:val="333333"/>
          <w:sz w:val="31"/>
          <w:szCs w:val="31"/>
          <w:shd w:val="clear" w:fill="FFFFFF"/>
        </w:rPr>
        <w:t>、培训乡镇志、部门志编纂人员。</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ind w:left="0" w:firstLine="645"/>
        <w:textAlignment w:val="auto"/>
        <w:rPr>
          <w:color w:val="666666"/>
        </w:rPr>
      </w:pPr>
      <w:r>
        <w:rPr>
          <w:rFonts w:hint="default" w:ascii="Times New Roman" w:hAnsi="Times New Roman" w:eastAsia="仿宋_GB2312" w:cs="Times New Roman"/>
          <w:color w:val="333333"/>
          <w:sz w:val="31"/>
          <w:szCs w:val="31"/>
          <w:shd w:val="clear" w:fill="FFFFFF"/>
        </w:rPr>
        <w:t>  8</w:t>
      </w:r>
      <w:r>
        <w:rPr>
          <w:rFonts w:hint="default" w:ascii="仿宋_GB2312" w:hAnsi="微软雅黑" w:eastAsia="仿宋_GB2312" w:cs="仿宋_GB2312"/>
          <w:color w:val="333333"/>
          <w:sz w:val="31"/>
          <w:szCs w:val="31"/>
          <w:shd w:val="clear" w:fill="FFFFFF"/>
        </w:rPr>
        <w:t>、指导各乡镇、县直各单位编纂乡镇志，部门志或专业志。</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ind w:left="0" w:firstLine="645"/>
        <w:textAlignment w:val="auto"/>
        <w:rPr>
          <w:color w:val="666666"/>
        </w:rPr>
      </w:pPr>
      <w:r>
        <w:rPr>
          <w:rFonts w:hint="default" w:ascii="Times New Roman" w:hAnsi="Times New Roman" w:eastAsia="仿宋_GB2312" w:cs="Times New Roman"/>
          <w:color w:val="333333"/>
          <w:sz w:val="31"/>
          <w:szCs w:val="31"/>
          <w:shd w:val="clear" w:fill="FFFFFF"/>
        </w:rPr>
        <w:t>  9</w:t>
      </w:r>
      <w:r>
        <w:rPr>
          <w:rFonts w:hint="default" w:ascii="仿宋_GB2312" w:hAnsi="微软雅黑" w:eastAsia="仿宋_GB2312" w:cs="仿宋_GB2312"/>
          <w:color w:val="333333"/>
          <w:sz w:val="31"/>
          <w:szCs w:val="31"/>
          <w:shd w:val="clear" w:fill="FFFFFF"/>
        </w:rPr>
        <w:t>、承办自治县人民政府和上级领导、业务部门委托、交办的工作任务。</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666666"/>
        </w:rPr>
      </w:pPr>
      <w:r>
        <w:rPr>
          <w:rFonts w:hint="default" w:ascii="Times New Roman" w:hAnsi="Times New Roman" w:eastAsia="仿宋_GB2312" w:cs="Times New Roman"/>
          <w:color w:val="333333"/>
          <w:sz w:val="31"/>
          <w:szCs w:val="31"/>
          <w:shd w:val="clear" w:fill="FFFFFF"/>
        </w:rPr>
        <w:t> </w:t>
      </w:r>
      <w:r>
        <w:rPr>
          <w:rFonts w:hint="default" w:ascii="仿宋_GB2312" w:hAnsi="微软雅黑" w:eastAsia="仿宋_GB2312" w:cs="仿宋_GB2312"/>
          <w:color w:val="333333"/>
          <w:sz w:val="31"/>
          <w:szCs w:val="31"/>
          <w:shd w:val="clear" w:fill="FFFFFF"/>
        </w:rPr>
        <w:t>  </w:t>
      </w:r>
      <w:r>
        <w:rPr>
          <w:rFonts w:hint="default" w:ascii="Times New Roman" w:hAnsi="Times New Roman" w:eastAsia="仿宋_GB2312" w:cs="Times New Roman"/>
          <w:color w:val="333333"/>
          <w:sz w:val="31"/>
          <w:szCs w:val="31"/>
          <w:shd w:val="clear" w:fill="FFFFFF"/>
        </w:rPr>
        <w:t>     10</w:t>
      </w:r>
      <w:r>
        <w:rPr>
          <w:rFonts w:hint="default" w:ascii="仿宋_GB2312" w:hAnsi="微软雅黑" w:eastAsia="仿宋_GB2312" w:cs="仿宋_GB2312"/>
          <w:color w:val="333333"/>
          <w:sz w:val="31"/>
          <w:szCs w:val="31"/>
          <w:shd w:val="clear" w:fill="FFFFFF"/>
        </w:rPr>
        <w:t>、其他工作。</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pStyle w:val="5"/>
        <w:keepNext w:val="0"/>
        <w:keepLines w:val="0"/>
        <w:widowControl/>
        <w:suppressLineNumbers w:val="0"/>
        <w:spacing w:line="555" w:lineRule="atLeast"/>
        <w:ind w:left="0" w:firstLine="645"/>
        <w:rPr>
          <w:color w:val="666666"/>
        </w:rPr>
      </w:pPr>
      <w:r>
        <w:rPr>
          <w:rFonts w:hint="default" w:ascii="Times New Roman" w:hAnsi="Times New Roman" w:eastAsia="仿宋_GB2312" w:cs="Times New Roman"/>
          <w:color w:val="333333"/>
          <w:sz w:val="31"/>
          <w:szCs w:val="31"/>
          <w:shd w:val="clear" w:fill="FFFFFF"/>
        </w:rPr>
        <w:t>202</w:t>
      </w:r>
      <w:r>
        <w:rPr>
          <w:rFonts w:hint="eastAsia" w:ascii="Times New Roman" w:hAnsi="Times New Roman" w:eastAsia="仿宋_GB2312" w:cs="Times New Roman"/>
          <w:color w:val="333333"/>
          <w:sz w:val="31"/>
          <w:szCs w:val="31"/>
          <w:shd w:val="clear" w:fill="FFFFFF"/>
          <w:lang w:val="en-US" w:eastAsia="zh-CN"/>
        </w:rPr>
        <w:t>2</w:t>
      </w:r>
      <w:r>
        <w:rPr>
          <w:rFonts w:hint="default" w:ascii="仿宋_GB2312" w:hAnsi="微软雅黑" w:eastAsia="仿宋_GB2312" w:cs="仿宋_GB2312"/>
          <w:color w:val="333333"/>
          <w:sz w:val="31"/>
          <w:szCs w:val="31"/>
          <w:shd w:val="clear" w:fill="FFFFFF"/>
        </w:rPr>
        <w:t>年度我单位的决算报表由</w:t>
      </w:r>
      <w:r>
        <w:rPr>
          <w:rFonts w:hint="default" w:ascii="Times New Roman" w:hAnsi="Times New Roman" w:eastAsia="仿宋_GB2312" w:cs="Times New Roman"/>
          <w:color w:val="333333"/>
          <w:sz w:val="31"/>
          <w:szCs w:val="31"/>
          <w:shd w:val="clear" w:fill="FFFFFF"/>
        </w:rPr>
        <w:t>1</w:t>
      </w:r>
      <w:r>
        <w:rPr>
          <w:rFonts w:hint="default" w:ascii="仿宋_GB2312" w:hAnsi="微软雅黑" w:eastAsia="仿宋_GB2312" w:cs="仿宋_GB2312"/>
          <w:color w:val="333333"/>
          <w:sz w:val="31"/>
          <w:szCs w:val="31"/>
          <w:shd w:val="clear" w:fill="FFFFFF"/>
        </w:rPr>
        <w:t>个行政单位决算报表构成</w:t>
      </w:r>
    </w:p>
    <w:p>
      <w:pPr>
        <w:jc w:val="both"/>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ind w:firstLine="3840" w:firstLineChars="1200"/>
        <w:jc w:val="both"/>
        <w:rPr>
          <w:rFonts w:hint="eastAsia" w:ascii="黑体" w:hAnsi="黑体" w:eastAsia="黑体" w:cs="黑体"/>
          <w:sz w:val="32"/>
          <w:szCs w:val="32"/>
          <w:highlight w:val="none"/>
        </w:rPr>
      </w:pPr>
      <w:r>
        <w:rPr>
          <w:rFonts w:hint="eastAsia" w:ascii="黑体" w:hAnsi="黑体" w:eastAsia="黑体" w:cs="黑体"/>
          <w:sz w:val="32"/>
          <w:szCs w:val="32"/>
          <w:highlight w:val="none"/>
        </w:rPr>
        <w:t>第二部分： 2022年度部门决算报表</w:t>
      </w:r>
    </w:p>
    <w:p>
      <w:pPr>
        <w:keepNext w:val="0"/>
        <w:keepLines w:val="0"/>
        <w:suppressLineNumbers w:val="0"/>
        <w:spacing w:before="0" w:beforeAutospacing="0" w:after="0" w:afterAutospacing="0"/>
        <w:ind w:left="0" w:right="0"/>
        <w:jc w:val="left"/>
        <w:rPr>
          <w:rFonts w:hint="eastAsia" w:ascii="黑体" w:hAnsi="黑体" w:eastAsia="黑体" w:cs="黑体"/>
          <w:sz w:val="32"/>
          <w:szCs w:val="32"/>
          <w:highlight w:val="none"/>
        </w:rPr>
      </w:pPr>
      <w:r>
        <w:rPr>
          <w:rFonts w:hint="eastAsia" w:ascii="仿宋" w:hAnsi="仿宋" w:eastAsia="仿宋" w:cs="仿宋"/>
          <w:sz w:val="24"/>
          <w:highlight w:val="none"/>
        </w:rPr>
        <w:t>表一：收入支出决算总表</w:t>
      </w:r>
    </w:p>
    <w:tbl>
      <w:tblPr>
        <w:tblStyle w:val="6"/>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08"/>
        <w:gridCol w:w="714"/>
        <w:gridCol w:w="953"/>
        <w:gridCol w:w="3824"/>
        <w:gridCol w:w="714"/>
        <w:gridCol w:w="17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部门：广西河池市环江毛南族自治县地方志编纂委员会办公室</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125.68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125.68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125.68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jc w:val="both"/>
        <w:rPr>
          <w:rFonts w:ascii="宋体" w:hAnsi="宋体" w:eastAsia="宋体" w:cs="宋体"/>
          <w:color w:val="000000"/>
          <w:kern w:val="0"/>
          <w:sz w:val="30"/>
          <w:szCs w:val="30"/>
          <w:highlight w:val="none"/>
          <w:lang w:bidi="ar"/>
        </w:rPr>
      </w:pPr>
    </w:p>
    <w:p>
      <w:pPr>
        <w:jc w:val="both"/>
        <w:rPr>
          <w:rFonts w:ascii="宋体" w:hAnsi="宋体" w:eastAsia="宋体" w:cs="宋体"/>
          <w:color w:val="000000"/>
          <w:kern w:val="0"/>
          <w:sz w:val="30"/>
          <w:szCs w:val="30"/>
          <w:highlight w:val="none"/>
          <w:lang w:bidi="ar"/>
        </w:rPr>
      </w:pPr>
    </w:p>
    <w:p>
      <w:pPr>
        <w:jc w:val="both"/>
        <w:rPr>
          <w:rFonts w:ascii="宋体" w:hAnsi="宋体" w:eastAsia="宋体" w:cs="宋体"/>
          <w:color w:val="000000"/>
          <w:kern w:val="0"/>
          <w:sz w:val="30"/>
          <w:szCs w:val="30"/>
          <w:highlight w:val="none"/>
          <w:lang w:bidi="ar"/>
        </w:rPr>
      </w:pPr>
    </w:p>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tbl>
      <w:tblPr>
        <w:tblStyle w:val="6"/>
        <w:tblW w:w="127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50"/>
        <w:gridCol w:w="221"/>
        <w:gridCol w:w="221"/>
        <w:gridCol w:w="3649"/>
        <w:gridCol w:w="735"/>
        <w:gridCol w:w="735"/>
        <w:gridCol w:w="563"/>
        <w:gridCol w:w="563"/>
        <w:gridCol w:w="563"/>
        <w:gridCol w:w="563"/>
        <w:gridCol w:w="1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2735"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部门：广西河池市环江毛南族自治县地方志编纂委员会办公室</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18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本年收入合计</w:t>
            </w:r>
          </w:p>
        </w:tc>
        <w:tc>
          <w:tcPr>
            <w:tcW w:w="126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财政拨款收入</w:t>
            </w:r>
          </w:p>
        </w:tc>
        <w:tc>
          <w:tcPr>
            <w:tcW w:w="106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上级补助收入</w:t>
            </w:r>
          </w:p>
        </w:tc>
        <w:tc>
          <w:tcPr>
            <w:tcW w:w="111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事业收入</w:t>
            </w:r>
          </w:p>
        </w:tc>
        <w:tc>
          <w:tcPr>
            <w:tcW w:w="111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经营收入</w:t>
            </w:r>
          </w:p>
        </w:tc>
        <w:tc>
          <w:tcPr>
            <w:tcW w:w="97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附属单位上缴收入</w:t>
            </w:r>
          </w:p>
        </w:tc>
        <w:tc>
          <w:tcPr>
            <w:tcW w:w="97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18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6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6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7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7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8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6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6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7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7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8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6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6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7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7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18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1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1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7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125.68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125.68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政府办公厅（室）及相关机构事务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2010301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2010305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专项业务及机关事务管理</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2010399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其他政府办公厅（室）及相关机构事务支出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群众团体事务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其他群众团体事务支出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注：本表反映部门本年度取得的各项收入情况。</w:t>
            </w:r>
          </w:p>
        </w:tc>
      </w:tr>
    </w:tbl>
    <w:p>
      <w:pPr>
        <w:jc w:val="both"/>
        <w:rPr>
          <w:rFonts w:ascii="仿宋" w:hAnsi="仿宋" w:eastAsia="仿宋" w:cs="仿宋"/>
          <w:sz w:val="24"/>
          <w:highlight w:val="none"/>
        </w:rPr>
      </w:pPr>
    </w:p>
    <w:p>
      <w:pPr>
        <w:jc w:val="both"/>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2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81"/>
        <w:gridCol w:w="221"/>
        <w:gridCol w:w="221"/>
        <w:gridCol w:w="3819"/>
        <w:gridCol w:w="761"/>
        <w:gridCol w:w="670"/>
        <w:gridCol w:w="670"/>
        <w:gridCol w:w="580"/>
        <w:gridCol w:w="580"/>
        <w:gridCol w:w="14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260" w:type="dxa"/>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部门：广西河池市环江毛南族自治县地方志编纂委员会办公室</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33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本年支出合计</w:t>
            </w:r>
          </w:p>
        </w:tc>
        <w:tc>
          <w:tcPr>
            <w:tcW w:w="1410" w:type="dxa"/>
            <w:vMerge w:val="restart"/>
            <w:tcBorders>
              <w:top w:val="single" w:color="000000" w:sz="4" w:space="0"/>
              <w:left w:val="nil"/>
              <w:bottom w:val="single" w:color="000000" w:sz="4" w:space="0"/>
              <w:right w:val="single" w:color="000000" w:sz="4" w:space="0"/>
            </w:tcBorders>
            <w:shd w:val="clear" w:color="FFFFFF" w:fill="BFBFB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1320" w:type="dxa"/>
            <w:vMerge w:val="restart"/>
            <w:tcBorders>
              <w:top w:val="single" w:color="000000" w:sz="4" w:space="0"/>
              <w:left w:val="nil"/>
              <w:bottom w:val="single" w:color="000000" w:sz="4" w:space="0"/>
              <w:right w:val="single" w:color="000000" w:sz="4" w:space="0"/>
            </w:tcBorders>
            <w:shd w:val="clear" w:color="FFFFFF" w:fill="BFBFB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124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上缴上级支出</w:t>
            </w:r>
          </w:p>
        </w:tc>
        <w:tc>
          <w:tcPr>
            <w:tcW w:w="127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经营支出</w:t>
            </w:r>
          </w:p>
        </w:tc>
        <w:tc>
          <w:tcPr>
            <w:tcW w:w="148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33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0" w:type="dxa"/>
            <w:vMerge w:val="continue"/>
            <w:tcBorders>
              <w:top w:val="single" w:color="000000" w:sz="4" w:space="0"/>
              <w:left w:val="nil"/>
              <w:bottom w:val="single" w:color="000000" w:sz="4" w:space="0"/>
              <w:right w:val="single" w:color="000000" w:sz="4" w:space="0"/>
            </w:tcBorders>
            <w:shd w:val="clear" w:color="FFFFFF" w:fill="BFBFB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320" w:type="dxa"/>
            <w:vMerge w:val="continue"/>
            <w:tcBorders>
              <w:top w:val="single" w:color="000000" w:sz="4" w:space="0"/>
              <w:left w:val="nil"/>
              <w:bottom w:val="single" w:color="000000" w:sz="4" w:space="0"/>
              <w:right w:val="single" w:color="000000" w:sz="4" w:space="0"/>
            </w:tcBorders>
            <w:shd w:val="clear" w:color="FFFFFF" w:fill="BFBFB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4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7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33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0" w:type="dxa"/>
            <w:vMerge w:val="continue"/>
            <w:tcBorders>
              <w:top w:val="single" w:color="000000" w:sz="4" w:space="0"/>
              <w:left w:val="nil"/>
              <w:bottom w:val="single" w:color="000000" w:sz="4" w:space="0"/>
              <w:right w:val="single" w:color="000000" w:sz="4" w:space="0"/>
            </w:tcBorders>
            <w:shd w:val="clear" w:color="FFFFFF" w:fill="BFBFB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320" w:type="dxa"/>
            <w:vMerge w:val="continue"/>
            <w:tcBorders>
              <w:top w:val="single" w:color="000000" w:sz="4" w:space="0"/>
              <w:left w:val="nil"/>
              <w:bottom w:val="single" w:color="000000" w:sz="4" w:space="0"/>
              <w:right w:val="single" w:color="000000" w:sz="4" w:space="0"/>
            </w:tcBorders>
            <w:shd w:val="clear" w:color="FFFFFF" w:fill="BFBFB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4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7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33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0" w:type="dxa"/>
            <w:vMerge w:val="continue"/>
            <w:tcBorders>
              <w:top w:val="single" w:color="000000" w:sz="4" w:space="0"/>
              <w:left w:val="nil"/>
              <w:bottom w:val="single" w:color="000000" w:sz="4" w:space="0"/>
              <w:right w:val="single" w:color="000000" w:sz="4" w:space="0"/>
            </w:tcBorders>
            <w:shd w:val="clear" w:color="FFFFFF" w:fill="BFBFB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320" w:type="dxa"/>
            <w:vMerge w:val="continue"/>
            <w:tcBorders>
              <w:top w:val="single" w:color="000000" w:sz="4" w:space="0"/>
              <w:left w:val="nil"/>
              <w:bottom w:val="single" w:color="000000" w:sz="4" w:space="0"/>
              <w:right w:val="single" w:color="000000" w:sz="4" w:space="0"/>
            </w:tcBorders>
            <w:shd w:val="clear" w:color="FFFFFF" w:fill="BFBFB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4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7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33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2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4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8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125.68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88.88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36.80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36.80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政府办公厅（室）及相关机构事务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36.80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2010301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2010305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专项业务及机关事务管理</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2010399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其他政府办公厅（室）及相关机构事务支出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群众团体事务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其他群众团体事务支出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13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01"/>
        <w:gridCol w:w="412"/>
        <w:gridCol w:w="803"/>
        <w:gridCol w:w="3152"/>
        <w:gridCol w:w="412"/>
        <w:gridCol w:w="803"/>
        <w:gridCol w:w="803"/>
        <w:gridCol w:w="608"/>
        <w:gridCol w:w="15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3845"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部门：广西河池市环江毛南族自治县地方志编纂委员会办公室</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2970"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133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327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41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一般公共预算财政拨款</w:t>
            </w:r>
          </w:p>
        </w:tc>
        <w:tc>
          <w:tcPr>
            <w:tcW w:w="124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政府性基金预算财政拨款</w:t>
            </w:r>
          </w:p>
        </w:tc>
        <w:tc>
          <w:tcPr>
            <w:tcW w:w="127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5" w:hRule="atLeast"/>
        </w:trPr>
        <w:tc>
          <w:tcPr>
            <w:tcW w:w="2970" w:type="dxa"/>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7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33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27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7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4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7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125.68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125.68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年初财政拨款结转和结余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年末财政拨款结转和结余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125.68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8"/>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1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16"/>
        <w:gridCol w:w="222"/>
        <w:gridCol w:w="222"/>
        <w:gridCol w:w="4616"/>
        <w:gridCol w:w="882"/>
        <w:gridCol w:w="771"/>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670" w:type="dxa"/>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部门：广西河池市环江毛南族自治县地方志编纂委员会办公室</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50"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5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50" w:type="dxa"/>
            <w:vMerge w:val="restart"/>
            <w:tcBorders>
              <w:top w:val="nil"/>
              <w:left w:val="nil"/>
              <w:bottom w:val="single" w:color="000000" w:sz="4" w:space="0"/>
              <w:right w:val="single" w:color="000000" w:sz="4" w:space="0"/>
            </w:tcBorders>
            <w:shd w:val="clear" w:color="FFFFFF" w:fill="BFBFB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50" w:type="dxa"/>
            <w:vMerge w:val="restart"/>
            <w:tcBorders>
              <w:top w:val="nil"/>
              <w:left w:val="nil"/>
              <w:bottom w:val="single" w:color="000000" w:sz="4" w:space="0"/>
              <w:right w:val="single" w:color="000000" w:sz="4" w:space="0"/>
            </w:tcBorders>
            <w:shd w:val="clear" w:color="FFFFFF" w:fill="BFBFB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BFBFB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BFBFB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BFBFB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BFBFB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125.68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88.88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专项业务及机关事务管理</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其他政府办公厅（室）及相关机构事务支出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tbl>
      <w:tblPr>
        <w:tblStyle w:val="6"/>
        <w:tblW w:w="131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05"/>
        <w:gridCol w:w="2211"/>
        <w:gridCol w:w="548"/>
        <w:gridCol w:w="548"/>
        <w:gridCol w:w="1546"/>
        <w:gridCol w:w="482"/>
        <w:gridCol w:w="548"/>
        <w:gridCol w:w="2742"/>
        <w:gridCol w:w="12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311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部门：广西河池市环江毛南族自治县地方志编纂委员会办公室</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w:t>
            </w:r>
          </w:p>
        </w:tc>
        <w:tc>
          <w:tcPr>
            <w:tcW w:w="0" w:type="auto"/>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735"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科目代码</w:t>
            </w:r>
          </w:p>
        </w:tc>
        <w:tc>
          <w:tcPr>
            <w:tcW w:w="274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94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决算数</w:t>
            </w:r>
          </w:p>
        </w:tc>
        <w:tc>
          <w:tcPr>
            <w:tcW w:w="73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科目代码</w:t>
            </w:r>
          </w:p>
        </w:tc>
        <w:tc>
          <w:tcPr>
            <w:tcW w:w="189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84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决算数</w:t>
            </w:r>
          </w:p>
        </w:tc>
        <w:tc>
          <w:tcPr>
            <w:tcW w:w="73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科目代码</w:t>
            </w:r>
          </w:p>
        </w:tc>
        <w:tc>
          <w:tcPr>
            <w:tcW w:w="357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91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35" w:type="dxa"/>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74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94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3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89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4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3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57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91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工资福利支出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81.22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商品和服务支出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债务利息及费用支出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基本工资</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办公费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国内债务付息</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津贴补贴</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印刷费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国外债务付息</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奖金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咨询费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资本性支出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伙食补助费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手续费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房屋建筑物购建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绩效工资</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办公设备购置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机关事业单位基本养老保险缴费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电费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专用设备购置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职业年金缴费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邮电费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基础设施建设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职工基本医疗保险缴费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取暖费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大型修缮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公务员医疗补助缴费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物业管理费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信息网络及软件购置更新</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其他社会保障缴费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差旅费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物资储备</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因公出国（境）费用</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土地补偿</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医疗费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维修（护）费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安置补助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30199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其他工资福利支出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租赁费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地上附着物和青苗补偿</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对个人和家庭的补助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会议费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拆迁补偿</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离休费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培训费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公务用车购置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退休费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公务接待费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其他交通工具购置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退职（役）费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专用材料费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31021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文物和陈列品购置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抚恤金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被装购置费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31022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无形资产购置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生活补助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专用燃料费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31099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其他资本性支出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救济费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劳务费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医疗费补助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委托业务费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国家赔偿费用支出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助学金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工会经费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对民间非营利组织和群众性自治组织补贴</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奖励金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福利费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经常性赠与</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30310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个人农业生产补贴</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公务用车运行维护费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39910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资本性赠与</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30311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代缴社会保险费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其他交通费用</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39999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30399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其他对个人和家庭的补助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30240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税金及附加费用</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其他商品和服务支出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86.23</w:t>
            </w:r>
          </w:p>
        </w:tc>
        <w:tc>
          <w:tcPr>
            <w:tcW w:w="0" w:type="auto"/>
            <w:gridSpan w:val="5"/>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9"/>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注：本表反映部门本年度一般公共预算财政拨款基本支出明细情况。</w:t>
            </w:r>
          </w:p>
        </w:tc>
      </w:tr>
    </w:tbl>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tbl>
      <w:tblPr>
        <w:tblStyle w:val="6"/>
        <w:tblW w:w="12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16"/>
        <w:gridCol w:w="222"/>
        <w:gridCol w:w="222"/>
        <w:gridCol w:w="1096"/>
        <w:gridCol w:w="759"/>
        <w:gridCol w:w="682"/>
        <w:gridCol w:w="695"/>
        <w:gridCol w:w="692"/>
        <w:gridCol w:w="696"/>
        <w:gridCol w:w="1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2540" w:type="dxa"/>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部门：广西河池市环江毛南族自治县地方志编纂委员会办公室</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59"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682"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2083"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86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6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5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8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9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692"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69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86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0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5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8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9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92"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96"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6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0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59"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8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9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92"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96"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6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pPr>
        <w:jc w:val="left"/>
        <w:rPr>
          <w:rFonts w:hint="eastAsia" w:ascii="仿宋" w:hAnsi="仿宋" w:eastAsia="仿宋" w:cs="仿宋"/>
          <w:sz w:val="24"/>
          <w:highlight w:val="none"/>
        </w:rPr>
      </w:pP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说明：“本部门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tbl>
      <w:tblPr>
        <w:tblStyle w:val="6"/>
        <w:tblW w:w="99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16"/>
        <w:gridCol w:w="222"/>
        <w:gridCol w:w="222"/>
        <w:gridCol w:w="1096"/>
        <w:gridCol w:w="571"/>
        <w:gridCol w:w="553"/>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9960" w:type="dxa"/>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部门：广西河池市环江毛南族自治县地方志编纂委员会办公室</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804"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06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71"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53"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8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0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1"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53"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0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1"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53"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pPr>
        <w:jc w:val="left"/>
        <w:rPr>
          <w:rFonts w:hint="eastAsia" w:ascii="仿宋" w:hAnsi="仿宋" w:eastAsia="仿宋" w:cs="仿宋"/>
          <w:color w:val="auto"/>
          <w:sz w:val="24"/>
          <w:highlight w:val="none"/>
        </w:rPr>
      </w:pPr>
    </w:p>
    <w:p>
      <w:pPr>
        <w:keepNext w:val="0"/>
        <w:keepLines w:val="0"/>
        <w:widowControl w:val="0"/>
        <w:suppressLineNumbers w:val="0"/>
        <w:spacing w:before="0" w:beforeAutospacing="0" w:after="0" w:afterAutospacing="0"/>
        <w:ind w:left="0" w:right="0" w:firstLine="1890" w:firstLineChars="900"/>
        <w:jc w:val="both"/>
        <w:rPr>
          <w:rFonts w:hint="default"/>
          <w:color w:val="auto"/>
        </w:rPr>
      </w:pPr>
      <w:r>
        <w:rPr>
          <w:rFonts w:hint="eastAsia" w:ascii="宋体" w:hAnsi="宋体" w:eastAsia="宋体" w:cs="宋体"/>
          <w:color w:val="auto"/>
          <w:kern w:val="2"/>
          <w:sz w:val="21"/>
          <w:szCs w:val="21"/>
          <w:lang w:val="en-US" w:eastAsia="zh-CN" w:bidi="ar"/>
        </w:rPr>
        <w:t>说明：“本部门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p>
      <w:pPr>
        <w:ind w:firstLine="420" w:firstLineChars="0"/>
        <w:jc w:val="left"/>
        <w:rPr>
          <w:rFonts w:ascii="仿宋" w:hAnsi="仿宋" w:eastAsia="仿宋" w:cs="仿宋"/>
          <w:sz w:val="24"/>
          <w:highlight w:val="none"/>
        </w:rPr>
      </w:pP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pPr>
        <w:ind w:firstLine="420" w:firstLineChars="0"/>
        <w:jc w:val="left"/>
        <w:rPr>
          <w:rFonts w:ascii="仿宋" w:hAnsi="仿宋" w:eastAsia="仿宋" w:cs="仿宋"/>
          <w:sz w:val="24"/>
          <w:highlight w:val="none"/>
        </w:rPr>
      </w:pPr>
    </w:p>
    <w:tbl>
      <w:tblPr>
        <w:tblStyle w:val="6"/>
        <w:tblW w:w="125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16"/>
        <w:gridCol w:w="884"/>
        <w:gridCol w:w="442"/>
        <w:gridCol w:w="443"/>
        <w:gridCol w:w="442"/>
        <w:gridCol w:w="442"/>
        <w:gridCol w:w="442"/>
        <w:gridCol w:w="885"/>
        <w:gridCol w:w="442"/>
        <w:gridCol w:w="443"/>
        <w:gridCol w:w="443"/>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540" w:type="dxa"/>
            <w:gridSpan w:val="1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jc w:val="center"/>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部门：广西河池市环江毛南族自治县地方志编纂委员会办公室</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075" w:type="dxa"/>
            <w:gridSpan w:val="6"/>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465" w:type="dxa"/>
            <w:gridSpan w:val="6"/>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870"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5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135" w:type="dxa"/>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02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90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2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330" w:type="dxa"/>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11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870" w:type="dxa"/>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9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02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0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2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1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1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11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870"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5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2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0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2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0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1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1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1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12540" w:type="dxa"/>
            <w:gridSpan w:val="12"/>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keepNext w:val="0"/>
        <w:keepLines w:val="0"/>
        <w:pageBreakBefore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hint="eastAsia" w:ascii="仿宋" w:hAnsi="仿宋" w:eastAsia="仿宋" w:cs="仿宋"/>
          <w:sz w:val="32"/>
          <w:szCs w:val="32"/>
          <w:highlight w:val="none"/>
          <w:lang w:val="en-US" w:eastAsia="zh-CN"/>
        </w:rPr>
        <w:t>125.68</w:t>
      </w:r>
      <w:r>
        <w:rPr>
          <w:rFonts w:hint="eastAsia" w:ascii="仿宋" w:hAnsi="仿宋" w:eastAsia="仿宋" w:cs="仿宋"/>
          <w:sz w:val="32"/>
          <w:szCs w:val="32"/>
          <w:highlight w:val="none"/>
        </w:rPr>
        <w:t>万元，较2021年度决算数</w:t>
      </w:r>
      <w:r>
        <w:rPr>
          <w:rFonts w:hint="eastAsia" w:ascii="仿宋" w:hAnsi="仿宋" w:eastAsia="仿宋" w:cs="仿宋"/>
          <w:sz w:val="32"/>
          <w:szCs w:val="32"/>
          <w:highlight w:val="none"/>
          <w:lang w:eastAsia="zh-CN"/>
        </w:rPr>
        <w:t>增加</w:t>
      </w:r>
      <w:r>
        <w:rPr>
          <w:rFonts w:hint="eastAsia" w:ascii="仿宋" w:hAnsi="仿宋" w:eastAsia="仿宋" w:cs="仿宋"/>
          <w:sz w:val="32"/>
          <w:szCs w:val="32"/>
          <w:highlight w:val="none"/>
          <w:lang w:val="en-US" w:eastAsia="zh-CN"/>
        </w:rPr>
        <w:t>12.74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增加</w:t>
      </w:r>
      <w:r>
        <w:rPr>
          <w:rFonts w:hint="eastAsia" w:ascii="仿宋" w:hAnsi="仿宋" w:eastAsia="仿宋" w:cs="仿宋"/>
          <w:sz w:val="32"/>
          <w:szCs w:val="32"/>
          <w:highlight w:val="none"/>
          <w:lang w:val="en-US" w:eastAsia="zh-CN"/>
        </w:rPr>
        <w:t>11.28</w:t>
      </w:r>
      <w:r>
        <w:rPr>
          <w:rFonts w:hint="eastAsia" w:ascii="仿宋" w:hAnsi="仿宋" w:eastAsia="仿宋" w:cs="仿宋"/>
          <w:sz w:val="32"/>
          <w:u w:color="auto"/>
          <w:lang w:val="en-US" w:eastAsia="zh-CN"/>
        </w:rPr>
        <w:t>%</w:t>
      </w:r>
      <w:r>
        <w:rPr>
          <w:rFonts w:hint="eastAsia" w:ascii="仿宋" w:hAnsi="仿宋" w:eastAsia="仿宋" w:cs="仿宋"/>
          <w:sz w:val="32"/>
          <w:szCs w:val="32"/>
          <w:highlight w:val="none"/>
        </w:rPr>
        <w:t>，其中本年收入</w:t>
      </w:r>
      <w:r>
        <w:rPr>
          <w:rFonts w:hint="eastAsia" w:ascii="仿宋" w:hAnsi="仿宋" w:eastAsia="仿宋" w:cs="仿宋"/>
          <w:sz w:val="32"/>
          <w:szCs w:val="32"/>
          <w:highlight w:val="none"/>
          <w:lang w:val="en-US" w:eastAsia="zh-CN"/>
        </w:rPr>
        <w:t>125.68</w:t>
      </w:r>
      <w:r>
        <w:rPr>
          <w:rFonts w:hint="eastAsia" w:ascii="仿宋" w:hAnsi="仿宋" w:eastAsia="仿宋" w:cs="仿宋"/>
          <w:sz w:val="32"/>
          <w:szCs w:val="32"/>
          <w:highlight w:val="none"/>
        </w:rPr>
        <w:t>万元。收入具体情况如下。</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30"/>
        <w:textAlignment w:val="auto"/>
        <w:rPr>
          <w:rFonts w:hint="eastAsia" w:ascii="仿宋_GB2312" w:hAnsi="微软雅黑" w:eastAsia="仿宋_GB2312" w:cs="仿宋_GB2312"/>
          <w:color w:val="000000" w:themeColor="text1"/>
          <w:sz w:val="31"/>
          <w:szCs w:val="31"/>
          <w:shd w:val="clear" w:fill="FFFFFF"/>
          <w:lang w:eastAsia="zh-CN"/>
          <w14:textFill>
            <w14:solidFill>
              <w14:schemeClr w14:val="tx1"/>
            </w14:solidFill>
          </w14:textFill>
        </w:rPr>
      </w:pPr>
      <w:r>
        <w:rPr>
          <w:rFonts w:hint="default" w:ascii="仿宋_GB2312" w:hAnsi="微软雅黑" w:eastAsia="仿宋_GB2312" w:cs="仿宋_GB2312"/>
          <w:color w:val="000000" w:themeColor="text1"/>
          <w:sz w:val="31"/>
          <w:szCs w:val="31"/>
          <w:shd w:val="clear" w:fill="FFFFFF"/>
          <w14:textFill>
            <w14:solidFill>
              <w14:schemeClr w14:val="tx1"/>
            </w14:solidFill>
          </w14:textFill>
        </w:rPr>
        <w:t>1.一般公共预算财政拨款收入</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125.68</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万元，为自治区本级财政当年拨付的资金。较202</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1</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年度决算数</w:t>
      </w:r>
      <w:r>
        <w:rPr>
          <w:rFonts w:hint="eastAsia" w:ascii="仿宋_GB2312" w:hAnsi="微软雅黑" w:eastAsia="仿宋_GB2312" w:cs="仿宋_GB2312"/>
          <w:color w:val="000000" w:themeColor="text1"/>
          <w:sz w:val="31"/>
          <w:szCs w:val="31"/>
          <w:shd w:val="clear" w:fill="FFFFFF"/>
          <w:lang w:eastAsia="zh-CN"/>
          <w14:textFill>
            <w14:solidFill>
              <w14:schemeClr w14:val="tx1"/>
            </w14:solidFill>
          </w14:textFill>
        </w:rPr>
        <w:t>增加</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12.74</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万元，</w:t>
      </w:r>
      <w:r>
        <w:rPr>
          <w:rFonts w:hint="eastAsia" w:ascii="仿宋" w:hAnsi="仿宋" w:eastAsia="仿宋" w:cs="仿宋"/>
          <w:sz w:val="32"/>
          <w:szCs w:val="32"/>
          <w:highlight w:val="none"/>
          <w:lang w:eastAsia="zh-CN"/>
        </w:rPr>
        <w:t>增加</w:t>
      </w:r>
      <w:r>
        <w:rPr>
          <w:rFonts w:hint="eastAsia" w:ascii="仿宋" w:hAnsi="仿宋" w:eastAsia="仿宋" w:cs="仿宋"/>
          <w:sz w:val="32"/>
          <w:szCs w:val="32"/>
          <w:highlight w:val="none"/>
          <w:lang w:val="en-US" w:eastAsia="zh-CN"/>
        </w:rPr>
        <w:t>11.28</w:t>
      </w:r>
      <w:r>
        <w:rPr>
          <w:rFonts w:hint="eastAsia" w:ascii="仿宋" w:hAnsi="仿宋" w:eastAsia="仿宋" w:cs="仿宋"/>
          <w:sz w:val="32"/>
          <w:u w:color="auto"/>
          <w:lang w:val="en-US" w:eastAsia="zh-CN"/>
        </w:rPr>
        <w:t>%</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 %，主要原因:</w:t>
      </w:r>
      <w:r>
        <w:rPr>
          <w:rFonts w:hint="eastAsia" w:ascii="仿宋_GB2312" w:hAnsi="微软雅黑" w:eastAsia="仿宋_GB2312" w:cs="仿宋_GB2312"/>
          <w:color w:val="000000" w:themeColor="text1"/>
          <w:sz w:val="31"/>
          <w:szCs w:val="31"/>
          <w:shd w:val="clear" w:fill="FFFFFF"/>
          <w:lang w:eastAsia="zh-CN"/>
          <w14:textFill>
            <w14:solidFill>
              <w14:schemeClr w14:val="tx1"/>
            </w14:solidFill>
          </w14:textFill>
        </w:rPr>
        <w:t>收入增加。</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30"/>
        <w:textAlignment w:val="auto"/>
        <w:rPr>
          <w:color w:val="000000" w:themeColor="text1"/>
          <w14:textFill>
            <w14:solidFill>
              <w14:schemeClr w14:val="tx1"/>
            </w14:solidFill>
          </w14:textFill>
        </w:rPr>
      </w:pPr>
      <w:r>
        <w:rPr>
          <w:rFonts w:hint="default" w:ascii="仿宋_GB2312" w:hAnsi="微软雅黑" w:eastAsia="仿宋_GB2312" w:cs="仿宋_GB2312"/>
          <w:color w:val="000000" w:themeColor="text1"/>
          <w:sz w:val="31"/>
          <w:szCs w:val="31"/>
          <w:shd w:val="clear" w:fill="FFFFFF"/>
          <w14:textFill>
            <w14:solidFill>
              <w14:schemeClr w14:val="tx1"/>
            </w14:solidFill>
          </w14:textFill>
        </w:rPr>
        <w:t>2.政府性基金预算财政拨款收入0万元，为自治区本级财政当年拨付的资金。较202</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1</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年度决算数增加（减少）0万元，增长（下降）0%。</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30"/>
        <w:textAlignment w:val="auto"/>
        <w:rPr>
          <w:color w:val="000000" w:themeColor="text1"/>
          <w14:textFill>
            <w14:solidFill>
              <w14:schemeClr w14:val="tx1"/>
            </w14:solidFill>
          </w14:textFill>
        </w:rPr>
      </w:pPr>
      <w:r>
        <w:rPr>
          <w:rFonts w:hint="default" w:ascii="仿宋_GB2312" w:hAnsi="微软雅黑" w:eastAsia="仿宋_GB2312" w:cs="仿宋_GB2312"/>
          <w:color w:val="000000" w:themeColor="text1"/>
          <w:sz w:val="31"/>
          <w:szCs w:val="31"/>
          <w:shd w:val="clear" w:fill="FFFFFF"/>
          <w14:textFill>
            <w14:solidFill>
              <w14:schemeClr w14:val="tx1"/>
            </w14:solidFill>
          </w14:textFill>
        </w:rPr>
        <w:t>3.国有资本经营预算财政拨款收入0万元，为自治区本级财政当年拨付的资金。较202</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1</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年度决算数增加（减少）0万元，增长（下降）0 %，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30"/>
        <w:textAlignment w:val="auto"/>
        <w:rPr>
          <w:color w:val="000000" w:themeColor="text1"/>
          <w14:textFill>
            <w14:solidFill>
              <w14:schemeClr w14:val="tx1"/>
            </w14:solidFill>
          </w14:textFill>
        </w:rPr>
      </w:pPr>
      <w:r>
        <w:rPr>
          <w:rFonts w:hint="default" w:ascii="仿宋_GB2312" w:hAnsi="微软雅黑" w:eastAsia="仿宋_GB2312" w:cs="仿宋_GB2312"/>
          <w:color w:val="000000" w:themeColor="text1"/>
          <w:sz w:val="31"/>
          <w:szCs w:val="31"/>
          <w:shd w:val="clear" w:fill="FFFFFF"/>
          <w14:textFill>
            <w14:solidFill>
              <w14:schemeClr w14:val="tx1"/>
            </w14:solidFill>
          </w14:textFill>
        </w:rPr>
        <w:t>4.事业收入0万元，为事业单位开展业务活动取得的收入。较2020年度决算数增加（减少）0万元，增长（下降）0%。</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30"/>
        <w:textAlignment w:val="auto"/>
        <w:rPr>
          <w:color w:val="000000" w:themeColor="text1"/>
          <w14:textFill>
            <w14:solidFill>
              <w14:schemeClr w14:val="tx1"/>
            </w14:solidFill>
          </w14:textFill>
        </w:rPr>
      </w:pPr>
      <w:r>
        <w:rPr>
          <w:rFonts w:hint="default" w:ascii="仿宋_GB2312" w:hAnsi="微软雅黑" w:eastAsia="仿宋_GB2312" w:cs="仿宋_GB2312"/>
          <w:color w:val="000000" w:themeColor="text1"/>
          <w:sz w:val="31"/>
          <w:szCs w:val="31"/>
          <w:shd w:val="clear" w:fill="FFFFFF"/>
          <w14:textFill>
            <w14:solidFill>
              <w14:schemeClr w14:val="tx1"/>
            </w14:solidFill>
          </w14:textFill>
        </w:rPr>
        <w:t>5.经营收入0万，为事业单位在业务活动之外开展非独立核算经营活动取得的收入。较202</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1</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年度决算数增加（减少）  0万元，增长（下降）0 %。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30"/>
        <w:textAlignment w:val="auto"/>
        <w:rPr>
          <w:color w:val="000000" w:themeColor="text1"/>
          <w14:textFill>
            <w14:solidFill>
              <w14:schemeClr w14:val="tx1"/>
            </w14:solidFill>
          </w14:textFill>
        </w:rPr>
      </w:pPr>
      <w:r>
        <w:rPr>
          <w:rFonts w:hint="default" w:ascii="仿宋_GB2312" w:hAnsi="微软雅黑" w:eastAsia="仿宋_GB2312" w:cs="仿宋_GB2312"/>
          <w:color w:val="000000" w:themeColor="text1"/>
          <w:sz w:val="31"/>
          <w:szCs w:val="31"/>
          <w:shd w:val="clear" w:fill="FFFFFF"/>
          <w14:textFill>
            <w14:solidFill>
              <w14:schemeClr w14:val="tx1"/>
            </w14:solidFill>
          </w14:textFill>
        </w:rPr>
        <w:t>6.其他收入0万元，为预算单位在“财政拨款收入”</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textAlignment w:val="auto"/>
        <w:rPr>
          <w:color w:val="000000" w:themeColor="text1"/>
          <w14:textFill>
            <w14:solidFill>
              <w14:schemeClr w14:val="tx1"/>
            </w14:solidFill>
          </w14:textFill>
        </w:rPr>
      </w:pPr>
      <w:r>
        <w:rPr>
          <w:rFonts w:hint="default" w:ascii="仿宋_GB2312" w:hAnsi="微软雅黑" w:eastAsia="仿宋_GB2312" w:cs="仿宋_GB2312"/>
          <w:color w:val="000000" w:themeColor="text1"/>
          <w:sz w:val="31"/>
          <w:szCs w:val="31"/>
          <w:shd w:val="clear" w:fill="FFFFFF"/>
          <w14:textFill>
            <w14:solidFill>
              <w14:schemeClr w14:val="tx1"/>
            </w14:solidFill>
          </w14:textFill>
        </w:rPr>
        <w:t>“事业收入”“经营收入”之外取得的收入。如：较202</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1</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年度决算数增加（减少）0万元，增长（下降）0 %。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30"/>
        <w:textAlignment w:val="auto"/>
        <w:rPr>
          <w:color w:val="000000" w:themeColor="text1"/>
          <w14:textFill>
            <w14:solidFill>
              <w14:schemeClr w14:val="tx1"/>
            </w14:solidFill>
          </w14:textFill>
        </w:rPr>
      </w:pPr>
      <w:r>
        <w:rPr>
          <w:rFonts w:hint="default" w:ascii="仿宋_GB2312" w:hAnsi="微软雅黑" w:eastAsia="仿宋_GB2312" w:cs="仿宋_GB2312"/>
          <w:color w:val="000000" w:themeColor="text1"/>
          <w:sz w:val="31"/>
          <w:szCs w:val="31"/>
          <w:shd w:val="clear" w:fill="FFFFFF"/>
          <w14:textFill>
            <w14:solidFill>
              <w14:schemeClr w14:val="tx1"/>
            </w14:solidFill>
          </w14:textFill>
        </w:rPr>
        <w:t>7.使用非财政拨款结余 0 万元，主要是所属事业单位在当年的“财政拨款收入”“事业收入”“经营收入”及“其他收入”不能保证其支出的情况下，使用以前年度积累的非财政拨款结余弥补本年度收支缺口的资金。较202</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1</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年度决算数增加（减少） 0 万元，增长（下降） 0 %。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30"/>
        <w:textAlignment w:val="auto"/>
        <w:rPr>
          <w:rFonts w:hint="default" w:ascii="仿宋_GB2312" w:hAnsi="微软雅黑" w:eastAsia="仿宋_GB2312" w:cs="仿宋_GB2312"/>
          <w:color w:val="000000" w:themeColor="text1"/>
          <w:sz w:val="31"/>
          <w:szCs w:val="31"/>
          <w:shd w:val="clear" w:fill="FFFFFF"/>
          <w14:textFill>
            <w14:solidFill>
              <w14:schemeClr w14:val="tx1"/>
            </w14:solidFill>
          </w14:textFill>
        </w:rPr>
      </w:pPr>
      <w:r>
        <w:rPr>
          <w:rFonts w:hint="default" w:ascii="仿宋_GB2312" w:hAnsi="微软雅黑" w:eastAsia="仿宋_GB2312" w:cs="仿宋_GB2312"/>
          <w:color w:val="000000" w:themeColor="text1"/>
          <w:sz w:val="31"/>
          <w:szCs w:val="31"/>
          <w:shd w:val="clear" w:fill="FFFFFF"/>
          <w14:textFill>
            <w14:solidFill>
              <w14:schemeClr w14:val="tx1"/>
            </w14:solidFill>
          </w14:textFill>
        </w:rPr>
        <w:t>8.上年结转和结余 0 万元，为以前年度支出预算因客观条件变化未执行完毕、结转到本年度按有关规定继续使用的资金。较202</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1</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年度决算数增加（减少）0 万元，增长（下降） 0 %。</w:t>
      </w:r>
    </w:p>
    <w:p>
      <w:pPr>
        <w:pStyle w:val="5"/>
        <w:keepNext w:val="0"/>
        <w:keepLines w:val="0"/>
        <w:widowControl/>
        <w:suppressLineNumbers w:val="0"/>
        <w:spacing w:line="555" w:lineRule="atLeast"/>
        <w:ind w:left="0" w:firstLine="630"/>
        <w:rPr>
          <w:rFonts w:hint="default" w:ascii="仿宋_GB2312" w:hAnsi="微软雅黑" w:eastAsia="仿宋_GB2312" w:cs="仿宋_GB2312"/>
          <w:color w:val="000000" w:themeColor="text1"/>
          <w:sz w:val="31"/>
          <w:szCs w:val="31"/>
          <w:shd w:val="clear" w:fill="FFFFFF"/>
          <w14:textFill>
            <w14:solidFill>
              <w14:schemeClr w14:val="tx1"/>
            </w14:solidFill>
          </w14:textFill>
        </w:rPr>
      </w:pPr>
      <w:r>
        <w:rPr>
          <w:rFonts w:hint="eastAsia" w:ascii="仿宋" w:hAnsi="仿宋" w:eastAsia="仿宋" w:cs="仿宋"/>
          <w:sz w:val="32"/>
          <w:szCs w:val="32"/>
          <w:highlight w:val="none"/>
        </w:rPr>
        <w:drawing>
          <wp:inline distT="0" distB="0" distL="114300" distR="114300">
            <wp:extent cx="5080000" cy="3810000"/>
            <wp:effectExtent l="4445" t="4445" r="20955" b="1460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30"/>
        <w:textAlignment w:val="auto"/>
        <w:rPr>
          <w:color w:val="000000" w:themeColor="text1"/>
          <w14:textFill>
            <w14:solidFill>
              <w14:schemeClr w14:val="tx1"/>
            </w14:solidFill>
          </w14:textFill>
        </w:rPr>
      </w:pPr>
      <w:r>
        <w:rPr>
          <w:rFonts w:hint="default" w:ascii="仿宋_GB2312" w:hAnsi="微软雅黑" w:eastAsia="仿宋_GB2312" w:cs="仿宋_GB2312"/>
          <w:color w:val="000000" w:themeColor="text1"/>
          <w:sz w:val="31"/>
          <w:szCs w:val="31"/>
          <w:shd w:val="clear" w:fill="FFFFFF"/>
          <w14:textFill>
            <w14:solidFill>
              <w14:schemeClr w14:val="tx1"/>
            </w14:solidFill>
          </w14:textFill>
        </w:rPr>
        <w:t>（二）本部门2021年度总支出</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125.68</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万元，其中本年支出</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125.68</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万元, 较202</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1</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年度决算数</w:t>
      </w:r>
      <w:r>
        <w:rPr>
          <w:rFonts w:hint="eastAsia" w:ascii="仿宋_GB2312" w:hAnsi="微软雅黑" w:eastAsia="仿宋_GB2312" w:cs="仿宋_GB2312"/>
          <w:color w:val="000000" w:themeColor="text1"/>
          <w:sz w:val="31"/>
          <w:szCs w:val="31"/>
          <w:shd w:val="clear" w:fill="FFFFFF"/>
          <w:lang w:eastAsia="zh-CN"/>
          <w14:textFill>
            <w14:solidFill>
              <w14:schemeClr w14:val="tx1"/>
            </w14:solidFill>
          </w14:textFill>
        </w:rPr>
        <w:t>增加</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12.74</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万元，</w:t>
      </w:r>
      <w:r>
        <w:rPr>
          <w:rFonts w:hint="eastAsia" w:ascii="仿宋_GB2312" w:hAnsi="微软雅黑" w:eastAsia="仿宋_GB2312" w:cs="仿宋_GB2312"/>
          <w:color w:val="000000" w:themeColor="text1"/>
          <w:sz w:val="31"/>
          <w:szCs w:val="31"/>
          <w:shd w:val="clear" w:fill="FFFFFF"/>
          <w:lang w:eastAsia="zh-CN"/>
          <w14:textFill>
            <w14:solidFill>
              <w14:schemeClr w14:val="tx1"/>
            </w14:solidFill>
          </w14:textFill>
        </w:rPr>
        <w:t>增长</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11.28</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 %。支出具体情况如下：</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30"/>
        <w:textAlignment w:val="auto"/>
        <w:rPr>
          <w:color w:val="auto"/>
        </w:rPr>
      </w:pPr>
      <w:r>
        <w:rPr>
          <w:rFonts w:hint="default" w:ascii="仿宋_GB2312" w:hAnsi="微软雅黑" w:eastAsia="仿宋_GB2312" w:cs="仿宋_GB2312"/>
          <w:color w:val="auto"/>
          <w:sz w:val="31"/>
          <w:szCs w:val="31"/>
          <w:shd w:val="clear" w:fill="FFFFFF"/>
        </w:rPr>
        <w:t>1.一般公共服务支出（</w:t>
      </w:r>
      <w:r>
        <w:rPr>
          <w:rFonts w:hint="eastAsia" w:ascii="仿宋_GB2312" w:hAnsi="微软雅黑" w:eastAsia="仿宋_GB2312" w:cs="仿宋_GB2312"/>
          <w:color w:val="auto"/>
          <w:sz w:val="31"/>
          <w:szCs w:val="31"/>
          <w:shd w:val="clear" w:fill="FFFFFF"/>
          <w:lang w:val="en-US" w:eastAsia="zh-CN"/>
        </w:rPr>
        <w:t>201</w:t>
      </w:r>
      <w:r>
        <w:rPr>
          <w:rFonts w:hint="default" w:ascii="仿宋_GB2312" w:hAnsi="微软雅黑" w:eastAsia="仿宋_GB2312" w:cs="仿宋_GB2312"/>
          <w:color w:val="auto"/>
          <w:sz w:val="31"/>
          <w:szCs w:val="31"/>
          <w:shd w:val="clear" w:fill="FFFFFF"/>
        </w:rPr>
        <w:t>类）</w:t>
      </w:r>
      <w:r>
        <w:rPr>
          <w:rFonts w:hint="eastAsia" w:ascii="仿宋_GB2312" w:hAnsi="微软雅黑" w:eastAsia="仿宋_GB2312" w:cs="仿宋_GB2312"/>
          <w:color w:val="auto"/>
          <w:sz w:val="31"/>
          <w:szCs w:val="31"/>
          <w:shd w:val="clear" w:fill="FFFFFF"/>
          <w:lang w:val="en-US" w:eastAsia="zh-CN"/>
        </w:rPr>
        <w:t>98.02</w:t>
      </w:r>
      <w:r>
        <w:rPr>
          <w:rFonts w:hint="default" w:ascii="仿宋_GB2312" w:hAnsi="微软雅黑" w:eastAsia="仿宋_GB2312" w:cs="仿宋_GB2312"/>
          <w:color w:val="auto"/>
          <w:sz w:val="31"/>
          <w:szCs w:val="31"/>
          <w:shd w:val="clear" w:fill="FFFFFF"/>
        </w:rPr>
        <w:t>万元：</w:t>
      </w:r>
      <w:r>
        <w:rPr>
          <w:rFonts w:hint="default" w:ascii="仿宋_GB2312" w:hAnsi="微软雅黑" w:eastAsia="仿宋_GB2312" w:cs="仿宋_GB2312"/>
          <w:color w:val="auto"/>
          <w:spacing w:val="0"/>
          <w:sz w:val="31"/>
          <w:szCs w:val="31"/>
          <w:shd w:val="clear" w:fill="FFFFFF"/>
        </w:rPr>
        <w:t>主要用于本部门为保证日常运转发生的基本支出和为完成各项工作任务、保障单位事业发展而发生的项目支出。</w:t>
      </w:r>
      <w:r>
        <w:rPr>
          <w:rFonts w:hint="default" w:ascii="仿宋_GB2312" w:hAnsi="微软雅黑" w:eastAsia="仿宋_GB2312" w:cs="仿宋_GB2312"/>
          <w:color w:val="auto"/>
          <w:sz w:val="31"/>
          <w:szCs w:val="31"/>
          <w:shd w:val="clear" w:fill="FFFFFF"/>
        </w:rPr>
        <w:t>较202</w:t>
      </w:r>
      <w:r>
        <w:rPr>
          <w:rFonts w:hint="eastAsia" w:ascii="仿宋_GB2312" w:hAnsi="微软雅黑" w:eastAsia="仿宋_GB2312" w:cs="仿宋_GB2312"/>
          <w:color w:val="auto"/>
          <w:sz w:val="31"/>
          <w:szCs w:val="31"/>
          <w:shd w:val="clear" w:fill="FFFFFF"/>
          <w:lang w:val="en-US" w:eastAsia="zh-CN"/>
        </w:rPr>
        <w:t>1</w:t>
      </w:r>
      <w:r>
        <w:rPr>
          <w:rFonts w:hint="default" w:ascii="仿宋_GB2312" w:hAnsi="微软雅黑" w:eastAsia="仿宋_GB2312" w:cs="仿宋_GB2312"/>
          <w:color w:val="auto"/>
          <w:sz w:val="31"/>
          <w:szCs w:val="31"/>
          <w:shd w:val="clear" w:fill="FFFFFF"/>
        </w:rPr>
        <w:t>年度决算数增加</w:t>
      </w:r>
      <w:r>
        <w:rPr>
          <w:rFonts w:hint="eastAsia" w:ascii="仿宋_GB2312" w:hAnsi="微软雅黑" w:eastAsia="仿宋_GB2312" w:cs="仿宋_GB2312"/>
          <w:color w:val="auto"/>
          <w:sz w:val="31"/>
          <w:szCs w:val="31"/>
          <w:shd w:val="clear" w:fill="FFFFFF"/>
          <w:lang w:val="en-US" w:eastAsia="zh-CN"/>
        </w:rPr>
        <w:t>17.31</w:t>
      </w:r>
      <w:r>
        <w:rPr>
          <w:rFonts w:hint="default" w:ascii="仿宋_GB2312" w:hAnsi="微软雅黑" w:eastAsia="仿宋_GB2312" w:cs="仿宋_GB2312"/>
          <w:color w:val="auto"/>
          <w:sz w:val="31"/>
          <w:szCs w:val="31"/>
          <w:shd w:val="clear" w:fill="FFFFFF"/>
        </w:rPr>
        <w:t>万元，增长</w:t>
      </w:r>
      <w:r>
        <w:rPr>
          <w:rFonts w:hint="eastAsia" w:ascii="仿宋_GB2312" w:hAnsi="微软雅黑" w:eastAsia="仿宋_GB2312" w:cs="仿宋_GB2312"/>
          <w:color w:val="auto"/>
          <w:sz w:val="31"/>
          <w:szCs w:val="31"/>
          <w:shd w:val="clear" w:fill="FFFFFF"/>
          <w:lang w:val="en-US" w:eastAsia="zh-CN"/>
        </w:rPr>
        <w:t>21.45</w:t>
      </w:r>
      <w:r>
        <w:rPr>
          <w:rFonts w:hint="default" w:ascii="仿宋_GB2312" w:hAnsi="微软雅黑" w:eastAsia="仿宋_GB2312" w:cs="仿宋_GB2312"/>
          <w:color w:val="auto"/>
          <w:sz w:val="31"/>
          <w:szCs w:val="31"/>
          <w:shd w:val="clear" w:fill="FFFFFF"/>
        </w:rPr>
        <w:t> %，主要原因是</w:t>
      </w:r>
      <w:r>
        <w:rPr>
          <w:rFonts w:hint="eastAsia" w:ascii="仿宋_GB2312" w:hAnsi="微软雅黑" w:eastAsia="仿宋_GB2312" w:cs="仿宋_GB2312"/>
          <w:color w:val="auto"/>
          <w:sz w:val="31"/>
          <w:szCs w:val="31"/>
          <w:shd w:val="clear" w:fill="FFFFFF"/>
          <w:lang w:eastAsia="zh-CN"/>
        </w:rPr>
        <w:t>部分</w:t>
      </w:r>
      <w:r>
        <w:rPr>
          <w:rFonts w:hint="default" w:ascii="仿宋_GB2312" w:hAnsi="微软雅黑" w:eastAsia="仿宋_GB2312" w:cs="仿宋_GB2312"/>
          <w:color w:val="auto"/>
          <w:sz w:val="31"/>
          <w:szCs w:val="31"/>
          <w:shd w:val="clear" w:fill="FFFFFF"/>
        </w:rPr>
        <w:t>科目调整。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5"/>
        <w:textAlignment w:val="auto"/>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_GB2312" w:hAnsi="微软雅黑" w:eastAsia="仿宋_GB2312" w:cs="仿宋_GB2312"/>
          <w:color w:val="000000" w:themeColor="text1"/>
          <w:spacing w:val="0"/>
          <w:sz w:val="31"/>
          <w:szCs w:val="31"/>
          <w:shd w:val="clear" w:fill="FFFFFF"/>
          <w:lang w:val="en-US" w:eastAsia="zh-CN"/>
          <w14:textFill>
            <w14:solidFill>
              <w14:schemeClr w14:val="tx1"/>
            </w14:solidFill>
          </w14:textFill>
        </w:rPr>
        <w:t>2.</w:t>
      </w:r>
      <w:r>
        <w:rPr>
          <w:rFonts w:hint="default" w:ascii="仿宋_GB2312" w:hAnsi="微软雅黑" w:eastAsia="仿宋_GB2312" w:cs="仿宋_GB2312"/>
          <w:color w:val="000000" w:themeColor="text1"/>
          <w:spacing w:val="0"/>
          <w:sz w:val="31"/>
          <w:szCs w:val="31"/>
          <w:shd w:val="clear" w:fill="FFFFFF"/>
          <w14:textFill>
            <w14:solidFill>
              <w14:schemeClr w14:val="tx1"/>
            </w14:solidFill>
          </w14:textFill>
        </w:rPr>
        <w:t>社会保障</w:t>
      </w:r>
      <w:r>
        <w:rPr>
          <w:rFonts w:hint="eastAsia" w:ascii="仿宋_GB2312" w:hAnsi="微软雅黑" w:eastAsia="仿宋_GB2312" w:cs="仿宋_GB2312"/>
          <w:color w:val="000000" w:themeColor="text1"/>
          <w:spacing w:val="0"/>
          <w:sz w:val="31"/>
          <w:szCs w:val="31"/>
          <w:shd w:val="clear" w:fill="FFFFFF"/>
          <w:lang w:eastAsia="zh-CN"/>
          <w14:textFill>
            <w14:solidFill>
              <w14:schemeClr w14:val="tx1"/>
            </w14:solidFill>
          </w14:textFill>
        </w:rPr>
        <w:t>和就业支出（</w:t>
      </w:r>
      <w:r>
        <w:rPr>
          <w:rFonts w:hint="eastAsia" w:ascii="仿宋_GB2312" w:hAnsi="微软雅黑" w:eastAsia="仿宋_GB2312" w:cs="仿宋_GB2312"/>
          <w:color w:val="000000" w:themeColor="text1"/>
          <w:spacing w:val="0"/>
          <w:sz w:val="31"/>
          <w:szCs w:val="31"/>
          <w:shd w:val="clear" w:fill="FFFFFF"/>
          <w:lang w:val="en-US" w:eastAsia="zh-CN"/>
          <w14:textFill>
            <w14:solidFill>
              <w14:schemeClr w14:val="tx1"/>
            </w14:solidFill>
          </w14:textFill>
        </w:rPr>
        <w:t>208类</w:t>
      </w:r>
      <w:r>
        <w:rPr>
          <w:rFonts w:hint="eastAsia" w:ascii="仿宋_GB2312" w:hAnsi="微软雅黑" w:eastAsia="仿宋_GB2312" w:cs="仿宋_GB2312"/>
          <w:color w:val="000000" w:themeColor="text1"/>
          <w:spacing w:val="0"/>
          <w:sz w:val="31"/>
          <w:szCs w:val="31"/>
          <w:shd w:val="clear" w:fill="FFFFFF"/>
          <w:lang w:eastAsia="zh-CN"/>
          <w14:textFill>
            <w14:solidFill>
              <w14:schemeClr w14:val="tx1"/>
            </w14:solidFill>
          </w14:textFill>
        </w:rPr>
        <w:t>）</w:t>
      </w:r>
      <w:r>
        <w:rPr>
          <w:rFonts w:hint="eastAsia" w:ascii="仿宋_GB2312" w:hAnsi="微软雅黑" w:eastAsia="仿宋_GB2312" w:cs="仿宋_GB2312"/>
          <w:color w:val="000000" w:themeColor="text1"/>
          <w:spacing w:val="0"/>
          <w:sz w:val="31"/>
          <w:szCs w:val="31"/>
          <w:shd w:val="clear" w:fill="FFFFFF"/>
          <w:lang w:val="en-US" w:eastAsia="zh-CN"/>
          <w14:textFill>
            <w14:solidFill>
              <w14:schemeClr w14:val="tx1"/>
            </w14:solidFill>
          </w14:textFill>
        </w:rPr>
        <w:t>8.52</w:t>
      </w:r>
      <w:r>
        <w:rPr>
          <w:rFonts w:hint="default" w:ascii="仿宋_GB2312" w:hAnsi="微软雅黑" w:eastAsia="仿宋_GB2312" w:cs="仿宋_GB2312"/>
          <w:color w:val="000000" w:themeColor="text1"/>
          <w:spacing w:val="0"/>
          <w:sz w:val="31"/>
          <w:szCs w:val="31"/>
          <w:shd w:val="clear" w:fill="FFFFFF"/>
          <w14:textFill>
            <w14:solidFill>
              <w14:schemeClr w14:val="tx1"/>
            </w14:solidFill>
          </w14:textFill>
        </w:rPr>
        <w:t>万元，主要用于职工机关事业单位基本养老保险缴费支出。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eastAsia="zh-CN"/>
        </w:rPr>
        <w:t>增加</w:t>
      </w:r>
      <w:r>
        <w:rPr>
          <w:rFonts w:hint="eastAsia" w:ascii="仿宋" w:hAnsi="仿宋" w:eastAsia="仿宋" w:cs="仿宋"/>
          <w:sz w:val="32"/>
          <w:szCs w:val="32"/>
          <w:highlight w:val="none"/>
          <w:lang w:val="en-US" w:eastAsia="zh-CN"/>
        </w:rPr>
        <w:t>0.01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增长</w:t>
      </w:r>
      <w:r>
        <w:rPr>
          <w:rFonts w:hint="eastAsia" w:ascii="仿宋" w:hAnsi="仿宋" w:eastAsia="仿宋" w:cs="仿宋"/>
          <w:sz w:val="32"/>
          <w:szCs w:val="32"/>
          <w:highlight w:val="none"/>
          <w:lang w:val="en-US" w:eastAsia="zh-CN"/>
        </w:rPr>
        <w:t>0.11</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主要原因是：基础调整。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exact"/>
        <w:ind w:left="0" w:firstLine="645"/>
        <w:textAlignment w:val="auto"/>
        <w:rPr>
          <w:rFonts w:hint="eastAsia" w:ascii="仿宋_GB2312" w:hAnsi="微软雅黑" w:eastAsia="仿宋_GB2312" w:cs="仿宋_GB2312"/>
          <w:color w:val="000000" w:themeColor="text1"/>
          <w:spacing w:val="0"/>
          <w:sz w:val="31"/>
          <w:szCs w:val="31"/>
          <w:shd w:val="clear" w:fill="FFFFFF"/>
          <w:lang w:eastAsia="zh-CN"/>
          <w14:textFill>
            <w14:solidFill>
              <w14:schemeClr w14:val="tx1"/>
            </w14:solidFill>
          </w14:textFill>
        </w:rPr>
      </w:pPr>
      <w:r>
        <w:rPr>
          <w:rFonts w:hint="eastAsia" w:ascii="仿宋_GB2312" w:hAnsi="微软雅黑" w:eastAsia="仿宋_GB2312" w:cs="仿宋_GB2312"/>
          <w:color w:val="000000" w:themeColor="text1"/>
          <w:spacing w:val="0"/>
          <w:sz w:val="31"/>
          <w:szCs w:val="31"/>
          <w:shd w:val="clear" w:fill="FFFFFF"/>
          <w:lang w:val="en-US" w:eastAsia="zh-CN"/>
          <w14:textFill>
            <w14:solidFill>
              <w14:schemeClr w14:val="tx1"/>
            </w14:solidFill>
          </w14:textFill>
        </w:rPr>
        <w:t>3</w:t>
      </w:r>
      <w:r>
        <w:rPr>
          <w:rFonts w:hint="default" w:ascii="仿宋_GB2312" w:hAnsi="微软雅黑" w:eastAsia="仿宋_GB2312" w:cs="仿宋_GB2312"/>
          <w:color w:val="000000" w:themeColor="text1"/>
          <w:spacing w:val="0"/>
          <w:sz w:val="31"/>
          <w:szCs w:val="31"/>
          <w:shd w:val="clear" w:fill="FFFFFF"/>
          <w14:textFill>
            <w14:solidFill>
              <w14:schemeClr w14:val="tx1"/>
            </w14:solidFill>
          </w14:textFill>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rPr>
        <w:t>6.41</w:t>
      </w:r>
      <w:r>
        <w:rPr>
          <w:rFonts w:hint="default" w:ascii="仿宋_GB2312" w:hAnsi="微软雅黑" w:eastAsia="仿宋_GB2312" w:cs="仿宋_GB2312"/>
          <w:color w:val="000000" w:themeColor="text1"/>
          <w:spacing w:val="0"/>
          <w:sz w:val="31"/>
          <w:szCs w:val="31"/>
          <w:shd w:val="clear" w:fill="FFFFFF"/>
          <w14:textFill>
            <w14:solidFill>
              <w14:schemeClr w14:val="tx1"/>
            </w14:solidFill>
          </w14:textFill>
        </w:rPr>
        <w:t>万元，主要用于按照国家政策规定向职工发放的住房公积金、提租补贴、购房补贴等住房改革方面的支出。较2</w:t>
      </w:r>
      <w:r>
        <w:rPr>
          <w:rFonts w:hint="eastAsia" w:ascii="仿宋_GB2312" w:hAnsi="微软雅黑" w:eastAsia="仿宋_GB2312" w:cs="仿宋_GB2312"/>
          <w:color w:val="000000" w:themeColor="text1"/>
          <w:spacing w:val="0"/>
          <w:sz w:val="31"/>
          <w:szCs w:val="31"/>
          <w:shd w:val="clear" w:fill="FFFFFF"/>
          <w:lang w:val="en-US" w:eastAsia="zh-CN"/>
          <w14:textFill>
            <w14:solidFill>
              <w14:schemeClr w14:val="tx1"/>
            </w14:solidFill>
          </w14:textFill>
        </w:rPr>
        <w:t>021</w:t>
      </w:r>
      <w:r>
        <w:rPr>
          <w:rFonts w:hint="default" w:ascii="仿宋_GB2312" w:hAnsi="微软雅黑" w:eastAsia="仿宋_GB2312" w:cs="仿宋_GB2312"/>
          <w:color w:val="000000" w:themeColor="text1"/>
          <w:spacing w:val="0"/>
          <w:sz w:val="31"/>
          <w:szCs w:val="31"/>
          <w:shd w:val="clear" w:fill="FFFFFF"/>
          <w14:textFill>
            <w14:solidFill>
              <w14:schemeClr w14:val="tx1"/>
            </w14:solidFill>
          </w14:textFill>
        </w:rPr>
        <w:t>年度决算数</w:t>
      </w:r>
      <w:r>
        <w:rPr>
          <w:rFonts w:hint="eastAsia" w:ascii="仿宋_GB2312" w:hAnsi="微软雅黑" w:eastAsia="仿宋_GB2312" w:cs="仿宋_GB2312"/>
          <w:color w:val="000000" w:themeColor="text1"/>
          <w:spacing w:val="0"/>
          <w:sz w:val="31"/>
          <w:szCs w:val="31"/>
          <w:shd w:val="clear" w:fill="FFFFFF"/>
          <w:lang w:eastAsia="zh-CN"/>
          <w14:textFill>
            <w14:solidFill>
              <w14:schemeClr w14:val="tx1"/>
            </w14:solidFill>
          </w14:textFill>
        </w:rPr>
        <w:t>时平。</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420"/>
        <w:textAlignment w:val="auto"/>
        <w:rPr>
          <w:color w:val="000000" w:themeColor="text1"/>
          <w14:textFill>
            <w14:solidFill>
              <w14:schemeClr w14:val="tx1"/>
            </w14:solidFill>
          </w14:textFill>
        </w:rPr>
      </w:pPr>
      <w:r>
        <w:rPr>
          <w:rFonts w:hint="eastAsia" w:ascii="仿宋_GB2312" w:hAnsi="微软雅黑" w:eastAsia="仿宋_GB2312" w:cs="仿宋_GB2312"/>
          <w:color w:val="000000" w:themeColor="text1"/>
          <w:spacing w:val="0"/>
          <w:sz w:val="31"/>
          <w:szCs w:val="31"/>
          <w:shd w:val="clear" w:fill="FFFFFF"/>
          <w:lang w:val="en-US" w:eastAsia="zh-CN"/>
          <w14:textFill>
            <w14:solidFill>
              <w14:schemeClr w14:val="tx1"/>
            </w14:solidFill>
          </w14:textFill>
        </w:rPr>
        <w:t>4</w:t>
      </w:r>
      <w:r>
        <w:rPr>
          <w:rFonts w:hint="default" w:ascii="仿宋_GB2312" w:hAnsi="微软雅黑" w:eastAsia="仿宋_GB2312" w:cs="仿宋_GB2312"/>
          <w:color w:val="000000" w:themeColor="text1"/>
          <w:spacing w:val="0"/>
          <w:sz w:val="31"/>
          <w:szCs w:val="31"/>
          <w:shd w:val="clear" w:fill="FFFFFF"/>
          <w14:textFill>
            <w14:solidFill>
              <w14:schemeClr w14:val="tx1"/>
            </w14:solidFill>
          </w14:textFill>
        </w:rPr>
        <w:t>．其他支出</w:t>
      </w:r>
      <w:r>
        <w:rPr>
          <w:rFonts w:hint="eastAsia" w:ascii="仿宋_GB2312" w:hAnsi="微软雅黑" w:eastAsia="仿宋_GB2312" w:cs="仿宋_GB2312"/>
          <w:color w:val="000000" w:themeColor="text1"/>
          <w:spacing w:val="0"/>
          <w:sz w:val="31"/>
          <w:szCs w:val="31"/>
          <w:shd w:val="clear" w:fill="FFFFFF"/>
          <w:lang w:val="en-US" w:eastAsia="zh-CN"/>
          <w14:textFill>
            <w14:solidFill>
              <w14:schemeClr w14:val="tx1"/>
            </w14:solidFill>
          </w14:textFill>
        </w:rPr>
        <w:t>12.56</w:t>
      </w:r>
      <w:r>
        <w:rPr>
          <w:rFonts w:hint="default" w:ascii="仿宋_GB2312" w:hAnsi="微软雅黑" w:eastAsia="仿宋_GB2312" w:cs="仿宋_GB2312"/>
          <w:color w:val="000000" w:themeColor="text1"/>
          <w:spacing w:val="0"/>
          <w:sz w:val="31"/>
          <w:szCs w:val="31"/>
          <w:shd w:val="clear" w:fill="FFFFFF"/>
          <w14:textFill>
            <w14:solidFill>
              <w14:schemeClr w14:val="tx1"/>
            </w14:solidFill>
          </w14:textFill>
        </w:rPr>
        <w:t>万元，</w:t>
      </w:r>
      <w:r>
        <w:rPr>
          <w:rFonts w:hint="default" w:ascii="仿宋_GB2312" w:hAnsi="微软雅黑" w:eastAsia="仿宋_GB2312" w:cs="仿宋_GB2312"/>
          <w:color w:val="333333"/>
          <w:sz w:val="31"/>
          <w:szCs w:val="31"/>
          <w:shd w:val="clear" w:color="auto" w:fill="FFFFFF"/>
        </w:rPr>
        <w:t>主要用于奖励性绩效补贴支出。较202</w:t>
      </w:r>
      <w:r>
        <w:rPr>
          <w:rFonts w:hint="eastAsia" w:ascii="仿宋_GB2312" w:hAnsi="微软雅黑" w:eastAsia="仿宋_GB2312" w:cs="仿宋_GB2312"/>
          <w:color w:val="333333"/>
          <w:sz w:val="31"/>
          <w:szCs w:val="31"/>
          <w:shd w:val="clear" w:color="auto" w:fill="FFFFFF"/>
          <w:lang w:val="en-US" w:eastAsia="zh-CN"/>
        </w:rPr>
        <w:t>1</w:t>
      </w:r>
      <w:r>
        <w:rPr>
          <w:rFonts w:hint="default" w:ascii="仿宋_GB2312" w:hAnsi="微软雅黑" w:eastAsia="仿宋_GB2312" w:cs="仿宋_GB2312"/>
          <w:color w:val="333333"/>
          <w:sz w:val="31"/>
          <w:szCs w:val="31"/>
          <w:shd w:val="clear" w:color="auto" w:fill="FFFFFF"/>
        </w:rPr>
        <w:t>年度决算数</w:t>
      </w:r>
      <w:r>
        <w:rPr>
          <w:rFonts w:hint="eastAsia" w:ascii="仿宋_GB2312" w:hAnsi="微软雅黑" w:eastAsia="仿宋_GB2312" w:cs="仿宋_GB2312"/>
          <w:color w:val="333333"/>
          <w:sz w:val="31"/>
          <w:szCs w:val="31"/>
          <w:shd w:val="clear" w:color="auto" w:fill="FFFFFF"/>
          <w:lang w:eastAsia="zh-CN"/>
        </w:rPr>
        <w:t>减少</w:t>
      </w:r>
      <w:r>
        <w:rPr>
          <w:rFonts w:hint="eastAsia" w:ascii="仿宋_GB2312" w:hAnsi="微软雅黑" w:eastAsia="仿宋_GB2312" w:cs="仿宋_GB2312"/>
          <w:color w:val="333333"/>
          <w:sz w:val="31"/>
          <w:szCs w:val="31"/>
          <w:shd w:val="clear" w:color="auto" w:fill="FFFFFF"/>
          <w:lang w:val="en-US" w:eastAsia="zh-CN"/>
        </w:rPr>
        <w:t>4.76</w:t>
      </w:r>
      <w:r>
        <w:rPr>
          <w:rFonts w:hint="default" w:ascii="仿宋_GB2312" w:hAnsi="微软雅黑" w:eastAsia="仿宋_GB2312" w:cs="仿宋_GB2312"/>
          <w:color w:val="333333"/>
          <w:sz w:val="31"/>
          <w:szCs w:val="31"/>
          <w:shd w:val="clear" w:color="auto" w:fill="FFFFFF"/>
        </w:rPr>
        <w:t>万元，</w:t>
      </w:r>
      <w:r>
        <w:rPr>
          <w:rFonts w:hint="eastAsia" w:ascii="仿宋_GB2312" w:hAnsi="微软雅黑" w:eastAsia="仿宋_GB2312" w:cs="仿宋_GB2312"/>
          <w:color w:val="333333"/>
          <w:sz w:val="31"/>
          <w:szCs w:val="31"/>
          <w:shd w:val="clear" w:color="auto" w:fill="FFFFFF"/>
          <w:lang w:eastAsia="zh-CN"/>
        </w:rPr>
        <w:t>下降</w:t>
      </w:r>
      <w:r>
        <w:rPr>
          <w:rFonts w:hint="eastAsia" w:ascii="仿宋_GB2312" w:hAnsi="微软雅黑" w:eastAsia="仿宋_GB2312" w:cs="仿宋_GB2312"/>
          <w:color w:val="333333"/>
          <w:sz w:val="31"/>
          <w:szCs w:val="31"/>
          <w:shd w:val="clear" w:color="auto" w:fill="FFFFFF"/>
          <w:lang w:val="en-US" w:eastAsia="zh-CN"/>
        </w:rPr>
        <w:t>27.48</w:t>
      </w:r>
      <w:r>
        <w:rPr>
          <w:rFonts w:hint="default" w:ascii="仿宋_GB2312" w:hAnsi="微软雅黑" w:eastAsia="仿宋_GB2312" w:cs="仿宋_GB2312"/>
          <w:color w:val="333333"/>
          <w:sz w:val="31"/>
          <w:szCs w:val="31"/>
          <w:shd w:val="clear" w:color="auto" w:fill="FFFFFF"/>
        </w:rPr>
        <w:t>%，主要原因是奖励性绩效补贴基数的</w:t>
      </w:r>
      <w:r>
        <w:rPr>
          <w:rFonts w:hint="eastAsia" w:ascii="仿宋_GB2312" w:hAnsi="微软雅黑" w:eastAsia="仿宋_GB2312" w:cs="仿宋_GB2312"/>
          <w:color w:val="333333"/>
          <w:sz w:val="31"/>
          <w:szCs w:val="31"/>
          <w:shd w:val="clear" w:color="auto" w:fill="FFFFFF"/>
          <w:lang w:eastAsia="zh-CN"/>
        </w:rPr>
        <w:t>减少</w:t>
      </w:r>
      <w:r>
        <w:rPr>
          <w:rFonts w:hint="default" w:ascii="仿宋_GB2312" w:hAnsi="微软雅黑" w:eastAsia="仿宋_GB2312" w:cs="仿宋_GB2312"/>
          <w:color w:val="333333"/>
          <w:sz w:val="31"/>
          <w:szCs w:val="31"/>
          <w:shd w:val="clear" w:color="auto" w:fill="FFFFFF"/>
        </w:rPr>
        <w:t>。</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30"/>
        <w:textAlignment w:val="auto"/>
        <w:rPr>
          <w:color w:val="000000" w:themeColor="text1"/>
          <w14:textFill>
            <w14:solidFill>
              <w14:schemeClr w14:val="tx1"/>
            </w14:solidFill>
          </w14:textFill>
        </w:rPr>
      </w:pP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5</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.结余分配0万元，为事业单位按规定提取的专用结余、缴纳所得税和转入非财政拨款结余等。较202</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1</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年度决算数增加（减少）0 万元，增长（下降）0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30"/>
        <w:textAlignment w:val="auto"/>
        <w:rPr>
          <w:color w:val="000000" w:themeColor="text1"/>
          <w14:textFill>
            <w14:solidFill>
              <w14:schemeClr w14:val="tx1"/>
            </w14:solidFill>
          </w14:textFill>
        </w:rPr>
      </w:pP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6</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.年末结转和结余 0万元，为本年度或以前年度预算安排、因客观条件发生变化无法按原计划实施，需要延迟到以后年度按有关规定继续使用的资金。较202</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1</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年度决算数增加（减少）0万元，增长（下降）0  %。</w:t>
      </w:r>
    </w:p>
    <w:p>
      <w:pPr>
        <w:jc w:val="center"/>
        <w:rPr>
          <w:rFonts w:ascii="仿宋" w:hAnsi="仿宋" w:eastAsia="仿宋" w:cs="仿宋"/>
          <w:sz w:val="32"/>
          <w:szCs w:val="32"/>
          <w:highlight w:val="none"/>
        </w:rPr>
      </w:pP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51350" cy="2546350"/>
            <wp:effectExtent l="4445" t="4445" r="20955" b="2095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二、2022 年度</w:t>
      </w:r>
      <w:bookmarkStart w:id="0" w:name="OLE_LINK1"/>
      <w:r>
        <w:rPr>
          <w:rFonts w:hint="eastAsia" w:ascii="黑体" w:hAnsi="黑体" w:eastAsia="黑体" w:cs="黑体"/>
          <w:color w:val="auto"/>
          <w:sz w:val="32"/>
          <w:szCs w:val="32"/>
          <w:highlight w:val="none"/>
        </w:rPr>
        <w:t>一般公共预算财政拨款支出决算情况</w:t>
      </w:r>
      <w:bookmarkEnd w:id="0"/>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2022年度一般公共预算财政拨款支出</w:t>
      </w:r>
      <w:r>
        <w:rPr>
          <w:rFonts w:hint="eastAsia" w:ascii="仿宋" w:hAnsi="仿宋" w:eastAsia="仿宋" w:cs="仿宋"/>
          <w:sz w:val="32"/>
          <w:szCs w:val="32"/>
          <w:highlight w:val="none"/>
          <w:lang w:val="en-US" w:eastAsia="zh-CN"/>
        </w:rPr>
        <w:t>125.68</w:t>
      </w:r>
      <w:r>
        <w:rPr>
          <w:rFonts w:hint="eastAsia" w:ascii="仿宋" w:hAnsi="仿宋" w:eastAsia="仿宋" w:cs="仿宋"/>
          <w:sz w:val="32"/>
          <w:szCs w:val="32"/>
          <w:highlight w:val="none"/>
        </w:rPr>
        <w:t>万元，较2021年度决算数</w:t>
      </w:r>
      <w:r>
        <w:rPr>
          <w:rFonts w:hint="eastAsia" w:ascii="仿宋" w:hAnsi="仿宋" w:eastAsia="仿宋" w:cs="仿宋"/>
          <w:sz w:val="32"/>
          <w:szCs w:val="32"/>
          <w:highlight w:val="none"/>
          <w:lang w:eastAsia="zh-CN"/>
        </w:rPr>
        <w:t>增加</w:t>
      </w:r>
      <w:r>
        <w:rPr>
          <w:rFonts w:hint="eastAsia" w:ascii="仿宋" w:hAnsi="仿宋" w:eastAsia="仿宋" w:cs="仿宋"/>
          <w:sz w:val="32"/>
          <w:szCs w:val="32"/>
          <w:highlight w:val="none"/>
          <w:lang w:val="en-US" w:eastAsia="zh-CN"/>
        </w:rPr>
        <w:t>12.74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增长</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11.28</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 %</w:t>
      </w:r>
      <w:r>
        <w:rPr>
          <w:rFonts w:hint="eastAsia" w:ascii="仿宋" w:hAnsi="仿宋" w:eastAsia="仿宋" w:cs="仿宋"/>
          <w:sz w:val="32"/>
          <w:szCs w:val="32"/>
          <w:highlight w:val="none"/>
        </w:rPr>
        <w:t>。其中：基本支出</w:t>
      </w:r>
      <w:r>
        <w:rPr>
          <w:rFonts w:hint="eastAsia" w:ascii="仿宋" w:hAnsi="仿宋" w:eastAsia="仿宋" w:cs="仿宋"/>
          <w:sz w:val="32"/>
          <w:szCs w:val="32"/>
          <w:highlight w:val="none"/>
          <w:lang w:val="en-US" w:eastAsia="zh-CN"/>
        </w:rPr>
        <w:t>88.88</w:t>
      </w:r>
      <w:r>
        <w:rPr>
          <w:rFonts w:hint="eastAsia" w:ascii="仿宋" w:hAnsi="仿宋" w:eastAsia="仿宋" w:cs="仿宋"/>
          <w:sz w:val="32"/>
          <w:szCs w:val="32"/>
          <w:highlight w:val="none"/>
        </w:rPr>
        <w:t>万元，项目支出</w:t>
      </w:r>
      <w:r>
        <w:rPr>
          <w:rFonts w:hint="eastAsia" w:ascii="仿宋" w:hAnsi="仿宋" w:eastAsia="仿宋" w:cs="仿宋"/>
          <w:sz w:val="32"/>
          <w:szCs w:val="32"/>
          <w:highlight w:val="none"/>
          <w:lang w:val="en-US" w:eastAsia="zh-CN"/>
        </w:rPr>
        <w:t>36.80</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rPr>
        <w:t>2022 年度一般公共预算财政拨款支出年初预算</w:t>
      </w:r>
      <w:r>
        <w:rPr>
          <w:rFonts w:hint="eastAsia" w:ascii="仿宋" w:hAnsi="仿宋" w:eastAsia="仿宋" w:cs="仿宋"/>
          <w:sz w:val="32"/>
          <w:szCs w:val="32"/>
          <w:highlight w:val="none"/>
          <w:lang w:eastAsia="zh-CN"/>
        </w:rPr>
        <w:t>为</w:t>
      </w:r>
      <w:r>
        <w:rPr>
          <w:rFonts w:hint="eastAsia" w:ascii="仿宋" w:hAnsi="仿宋" w:eastAsia="仿宋" w:cs="仿宋"/>
          <w:sz w:val="32"/>
          <w:u w:color="auto"/>
          <w:lang w:val="en-US" w:eastAsia="zh-CN"/>
        </w:rPr>
        <w:t>83.69</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125.68</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150.17</w:t>
      </w:r>
      <w:r>
        <w:rPr>
          <w:rFonts w:ascii="仿宋" w:hAnsi="仿宋" w:eastAsia="仿宋" w:cs="仿宋"/>
          <w:sz w:val="32"/>
          <w:u w:color="auto"/>
        </w:rPr>
        <w:t>%</w:t>
      </w:r>
      <w:r>
        <w:rPr>
          <w:rFonts w:hint="eastAsia" w:ascii="仿宋" w:hAnsi="仿宋" w:eastAsia="仿宋" w:cs="仿宋"/>
          <w:sz w:val="32"/>
          <w:szCs w:val="32"/>
          <w:highlight w:val="none"/>
        </w:rPr>
        <w:t>。</w:t>
      </w:r>
      <w:bookmarkStart w:id="1" w:name="OLE_LINK2"/>
      <w:bookmarkEnd w:id="1"/>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lang w:eastAsia="zh-CN"/>
        </w:rPr>
        <w:t>一般公共服务</w:t>
      </w:r>
      <w:r>
        <w:rPr>
          <w:rFonts w:hint="eastAsia" w:ascii="仿宋" w:hAnsi="仿宋" w:eastAsia="仿宋"/>
          <w:sz w:val="32"/>
          <w:szCs w:val="32"/>
          <w:highlight w:val="none"/>
        </w:rPr>
        <w:t>支出</w:t>
      </w:r>
      <w:r>
        <w:rPr>
          <w:rFonts w:ascii="仿宋" w:hAnsi="仿宋" w:eastAsia="仿宋"/>
          <w:sz w:val="32"/>
          <w:u w:color="auto"/>
        </w:rPr>
        <w:t>（20</w:t>
      </w:r>
      <w:r>
        <w:rPr>
          <w:rFonts w:hint="eastAsia" w:ascii="仿宋" w:hAnsi="仿宋" w:eastAsia="仿宋"/>
          <w:sz w:val="32"/>
          <w:u w:color="auto"/>
          <w:lang w:val="en-US" w:eastAsia="zh-CN"/>
        </w:rPr>
        <w:t>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68.30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98.20</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143.78</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原因是：基数调整。</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2010301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64.96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80.53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115.49%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仿宋_GB2312" w:hAnsi="微软雅黑" w:eastAsia="仿宋_GB2312" w:cs="仿宋_GB2312"/>
                <w:color w:val="auto"/>
                <w:spacing w:val="0"/>
                <w:sz w:val="21"/>
                <w:szCs w:val="21"/>
                <w:shd w:val="clear" w:fill="FFFFFF"/>
              </w:rPr>
              <w:t>日常运转发生的基本支出和为完成各项工作任务</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 xml:space="preserve"> 费用增加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2010305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专项业务及机关事务管理</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2.24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1.57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70.1%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日常开支</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 w:hRule="atLeast"/>
        </w:trPr>
        <w:tc>
          <w:tcPr>
            <w:tcW w:w="955" w:type="dxa"/>
            <w:tcBorders>
              <w:top w:val="dotted" w:color="auto" w:sz="0" w:space="0"/>
              <w:left w:val="dotted" w:color="auto" w:sz="0" w:space="0"/>
              <w:bottom w:val="single" w:color="auto" w:sz="4"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2010399</w:t>
            </w:r>
          </w:p>
        </w:tc>
        <w:tc>
          <w:tcPr>
            <w:tcW w:w="1076" w:type="dxa"/>
            <w:tcBorders>
              <w:top w:val="dotted" w:color="auto" w:sz="0" w:space="0"/>
              <w:left w:val="dotted" w:color="auto" w:sz="0" w:space="0"/>
              <w:bottom w:val="single" w:color="auto" w:sz="4"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 xml:space="preserve"> 其他政府办公厅（室）及相关机构事务支出</w:t>
            </w:r>
          </w:p>
        </w:tc>
        <w:tc>
          <w:tcPr>
            <w:tcW w:w="994" w:type="dxa"/>
            <w:tcBorders>
              <w:top w:val="dotted" w:color="auto" w:sz="0" w:space="0"/>
              <w:left w:val="dotted" w:color="auto" w:sz="0" w:space="0"/>
              <w:bottom w:val="single" w:color="auto" w:sz="4"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single" w:color="auto" w:sz="4"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15.00</w:t>
            </w:r>
          </w:p>
        </w:tc>
        <w:tc>
          <w:tcPr>
            <w:tcW w:w="1097" w:type="dxa"/>
            <w:tcBorders>
              <w:top w:val="dotted" w:color="auto" w:sz="0" w:space="0"/>
              <w:left w:val="dotted" w:color="auto" w:sz="0" w:space="0"/>
              <w:bottom w:val="single" w:color="auto" w:sz="4"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single" w:color="auto" w:sz="4"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日常开支</w:t>
            </w:r>
          </w:p>
        </w:tc>
        <w:tc>
          <w:tcPr>
            <w:tcW w:w="1825" w:type="dxa"/>
            <w:tcBorders>
              <w:top w:val="dotted" w:color="auto" w:sz="0" w:space="0"/>
              <w:left w:val="dotted" w:color="auto" w:sz="0" w:space="0"/>
              <w:bottom w:val="single" w:color="auto" w:sz="4"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955" w:type="dxa"/>
            <w:tcBorders>
              <w:top w:val="single" w:color="auto" w:sz="4"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single" w:color="auto" w:sz="4"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single" w:color="auto" w:sz="4"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1.10</w:t>
            </w:r>
          </w:p>
        </w:tc>
        <w:tc>
          <w:tcPr>
            <w:tcW w:w="806" w:type="dxa"/>
            <w:tcBorders>
              <w:top w:val="single" w:color="auto" w:sz="4"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1.10</w:t>
            </w:r>
          </w:p>
        </w:tc>
        <w:tc>
          <w:tcPr>
            <w:tcW w:w="1097" w:type="dxa"/>
            <w:tcBorders>
              <w:top w:val="single" w:color="auto" w:sz="4"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single" w:color="auto" w:sz="4"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1"/>
                <w:szCs w:val="21"/>
                <w:highlight w:val="none"/>
                <w:lang w:val="en-US" w:eastAsia="zh-CN"/>
              </w:rPr>
            </w:pPr>
            <w:r>
              <w:rPr>
                <w:rFonts w:hint="eastAsia" w:ascii="宋体" w:hAnsi="宋体" w:eastAsia="宋体" w:cs="宋体"/>
                <w:i w:val="0"/>
                <w:iCs w:val="0"/>
                <w:color w:val="auto"/>
                <w:sz w:val="18"/>
                <w:szCs w:val="18"/>
                <w:highlight w:val="none"/>
                <w:u w:val="none"/>
                <w:lang w:val="en-US" w:eastAsia="zh-CN"/>
              </w:rPr>
              <w:t>日常开支</w:t>
            </w:r>
          </w:p>
        </w:tc>
        <w:tc>
          <w:tcPr>
            <w:tcW w:w="1825" w:type="dxa"/>
            <w:tcBorders>
              <w:top w:val="single" w:color="auto" w:sz="4"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68.3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98.20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143.78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日常开支</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8.79</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8.52</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96.93</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原因是：人员减少。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8.79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8352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96.93%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职工机关事业单位基本养老保险缴费支出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人员减少写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8.79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8352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96.93%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6.59</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6.41</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97.27</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原因是：人员减少。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6.59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6.41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97.27%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职工住房公积金支出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人员减少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6.59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6.41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97.27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keepNext w:val="0"/>
        <w:keepLines w:val="0"/>
        <w:widowControl w:val="0"/>
        <w:numPr>
          <w:ilvl w:val="0"/>
          <w:numId w:val="0"/>
        </w:numPr>
        <w:suppressLineNumbers w:val="0"/>
        <w:spacing w:before="0" w:beforeAutospacing="0" w:after="0" w:afterAutospacing="0"/>
        <w:ind w:right="0" w:rightChars="0" w:firstLine="320" w:firstLineChars="100"/>
        <w:jc w:val="left"/>
        <w:rPr>
          <w:rFonts w:hint="eastAsia" w:eastAsia="仿宋_GB2312"/>
          <w:color w:val="FF0000"/>
          <w:highlight w:val="none"/>
          <w:lang w:val="en-US" w:eastAsia="zh-CN"/>
        </w:rPr>
      </w:pPr>
      <w:r>
        <w:rPr>
          <w:rFonts w:hint="eastAsia" w:ascii="仿宋" w:hAnsi="仿宋" w:eastAsia="仿宋"/>
          <w:color w:val="000000" w:themeColor="text1"/>
          <w:sz w:val="32"/>
          <w:szCs w:val="32"/>
          <w:highlight w:val="none"/>
          <w:lang w:eastAsia="zh-CN"/>
          <w14:textFill>
            <w14:solidFill>
              <w14:schemeClr w14:val="tx1"/>
            </w14:solidFill>
          </w14:textFill>
        </w:rPr>
        <w:t>（四）</w:t>
      </w:r>
      <w:r>
        <w:rPr>
          <w:rFonts w:hint="eastAsia" w:ascii="仿宋" w:hAnsi="仿宋" w:eastAsia="仿宋"/>
          <w:sz w:val="32"/>
          <w:szCs w:val="32"/>
          <w:highlight w:val="none"/>
          <w:lang w:eastAsia="zh-CN"/>
        </w:rPr>
        <w:t>其他支出（229类）</w:t>
      </w:r>
      <w:r>
        <w:rPr>
          <w:rFonts w:hint="eastAsia" w:ascii="仿宋" w:hAnsi="仿宋" w:eastAsia="仿宋"/>
          <w:sz w:val="32"/>
          <w:szCs w:val="32"/>
          <w:highlight w:val="none"/>
        </w:rPr>
        <w:t>年初预算为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12.56</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default" w:ascii="仿宋_GB2312" w:hAnsi="微软雅黑" w:eastAsia="仿宋_GB2312" w:cs="仿宋_GB2312"/>
          <w:color w:val="000000" w:themeColor="text1"/>
          <w:spacing w:val="0"/>
          <w:sz w:val="31"/>
          <w:szCs w:val="31"/>
          <w:shd w:val="clear" w:fill="FFFFFF"/>
          <w14:textFill>
            <w14:solidFill>
              <w14:schemeClr w14:val="tx1"/>
            </w14:solidFill>
          </w14:textFill>
        </w:rPr>
        <w:t>年度绩效奖金支出</w:t>
      </w:r>
      <w:r>
        <w:rPr>
          <w:rFonts w:hint="eastAsia" w:ascii="仿宋_GB2312" w:hAnsi="微软雅黑" w:eastAsia="仿宋_GB2312" w:cs="仿宋_GB2312"/>
          <w:color w:val="000000" w:themeColor="text1"/>
          <w:spacing w:val="0"/>
          <w:sz w:val="31"/>
          <w:szCs w:val="31"/>
          <w:shd w:val="clear" w:fill="FFFFFF"/>
          <w:lang w:eastAsia="zh-CN"/>
          <w14:textFill>
            <w14:solidFill>
              <w14:schemeClr w14:val="tx1"/>
            </w14:solidFill>
          </w14:textFill>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2000"/>
        <w:gridCol w:w="16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20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60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12.56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20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仿宋_GB2312" w:hAnsi="微软雅黑" w:eastAsia="仿宋_GB2312" w:cs="仿宋_GB2312"/>
                <w:color w:val="000000" w:themeColor="text1"/>
                <w:spacing w:val="0"/>
                <w:sz w:val="21"/>
                <w:szCs w:val="21"/>
                <w:shd w:val="clear" w:fill="FFFFFF"/>
                <w14:textFill>
                  <w14:solidFill>
                    <w14:schemeClr w14:val="tx1"/>
                  </w14:solidFill>
                </w14:textFill>
              </w:rPr>
              <w:t>年度绩效奖金支出</w:t>
            </w:r>
          </w:p>
        </w:tc>
        <w:tc>
          <w:tcPr>
            <w:tcW w:w="160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12.56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100%</w:t>
            </w:r>
          </w:p>
        </w:tc>
        <w:tc>
          <w:tcPr>
            <w:tcW w:w="20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60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left"/>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jc w:val="left"/>
        <w:rPr>
          <w:rFonts w:ascii="仿宋" w:hAnsi="仿宋" w:eastAsia="仿宋" w:cs="仿宋"/>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2022年度一般公共预算财政拨款基本支出</w:t>
      </w:r>
      <w:r>
        <w:rPr>
          <w:rFonts w:hint="eastAsia" w:ascii="仿宋" w:hAnsi="仿宋" w:eastAsia="仿宋" w:cs="仿宋"/>
          <w:sz w:val="32"/>
          <w:szCs w:val="32"/>
          <w:highlight w:val="none"/>
          <w:lang w:val="en-US" w:eastAsia="zh-CN"/>
        </w:rPr>
        <w:t>88.88</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86.23</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2.65</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szCs w:val="32"/>
          <w:highlight w:val="none"/>
          <w:lang w:val="en-US" w:eastAsia="zh-CN"/>
        </w:rPr>
        <w:t>81.22</w:t>
      </w:r>
      <w:r>
        <w:rPr>
          <w:rFonts w:ascii="仿宋" w:hAnsi="仿宋" w:eastAsia="仿宋" w:cs="仿宋"/>
          <w:sz w:val="32"/>
          <w:highlight w:val="none"/>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126.75</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主要原因是：提高职工工资。</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25.96万元，30102津贴补贴17.19万元，30103奖金18.98万元，30106伙食补助费1.00万元，30108机关事业单位基本养老保险缴费8.52万元，30110职工基本医疗保险缴费3.06万元，30111公务员医疗补助缴费50.92万元，30112其他社会保障缴费0.11万元，30113住房公积金6.41万元，30199其他工资福利支出2.64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568575"/>
            <wp:effectExtent l="4445" t="4445" r="16510" b="17780"/>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szCs w:val="32"/>
          <w:highlight w:val="none"/>
          <w:lang w:val="en-US" w:eastAsia="zh-CN"/>
        </w:rPr>
        <w:t>2.65</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34.73</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主要原因是：科目减少。</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30201办公费0.64万元，20205，30206电费0.13万元，30207邮电费0.78万元，30228工会经费1.1万元。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szCs w:val="32"/>
          <w:highlight w:val="none"/>
          <w:lang w:val="en-US" w:eastAsia="zh-CN"/>
        </w:rPr>
        <w:t>5.01</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100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主要原因是：跟上年数据一致。</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30305生活补助5万元，30399 其他对个人和家庭的补助0.01万元。</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left"/>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pStyle w:val="5"/>
        <w:keepNext w:val="0"/>
        <w:keepLines w:val="0"/>
        <w:widowControl/>
        <w:suppressLineNumbers w:val="0"/>
        <w:spacing w:line="555" w:lineRule="atLeast"/>
        <w:ind w:left="0" w:firstLine="645"/>
        <w:rPr>
          <w:rFonts w:hint="eastAsia" w:ascii="仿宋" w:hAnsi="仿宋" w:eastAsia="仿宋" w:cs="仿宋"/>
          <w:color w:val="666666"/>
          <w:sz w:val="32"/>
          <w:szCs w:val="32"/>
        </w:rPr>
      </w:pPr>
      <w:r>
        <w:rPr>
          <w:rFonts w:hint="eastAsia" w:ascii="仿宋" w:hAnsi="仿宋" w:eastAsia="仿宋" w:cs="仿宋"/>
          <w:color w:val="333333"/>
          <w:sz w:val="32"/>
          <w:szCs w:val="32"/>
          <w:shd w:val="clear" w:color="auto" w:fill="FFFFFF"/>
        </w:rPr>
        <w:t>本部门202</w:t>
      </w:r>
      <w:r>
        <w:rPr>
          <w:rFonts w:hint="eastAsia" w:ascii="仿宋" w:hAnsi="仿宋" w:eastAsia="仿宋" w:cs="仿宋"/>
          <w:color w:val="333333"/>
          <w:sz w:val="32"/>
          <w:szCs w:val="32"/>
          <w:shd w:val="clear" w:color="auto" w:fill="FFFFFF"/>
          <w:lang w:val="en-US" w:eastAsia="zh-CN"/>
        </w:rPr>
        <w:t>2</w:t>
      </w:r>
      <w:r>
        <w:rPr>
          <w:rFonts w:hint="eastAsia" w:ascii="仿宋" w:hAnsi="仿宋" w:eastAsia="仿宋" w:cs="仿宋"/>
          <w:color w:val="333333"/>
          <w:sz w:val="32"/>
          <w:szCs w:val="32"/>
          <w:shd w:val="clear" w:color="auto" w:fill="FFFFFF"/>
        </w:rPr>
        <w:t>年度没有国有资本经营预算收入，也没有国有</w:t>
      </w:r>
      <w:r>
        <w:rPr>
          <w:rFonts w:hint="eastAsia" w:ascii="仿宋" w:hAnsi="仿宋" w:eastAsia="仿宋" w:cs="仿宋"/>
          <w:color w:val="333333"/>
          <w:sz w:val="32"/>
          <w:szCs w:val="32"/>
          <w:shd w:val="clear" w:color="auto" w:fill="FFFFFF"/>
          <w:lang w:eastAsia="zh-CN"/>
        </w:rPr>
        <w:t>资本</w:t>
      </w:r>
      <w:r>
        <w:rPr>
          <w:rFonts w:hint="eastAsia" w:ascii="仿宋" w:hAnsi="仿宋" w:eastAsia="仿宋" w:cs="仿宋"/>
          <w:color w:val="333333"/>
          <w:sz w:val="32"/>
          <w:szCs w:val="32"/>
          <w:shd w:val="clear" w:color="auto" w:fill="FFFFFF"/>
        </w:rPr>
        <w:t>经营安排的支出。</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pStyle w:val="5"/>
        <w:keepNext w:val="0"/>
        <w:keepLines w:val="0"/>
        <w:pageBreakBefore w:val="0"/>
        <w:widowControl/>
        <w:suppressLineNumbers w:val="0"/>
        <w:kinsoku/>
        <w:wordWrap/>
        <w:overflowPunct/>
        <w:topLinePunct w:val="0"/>
        <w:autoSpaceDE/>
        <w:autoSpaceDN/>
        <w:bidi w:val="0"/>
        <w:adjustRightInd/>
        <w:snapToGrid/>
        <w:spacing w:line="540" w:lineRule="exact"/>
        <w:ind w:left="0" w:firstLine="646"/>
        <w:textAlignment w:val="auto"/>
        <w:rPr>
          <w:color w:val="666666"/>
        </w:rPr>
      </w:pPr>
      <w:r>
        <w:rPr>
          <w:rFonts w:hint="default" w:ascii="仿宋_GB2312" w:hAnsi="微软雅黑" w:eastAsia="仿宋_GB2312" w:cs="仿宋_GB2312"/>
          <w:color w:val="333333"/>
          <w:sz w:val="31"/>
          <w:szCs w:val="31"/>
          <w:shd w:val="clear" w:color="auto" w:fill="FFFFFF"/>
        </w:rPr>
        <w:t>（一）202</w:t>
      </w:r>
      <w:r>
        <w:rPr>
          <w:rFonts w:hint="eastAsia" w:ascii="仿宋_GB2312" w:hAnsi="微软雅黑" w:eastAsia="仿宋_GB2312" w:cs="仿宋_GB2312"/>
          <w:color w:val="333333"/>
          <w:sz w:val="31"/>
          <w:szCs w:val="31"/>
          <w:shd w:val="clear" w:color="auto" w:fill="FFFFFF"/>
          <w:lang w:val="en-US" w:eastAsia="zh-CN"/>
        </w:rPr>
        <w:t>2</w:t>
      </w:r>
      <w:r>
        <w:rPr>
          <w:rFonts w:hint="default" w:ascii="仿宋_GB2312" w:hAnsi="微软雅黑" w:eastAsia="仿宋_GB2312" w:cs="仿宋_GB2312"/>
          <w:color w:val="333333"/>
          <w:sz w:val="31"/>
          <w:szCs w:val="31"/>
          <w:shd w:val="clear" w:color="auto" w:fill="FFFFFF"/>
        </w:rPr>
        <w:t>年度一般公共预算财政拨款安排的“三公”经费支出决算0万元，完</w:t>
      </w:r>
      <w:r>
        <w:rPr>
          <w:rFonts w:hint="default" w:ascii="仿宋_GB2312" w:hAnsi="微软雅黑" w:eastAsia="仿宋_GB2312" w:cs="仿宋_GB2312"/>
          <w:color w:val="333333"/>
          <w:spacing w:val="0"/>
          <w:sz w:val="31"/>
          <w:szCs w:val="31"/>
          <w:shd w:val="clear" w:color="auto" w:fill="FFFFFF"/>
        </w:rPr>
        <w:t xml:space="preserve">成年初预算的 </w:t>
      </w:r>
      <w:r>
        <w:rPr>
          <w:rFonts w:hint="default" w:ascii="仿宋_GB2312" w:hAnsi="微软雅黑" w:eastAsia="仿宋_GB2312" w:cs="仿宋_GB2312"/>
          <w:color w:val="333333"/>
          <w:sz w:val="31"/>
          <w:szCs w:val="31"/>
          <w:shd w:val="clear" w:color="auto" w:fill="FFFFFF"/>
        </w:rPr>
        <w:t>0 %。其中：因公出国（境）费支出决算0万元，完成年初预算的 0 %；公务用车购置及运行费</w:t>
      </w:r>
      <w:r>
        <w:rPr>
          <w:rFonts w:hint="default" w:ascii="仿宋_GB2312" w:hAnsi="微软雅黑" w:eastAsia="仿宋_GB2312" w:cs="仿宋_GB2312"/>
          <w:color w:val="333333"/>
          <w:spacing w:val="0"/>
          <w:sz w:val="31"/>
          <w:szCs w:val="31"/>
          <w:shd w:val="clear" w:color="auto" w:fill="FFFFFF"/>
        </w:rPr>
        <w:t>支出决算0万元，完成年初预算的 0 %；公务接待费支出决算0万元，完成年初预算的 0 %。支出数未超出年初预算数主要原因是：认真贯彻落实中央“八项规定”精神和厉行节约要求，严控和压缩“三公”经费相关支</w:t>
      </w:r>
      <w:r>
        <w:rPr>
          <w:rFonts w:hint="default" w:ascii="仿宋_GB2312" w:hAnsi="微软雅黑" w:eastAsia="仿宋_GB2312" w:cs="仿宋_GB2312"/>
          <w:color w:val="333333"/>
          <w:sz w:val="31"/>
          <w:szCs w:val="31"/>
          <w:shd w:val="clear" w:color="auto" w:fill="FFFFFF"/>
        </w:rPr>
        <w:t>出。</w:t>
      </w:r>
    </w:p>
    <w:p>
      <w:pPr>
        <w:pStyle w:val="5"/>
        <w:keepNext w:val="0"/>
        <w:keepLines w:val="0"/>
        <w:pageBreakBefore w:val="0"/>
        <w:widowControl/>
        <w:suppressLineNumbers w:val="0"/>
        <w:kinsoku/>
        <w:wordWrap/>
        <w:overflowPunct/>
        <w:topLinePunct w:val="0"/>
        <w:autoSpaceDE/>
        <w:autoSpaceDN/>
        <w:bidi w:val="0"/>
        <w:adjustRightInd/>
        <w:snapToGrid/>
        <w:spacing w:line="540" w:lineRule="exact"/>
        <w:ind w:left="0" w:firstLine="646"/>
        <w:textAlignment w:val="auto"/>
        <w:rPr>
          <w:rFonts w:hint="default" w:ascii="仿宋_GB2312" w:hAnsi="微软雅黑" w:eastAsia="仿宋_GB2312" w:cs="仿宋_GB2312"/>
          <w:color w:val="333333"/>
          <w:sz w:val="31"/>
          <w:szCs w:val="31"/>
          <w:shd w:val="clear" w:color="auto" w:fill="FFFFFF"/>
        </w:rPr>
      </w:pPr>
      <w:r>
        <w:rPr>
          <w:rFonts w:hint="default" w:ascii="仿宋_GB2312" w:hAnsi="微软雅黑" w:eastAsia="仿宋_GB2312" w:cs="仿宋_GB2312"/>
          <w:color w:val="333333"/>
          <w:sz w:val="31"/>
          <w:szCs w:val="31"/>
          <w:shd w:val="clear" w:color="auto" w:fill="FFFFFF"/>
        </w:rPr>
        <w:t>（二）202</w:t>
      </w:r>
      <w:r>
        <w:rPr>
          <w:rFonts w:hint="eastAsia" w:ascii="仿宋_GB2312" w:hAnsi="微软雅黑" w:eastAsia="仿宋_GB2312" w:cs="仿宋_GB2312"/>
          <w:color w:val="333333"/>
          <w:sz w:val="31"/>
          <w:szCs w:val="31"/>
          <w:shd w:val="clear" w:color="auto" w:fill="FFFFFF"/>
          <w:lang w:val="en-US" w:eastAsia="zh-CN"/>
        </w:rPr>
        <w:t>2</w:t>
      </w:r>
      <w:r>
        <w:rPr>
          <w:rFonts w:hint="default" w:ascii="仿宋_GB2312" w:hAnsi="微软雅黑" w:eastAsia="仿宋_GB2312" w:cs="仿宋_GB2312"/>
          <w:color w:val="333333"/>
          <w:sz w:val="31"/>
          <w:szCs w:val="31"/>
          <w:shd w:val="clear" w:color="auto" w:fill="FFFFFF"/>
        </w:rPr>
        <w:t>年度一般公共预算财政拨款安排的“三公”经费支出决算数</w:t>
      </w:r>
      <w:r>
        <w:rPr>
          <w:rStyle w:val="8"/>
          <w:rFonts w:hint="default" w:ascii="仿宋_GB2312" w:hAnsi="微软雅黑" w:eastAsia="仿宋_GB2312" w:cs="仿宋_GB2312"/>
          <w:b w:val="0"/>
          <w:bCs/>
          <w:color w:val="333333"/>
          <w:sz w:val="31"/>
          <w:szCs w:val="31"/>
          <w:shd w:val="clear" w:color="auto" w:fill="FFFFFF"/>
        </w:rPr>
        <w:t>较202</w:t>
      </w:r>
      <w:r>
        <w:rPr>
          <w:rStyle w:val="8"/>
          <w:rFonts w:hint="eastAsia" w:ascii="仿宋_GB2312" w:hAnsi="微软雅黑" w:eastAsia="仿宋_GB2312" w:cs="仿宋_GB2312"/>
          <w:b w:val="0"/>
          <w:bCs/>
          <w:color w:val="333333"/>
          <w:sz w:val="31"/>
          <w:szCs w:val="31"/>
          <w:shd w:val="clear" w:color="auto" w:fill="FFFFFF"/>
          <w:lang w:val="en-US" w:eastAsia="zh-CN"/>
        </w:rPr>
        <w:t>1</w:t>
      </w:r>
      <w:r>
        <w:rPr>
          <w:rStyle w:val="8"/>
          <w:rFonts w:hint="default" w:ascii="仿宋_GB2312" w:hAnsi="微软雅黑" w:eastAsia="仿宋_GB2312" w:cs="仿宋_GB2312"/>
          <w:b w:val="0"/>
          <w:bCs/>
          <w:color w:val="333333"/>
          <w:sz w:val="31"/>
          <w:szCs w:val="31"/>
          <w:shd w:val="clear" w:color="auto" w:fill="FFFFFF"/>
        </w:rPr>
        <w:t>年决算数</w:t>
      </w:r>
      <w:r>
        <w:rPr>
          <w:rStyle w:val="8"/>
          <w:rFonts w:hint="eastAsia" w:ascii="仿宋_GB2312" w:hAnsi="微软雅黑" w:eastAsia="仿宋_GB2312" w:cs="仿宋_GB2312"/>
          <w:b w:val="0"/>
          <w:bCs/>
          <w:color w:val="333333"/>
          <w:sz w:val="31"/>
          <w:szCs w:val="31"/>
          <w:shd w:val="clear" w:color="auto" w:fill="FFFFFF"/>
          <w:lang w:eastAsia="zh-CN"/>
        </w:rPr>
        <w:t>（增加）</w:t>
      </w:r>
      <w:r>
        <w:rPr>
          <w:rFonts w:hint="default" w:ascii="仿宋_GB2312" w:hAnsi="微软雅黑" w:eastAsia="仿宋_GB2312" w:cs="仿宋_GB2312"/>
          <w:color w:val="333333"/>
          <w:sz w:val="31"/>
          <w:szCs w:val="31"/>
          <w:shd w:val="clear" w:color="auto" w:fill="FFFFFF"/>
        </w:rPr>
        <w:t>减少0万元，</w:t>
      </w:r>
      <w:r>
        <w:rPr>
          <w:rStyle w:val="8"/>
          <w:rFonts w:hint="eastAsia" w:ascii="仿宋_GB2312" w:hAnsi="微软雅黑" w:eastAsia="仿宋_GB2312" w:cs="仿宋_GB2312"/>
          <w:b w:val="0"/>
          <w:bCs/>
          <w:color w:val="333333"/>
          <w:sz w:val="31"/>
          <w:szCs w:val="31"/>
          <w:shd w:val="clear" w:color="auto" w:fill="FFFFFF"/>
          <w:lang w:eastAsia="zh-CN"/>
        </w:rPr>
        <w:t>（增加）</w:t>
      </w:r>
      <w:r>
        <w:rPr>
          <w:rFonts w:hint="default" w:ascii="仿宋_GB2312" w:hAnsi="微软雅黑" w:eastAsia="仿宋_GB2312" w:cs="仿宋_GB2312"/>
          <w:color w:val="333333"/>
          <w:sz w:val="31"/>
          <w:szCs w:val="31"/>
          <w:shd w:val="clear" w:color="auto" w:fill="FFFFFF"/>
        </w:rPr>
        <w:t>下降1</w:t>
      </w:r>
      <w:r>
        <w:rPr>
          <w:rFonts w:hint="eastAsia" w:ascii="仿宋_GB2312" w:hAnsi="微软雅黑" w:eastAsia="仿宋_GB2312" w:cs="仿宋_GB2312"/>
          <w:color w:val="333333"/>
          <w:sz w:val="31"/>
          <w:szCs w:val="31"/>
          <w:shd w:val="clear" w:color="auto" w:fill="FFFFFF"/>
          <w:lang w:val="en-US" w:eastAsia="zh-CN"/>
        </w:rPr>
        <w:t>0</w:t>
      </w:r>
      <w:r>
        <w:rPr>
          <w:rFonts w:hint="default" w:ascii="仿宋_GB2312" w:hAnsi="微软雅黑" w:eastAsia="仿宋_GB2312" w:cs="仿宋_GB2312"/>
          <w:color w:val="333333"/>
          <w:sz w:val="31"/>
          <w:szCs w:val="31"/>
          <w:shd w:val="clear" w:color="auto" w:fill="FFFFFF"/>
        </w:rPr>
        <w:t> %，主要原因是财政没有安排资金结账。具体情况如下：</w:t>
      </w:r>
    </w:p>
    <w:p>
      <w:pPr>
        <w:pStyle w:val="5"/>
        <w:keepNext w:val="0"/>
        <w:keepLines w:val="0"/>
        <w:pageBreakBefore w:val="0"/>
        <w:widowControl/>
        <w:suppressLineNumbers w:val="0"/>
        <w:kinsoku/>
        <w:wordWrap/>
        <w:overflowPunct/>
        <w:topLinePunct w:val="0"/>
        <w:autoSpaceDE/>
        <w:autoSpaceDN/>
        <w:bidi w:val="0"/>
        <w:adjustRightInd/>
        <w:snapToGrid/>
        <w:spacing w:line="540" w:lineRule="exact"/>
        <w:ind w:left="0" w:firstLine="646"/>
        <w:textAlignment w:val="auto"/>
        <w:rPr>
          <w:color w:val="666666"/>
        </w:rPr>
      </w:pPr>
      <w:r>
        <w:rPr>
          <w:rFonts w:hint="default" w:ascii="仿宋_GB2312" w:hAnsi="微软雅黑" w:eastAsia="仿宋_GB2312" w:cs="仿宋_GB2312"/>
          <w:color w:val="333333"/>
          <w:spacing w:val="15"/>
          <w:sz w:val="31"/>
          <w:szCs w:val="31"/>
          <w:shd w:val="clear" w:color="auto" w:fill="FFFFFF"/>
        </w:rPr>
        <w:t>1.</w:t>
      </w:r>
      <w:r>
        <w:rPr>
          <w:rFonts w:hint="default" w:ascii="仿宋_GB2312" w:hAnsi="微软雅黑" w:eastAsia="仿宋_GB2312" w:cs="仿宋_GB2312"/>
          <w:color w:val="333333"/>
          <w:sz w:val="31"/>
          <w:szCs w:val="31"/>
          <w:shd w:val="clear" w:color="auto" w:fill="FFFFFF"/>
        </w:rPr>
        <w:t>因公出国（境）费支出0万元，完成年初预算的 0 %，比上年增减（减少）0万元。全年使用财政拨款安排机关、所属单位出国团0个，参加其他单位组织的出国团0个，全年因公出国（境）团组共计0个，累计0人次。</w:t>
      </w:r>
    </w:p>
    <w:p>
      <w:pPr>
        <w:pStyle w:val="5"/>
        <w:keepNext w:val="0"/>
        <w:keepLines w:val="0"/>
        <w:pageBreakBefore w:val="0"/>
        <w:widowControl/>
        <w:suppressLineNumbers w:val="0"/>
        <w:kinsoku/>
        <w:wordWrap/>
        <w:overflowPunct/>
        <w:topLinePunct w:val="0"/>
        <w:autoSpaceDE/>
        <w:autoSpaceDN/>
        <w:bidi w:val="0"/>
        <w:adjustRightInd/>
        <w:snapToGrid/>
        <w:spacing w:line="540" w:lineRule="exact"/>
        <w:ind w:left="0" w:firstLine="646"/>
        <w:textAlignment w:val="auto"/>
        <w:rPr>
          <w:color w:val="666666"/>
        </w:rPr>
      </w:pPr>
      <w:r>
        <w:rPr>
          <w:rFonts w:hint="default" w:ascii="仿宋_GB2312" w:hAnsi="微软雅黑" w:eastAsia="仿宋_GB2312" w:cs="仿宋_GB2312"/>
          <w:color w:val="333333"/>
          <w:sz w:val="31"/>
          <w:szCs w:val="31"/>
          <w:shd w:val="clear" w:color="auto" w:fill="FFFFFF"/>
        </w:rPr>
        <w:t>2.公务用车购置及运行费支出 0 万元。公务用车购置支出0万元。较202</w:t>
      </w:r>
      <w:r>
        <w:rPr>
          <w:rFonts w:hint="eastAsia" w:ascii="仿宋_GB2312" w:hAnsi="微软雅黑" w:eastAsia="仿宋_GB2312" w:cs="仿宋_GB2312"/>
          <w:color w:val="333333"/>
          <w:sz w:val="31"/>
          <w:szCs w:val="31"/>
          <w:shd w:val="clear" w:color="auto" w:fill="FFFFFF"/>
          <w:lang w:val="en-US" w:eastAsia="zh-CN"/>
        </w:rPr>
        <w:t>2</w:t>
      </w:r>
      <w:r>
        <w:rPr>
          <w:rFonts w:hint="default" w:ascii="仿宋_GB2312" w:hAnsi="微软雅黑" w:eastAsia="仿宋_GB2312" w:cs="仿宋_GB2312"/>
          <w:color w:val="333333"/>
          <w:sz w:val="31"/>
          <w:szCs w:val="31"/>
          <w:shd w:val="clear" w:color="auto" w:fill="FFFFFF"/>
        </w:rPr>
        <w:t>年决算数增加（减少）0万元，增长（下降）0 %。主要原因是本单位未配备有公务车。</w:t>
      </w:r>
    </w:p>
    <w:p>
      <w:pPr>
        <w:pStyle w:val="5"/>
        <w:keepNext w:val="0"/>
        <w:keepLines w:val="0"/>
        <w:pageBreakBefore w:val="0"/>
        <w:widowControl/>
        <w:suppressLineNumbers w:val="0"/>
        <w:kinsoku/>
        <w:wordWrap/>
        <w:overflowPunct/>
        <w:topLinePunct w:val="0"/>
        <w:autoSpaceDE/>
        <w:autoSpaceDN/>
        <w:bidi w:val="0"/>
        <w:adjustRightInd/>
        <w:snapToGrid/>
        <w:spacing w:line="540" w:lineRule="exact"/>
        <w:ind w:left="0" w:firstLine="646"/>
        <w:textAlignment w:val="auto"/>
        <w:rPr>
          <w:color w:val="666666"/>
        </w:rPr>
      </w:pPr>
      <w:r>
        <w:rPr>
          <w:rFonts w:hint="default" w:ascii="仿宋_GB2312" w:hAnsi="微软雅黑" w:eastAsia="仿宋_GB2312" w:cs="仿宋_GB2312"/>
          <w:color w:val="333333"/>
          <w:sz w:val="31"/>
          <w:szCs w:val="31"/>
          <w:shd w:val="clear" w:color="auto" w:fill="FFFFFF"/>
        </w:rPr>
        <w:t>公务用车运行费支出0万元。主要用于单位机要文件交换、城区乡镇因公出行以及开展业务所需车辆燃料费、维修费、过路过桥费、保险费等。202</w:t>
      </w:r>
      <w:r>
        <w:rPr>
          <w:rFonts w:hint="eastAsia" w:ascii="仿宋_GB2312" w:hAnsi="微软雅黑" w:eastAsia="仿宋_GB2312" w:cs="仿宋_GB2312"/>
          <w:color w:val="333333"/>
          <w:sz w:val="31"/>
          <w:szCs w:val="31"/>
          <w:shd w:val="clear" w:color="auto" w:fill="FFFFFF"/>
          <w:lang w:val="en-US" w:eastAsia="zh-CN"/>
        </w:rPr>
        <w:t>2</w:t>
      </w:r>
      <w:r>
        <w:rPr>
          <w:rFonts w:hint="default" w:ascii="仿宋_GB2312" w:hAnsi="微软雅黑" w:eastAsia="仿宋_GB2312" w:cs="仿宋_GB2312"/>
          <w:color w:val="333333"/>
          <w:sz w:val="31"/>
          <w:szCs w:val="31"/>
          <w:shd w:val="clear" w:color="auto" w:fill="FFFFFF"/>
        </w:rPr>
        <w:t>年本单位开支财政拨款的公务用车保有量为0辆，全年运行费支出0万元，平均每辆0万元。202</w:t>
      </w:r>
      <w:r>
        <w:rPr>
          <w:rFonts w:hint="eastAsia" w:ascii="仿宋_GB2312" w:hAnsi="微软雅黑" w:eastAsia="仿宋_GB2312" w:cs="仿宋_GB2312"/>
          <w:color w:val="333333"/>
          <w:sz w:val="31"/>
          <w:szCs w:val="31"/>
          <w:shd w:val="clear" w:color="auto" w:fill="FFFFFF"/>
          <w:lang w:val="en-US" w:eastAsia="zh-CN"/>
        </w:rPr>
        <w:t>2</w:t>
      </w:r>
      <w:r>
        <w:rPr>
          <w:rFonts w:hint="default" w:ascii="仿宋_GB2312" w:hAnsi="微软雅黑" w:eastAsia="仿宋_GB2312" w:cs="仿宋_GB2312"/>
          <w:color w:val="333333"/>
          <w:sz w:val="31"/>
          <w:szCs w:val="31"/>
          <w:shd w:val="clear" w:color="auto" w:fill="FFFFFF"/>
        </w:rPr>
        <w:t>年决算数较202</w:t>
      </w:r>
      <w:r>
        <w:rPr>
          <w:rFonts w:hint="eastAsia" w:ascii="仿宋_GB2312" w:hAnsi="微软雅黑" w:eastAsia="仿宋_GB2312" w:cs="仿宋_GB2312"/>
          <w:color w:val="333333"/>
          <w:sz w:val="31"/>
          <w:szCs w:val="31"/>
          <w:shd w:val="clear" w:color="auto" w:fill="FFFFFF"/>
          <w:lang w:val="en-US" w:eastAsia="zh-CN"/>
        </w:rPr>
        <w:t>2</w:t>
      </w:r>
      <w:r>
        <w:rPr>
          <w:rFonts w:hint="default" w:ascii="仿宋_GB2312" w:hAnsi="微软雅黑" w:eastAsia="仿宋_GB2312" w:cs="仿宋_GB2312"/>
          <w:color w:val="333333"/>
          <w:sz w:val="31"/>
          <w:szCs w:val="31"/>
          <w:shd w:val="clear" w:color="auto" w:fill="FFFFFF"/>
        </w:rPr>
        <w:t>年决算数增加（减少）0万元，增长（下降）0%，主要原因是本单位未配备有公务车。</w:t>
      </w:r>
    </w:p>
    <w:p>
      <w:pPr>
        <w:pStyle w:val="5"/>
        <w:keepNext w:val="0"/>
        <w:keepLines w:val="0"/>
        <w:pageBreakBefore w:val="0"/>
        <w:widowControl/>
        <w:suppressLineNumbers w:val="0"/>
        <w:kinsoku/>
        <w:wordWrap/>
        <w:overflowPunct/>
        <w:topLinePunct w:val="0"/>
        <w:autoSpaceDE/>
        <w:autoSpaceDN/>
        <w:bidi w:val="0"/>
        <w:adjustRightInd/>
        <w:snapToGrid/>
        <w:spacing w:line="540" w:lineRule="exact"/>
        <w:ind w:left="0" w:firstLine="646"/>
        <w:textAlignment w:val="auto"/>
        <w:rPr>
          <w:color w:val="666666"/>
        </w:rPr>
      </w:pPr>
      <w:r>
        <w:rPr>
          <w:rFonts w:hint="default" w:ascii="仿宋_GB2312" w:hAnsi="微软雅黑" w:eastAsia="仿宋_GB2312" w:cs="仿宋_GB2312"/>
          <w:color w:val="333333"/>
          <w:sz w:val="31"/>
          <w:szCs w:val="31"/>
          <w:shd w:val="clear" w:color="auto" w:fill="FFFFFF"/>
        </w:rPr>
        <w:t>3.公务接待费支出 0 万元，完成年初预算的 0 %， 比上年减少</w:t>
      </w:r>
      <w:r>
        <w:rPr>
          <w:rFonts w:hint="eastAsia" w:ascii="仿宋_GB2312" w:hAnsi="微软雅黑" w:eastAsia="仿宋_GB2312" w:cs="仿宋_GB2312"/>
          <w:color w:val="333333"/>
          <w:sz w:val="31"/>
          <w:szCs w:val="31"/>
          <w:shd w:val="clear" w:color="auto" w:fill="FFFFFF"/>
          <w:lang w:eastAsia="zh-CN"/>
        </w:rPr>
        <w:t>（增加）</w:t>
      </w:r>
      <w:r>
        <w:rPr>
          <w:rFonts w:hint="default" w:ascii="仿宋_GB2312" w:hAnsi="微软雅黑" w:eastAsia="仿宋_GB2312" w:cs="仿宋_GB2312"/>
          <w:color w:val="333333"/>
          <w:sz w:val="31"/>
          <w:szCs w:val="31"/>
          <w:shd w:val="clear" w:color="auto" w:fill="FFFFFF"/>
        </w:rPr>
        <w:t>0万元，原因是财政没有安排资金结账。国内公务接待批次0次，人次0次，国（境）外公务接待批次0次，人次0次。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eastAsia" w:ascii="仿宋" w:hAnsi="仿宋" w:eastAsia="仿宋" w:cs="仿宋"/>
          <w:color w:val="FF0000"/>
          <w:sz w:val="32"/>
          <w:szCs w:val="32"/>
          <w:highlight w:val="none"/>
          <w:lang w:eastAsia="zh-CN"/>
        </w:rPr>
      </w:pPr>
      <w:r>
        <w:rPr>
          <w:rFonts w:hint="eastAsia" w:ascii="仿宋" w:hAnsi="仿宋" w:eastAsia="仿宋" w:cs="仿宋"/>
          <w:sz w:val="32"/>
          <w:szCs w:val="32"/>
          <w:highlight w:val="none"/>
        </w:rPr>
        <w:t>本部门2022年度机关运行经费支出</w:t>
      </w:r>
      <w:r>
        <w:rPr>
          <w:rFonts w:hint="eastAsia" w:ascii="仿宋" w:hAnsi="仿宋" w:eastAsia="仿宋" w:cs="仿宋"/>
          <w:sz w:val="32"/>
          <w:szCs w:val="32"/>
          <w:highlight w:val="none"/>
          <w:lang w:val="en-US" w:eastAsia="zh-CN"/>
        </w:rPr>
        <w:t>2.65</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4.98</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65.27</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hint="eastAsia" w:ascii="仿宋" w:hAnsi="仿宋" w:eastAsia="仿宋" w:cs="仿宋"/>
          <w:sz w:val="32"/>
          <w:szCs w:val="32"/>
          <w:highlight w:val="none"/>
          <w:lang w:eastAsia="zh-CN"/>
        </w:rPr>
        <w:t>减少</w:t>
      </w:r>
      <w:r>
        <w:rPr>
          <w:rFonts w:hint="eastAsia" w:ascii="仿宋" w:hAnsi="仿宋" w:eastAsia="仿宋" w:cs="仿宋"/>
          <w:sz w:val="32"/>
          <w:szCs w:val="32"/>
          <w:highlight w:val="none"/>
          <w:lang w:val="en-US" w:eastAsia="zh-CN"/>
        </w:rPr>
        <w:t>0.45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下降</w:t>
      </w:r>
      <w:r>
        <w:rPr>
          <w:rFonts w:hint="eastAsia" w:ascii="仿宋" w:hAnsi="仿宋" w:eastAsia="仿宋" w:cs="仿宋"/>
          <w:sz w:val="32"/>
          <w:szCs w:val="32"/>
          <w:highlight w:val="none"/>
          <w:lang w:val="en-US" w:eastAsia="zh-CN"/>
        </w:rPr>
        <w:t>14.52</w:t>
      </w:r>
      <w:r>
        <w:rPr>
          <w:rFonts w:ascii="仿宋" w:hAnsi="仿宋" w:eastAsia="仿宋" w:cs="仿宋"/>
          <w:sz w:val="32"/>
          <w:szCs w:val="32"/>
          <w:highlight w:val="none"/>
        </w:rPr>
        <w:t>%</w:t>
      </w:r>
      <w:r>
        <w:rPr>
          <w:rFonts w:hint="eastAsia" w:ascii="仿宋" w:hAnsi="仿宋" w:eastAsia="仿宋" w:cs="仿宋"/>
          <w:color w:val="000000" w:themeColor="text1"/>
          <w:sz w:val="32"/>
          <w:szCs w:val="32"/>
          <w:highlight w:val="none"/>
          <w14:textFill>
            <w14:solidFill>
              <w14:schemeClr w14:val="tx1"/>
            </w14:solidFill>
          </w14:textFill>
        </w:rPr>
        <w:t>。原因是：</w:t>
      </w:r>
      <w:r>
        <w:rPr>
          <w:rFonts w:hint="eastAsia" w:ascii="仿宋" w:hAnsi="仿宋" w:eastAsia="仿宋" w:cs="仿宋"/>
          <w:color w:val="000000" w:themeColor="text1"/>
          <w:sz w:val="32"/>
          <w:szCs w:val="32"/>
          <w:highlight w:val="none"/>
          <w:lang w:eastAsia="zh-CN"/>
          <w14:textFill>
            <w14:solidFill>
              <w14:schemeClr w14:val="tx1"/>
            </w14:solidFill>
          </w14:textFill>
        </w:rPr>
        <w:t>项目减少。</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0.00%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25.30</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88.71</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pStyle w:val="5"/>
        <w:keepNext w:val="0"/>
        <w:keepLines w:val="0"/>
        <w:widowControl/>
        <w:suppressLineNumbers w:val="0"/>
        <w:spacing w:line="555" w:lineRule="atLeast"/>
        <w:ind w:left="0" w:firstLine="645"/>
        <w:rPr>
          <w:color w:val="666666"/>
        </w:rPr>
      </w:pPr>
      <w:r>
        <w:rPr>
          <w:rFonts w:hint="default" w:ascii="仿宋_GB2312" w:hAnsi="微软雅黑" w:eastAsia="仿宋_GB2312" w:cs="仿宋_GB2312"/>
          <w:color w:val="333333"/>
          <w:sz w:val="31"/>
          <w:szCs w:val="31"/>
          <w:shd w:val="clear" w:color="auto" w:fill="FFFFFF"/>
        </w:rPr>
        <w:t>组织对“《环江年鉴(2022)》书号费、地图费”等1个项目进行了部门评价，涉及一般公共预算支出</w:t>
      </w:r>
      <w:r>
        <w:rPr>
          <w:rFonts w:hint="eastAsia" w:ascii="仿宋_GB2312" w:hAnsi="微软雅黑" w:eastAsia="仿宋_GB2312" w:cs="仿宋_GB2312"/>
          <w:color w:val="333333"/>
          <w:sz w:val="31"/>
          <w:szCs w:val="31"/>
          <w:shd w:val="clear" w:color="auto" w:fill="FFFFFF"/>
          <w:lang w:val="en-US" w:eastAsia="zh-CN"/>
        </w:rPr>
        <w:t>5.2</w:t>
      </w:r>
      <w:r>
        <w:rPr>
          <w:rFonts w:hint="default" w:ascii="仿宋_GB2312" w:hAnsi="微软雅黑" w:eastAsia="仿宋_GB2312" w:cs="仿宋_GB2312"/>
          <w:color w:val="333333"/>
          <w:sz w:val="31"/>
          <w:szCs w:val="31"/>
          <w:shd w:val="clear" w:color="auto" w:fill="FFFFFF"/>
        </w:rPr>
        <w:t>万元，政府性基金预算支出 0 万元，国有资本经营预算支出 0 万元。从评价情况来看一年来，本部门各单位能认真履行职责，做好统筹协调、各类重要工作文稿起草、重要会议服务、督查、机要、保密、信息、后勤服务等工作；工作经费及时落实到位，保证了各项工作的按时、有序开展；业务管理和财务管理制度比较健全，并能得到贯彻执行，整体支出绩效评价效果较好，达到了预期目标。</w:t>
      </w:r>
    </w:p>
    <w:p>
      <w:pPr>
        <w:pStyle w:val="5"/>
        <w:keepNext w:val="0"/>
        <w:keepLines w:val="0"/>
        <w:widowControl/>
        <w:suppressLineNumbers w:val="0"/>
        <w:spacing w:line="555" w:lineRule="atLeast"/>
        <w:ind w:left="0" w:firstLine="645"/>
        <w:rPr>
          <w:rFonts w:hint="default" w:ascii="仿宋_GB2312" w:hAnsi="微软雅黑" w:eastAsia="仿宋_GB2312" w:cs="仿宋_GB2312"/>
          <w:color w:val="333333"/>
          <w:sz w:val="31"/>
          <w:szCs w:val="31"/>
          <w:shd w:val="clear" w:color="auto" w:fill="FFFFFF"/>
        </w:rPr>
      </w:pPr>
      <w:r>
        <w:rPr>
          <w:rFonts w:hint="default" w:ascii="仿宋_GB2312" w:hAnsi="微软雅黑" w:eastAsia="仿宋_GB2312" w:cs="仿宋_GB2312"/>
          <w:color w:val="333333"/>
          <w:sz w:val="31"/>
          <w:szCs w:val="31"/>
          <w:shd w:val="clear" w:color="auto" w:fill="FFFFFF"/>
        </w:rPr>
        <w:t>（2）组织部门开展了整体支出绩效评价试点，涉及一般公共预算支出</w:t>
      </w:r>
      <w:r>
        <w:rPr>
          <w:rFonts w:hint="eastAsia" w:ascii="仿宋_GB2312" w:hAnsi="微软雅黑" w:eastAsia="仿宋_GB2312" w:cs="仿宋_GB2312"/>
          <w:color w:val="333333"/>
          <w:sz w:val="31"/>
          <w:szCs w:val="31"/>
          <w:shd w:val="clear" w:color="auto" w:fill="FFFFFF"/>
          <w:lang w:val="en-US" w:eastAsia="zh-CN"/>
        </w:rPr>
        <w:t>5.2</w:t>
      </w:r>
      <w:r>
        <w:rPr>
          <w:rFonts w:hint="default" w:ascii="仿宋_GB2312" w:hAnsi="微软雅黑" w:eastAsia="仿宋_GB2312" w:cs="仿宋_GB2312"/>
          <w:color w:val="333333"/>
          <w:sz w:val="31"/>
          <w:szCs w:val="31"/>
          <w:shd w:val="clear" w:color="auto" w:fill="FFFFFF"/>
        </w:rPr>
        <w:t>万元，政府性基金预算支出 0 万元。从评价情况来看，一年来，本部门各单位能认真履行职责，做好统筹协调、各类重要工作文稿起草、重要会议服务、督查、机要、保密、信息、后勤服务等工作；工作经费及时落实到位，保证了各项工作的按时、有序开展；业务管理和财务管理制度比较健全，并能得到贯彻执行，整体支出绩效评价效果较好，达到了预期目标。</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pPr>
        <w:pStyle w:val="5"/>
        <w:keepNext w:val="0"/>
        <w:keepLines w:val="0"/>
        <w:widowControl/>
        <w:suppressLineNumbers w:val="0"/>
        <w:spacing w:line="555" w:lineRule="atLeast"/>
        <w:ind w:left="0" w:firstLine="645"/>
        <w:rPr>
          <w:rFonts w:hint="eastAsia" w:ascii="仿宋" w:hAnsi="仿宋" w:eastAsia="仿宋" w:cs="仿宋"/>
          <w:sz w:val="32"/>
          <w:szCs w:val="32"/>
          <w:highlight w:val="none"/>
        </w:rPr>
      </w:pPr>
      <w:r>
        <w:rPr>
          <w:rFonts w:hint="default" w:ascii="仿宋_GB2312" w:hAnsi="微软雅黑" w:eastAsia="仿宋_GB2312" w:cs="仿宋_GB2312"/>
          <w:color w:val="333333"/>
          <w:sz w:val="31"/>
          <w:szCs w:val="31"/>
          <w:shd w:val="clear" w:color="auto" w:fill="FFFFFF"/>
        </w:rPr>
        <w:t>我部门根据年初设定的绩效目标，“《环江年鉴(2022)》书号费、地图费”项目自评得分为100 分。该项目年初预算1万元，组织对““《环江年鉴(2022)》书号费、地图费”1个项目进行了绩效评价，绩效评价结果显示，上述项目支出绩效情况达到项目申请时设定的各项指标。</w:t>
      </w: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u w:color="auto"/>
          <w:lang w:val="en-US" w:eastAsia="zh-CN"/>
        </w:rPr>
        <w:t>环江县</w:t>
      </w:r>
      <w:r>
        <w:rPr>
          <w:rFonts w:ascii="仿宋" w:hAnsi="仿宋" w:eastAsia="仿宋" w:cs="仿宋"/>
          <w:sz w:val="32"/>
          <w:u w:color="auto"/>
        </w:rPr>
        <w:t>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val="en-US" w:eastAsia="zh-CN"/>
        </w:rPr>
        <w:t>环江县</w:t>
      </w:r>
      <w:r>
        <w:rPr>
          <w:rFonts w:ascii="仿宋" w:hAnsi="仿宋" w:eastAsia="仿宋" w:cs="仿宋"/>
          <w:sz w:val="32"/>
          <w:u w:color="auto"/>
        </w:rPr>
        <w:t>财政预决算管理的“三公”经费，是指</w:t>
      </w:r>
      <w:r>
        <w:rPr>
          <w:rFonts w:hint="eastAsia" w:ascii="仿宋" w:hAnsi="仿宋" w:eastAsia="仿宋" w:cs="仿宋"/>
          <w:sz w:val="32"/>
          <w:u w:color="auto"/>
          <w:lang w:val="en-US" w:eastAsia="zh-CN"/>
        </w:rPr>
        <w:t>环江县</w:t>
      </w:r>
      <w:bookmarkStart w:id="2" w:name="_GoBack"/>
      <w:bookmarkEnd w:id="2"/>
      <w:r>
        <w:rPr>
          <w:rFonts w:ascii="仿宋" w:hAnsi="仿宋" w:eastAsia="仿宋" w:cs="仿宋"/>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4ZGYxMThhZTUzZjQ0YTUwZjA4ODNmZmZiY2NlZT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56C4"/>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E54546"/>
    <w:rsid w:val="058938A1"/>
    <w:rsid w:val="05992762"/>
    <w:rsid w:val="07B0770E"/>
    <w:rsid w:val="08275C22"/>
    <w:rsid w:val="0942143F"/>
    <w:rsid w:val="0A434869"/>
    <w:rsid w:val="0A851B85"/>
    <w:rsid w:val="0CC223BD"/>
    <w:rsid w:val="0D100297"/>
    <w:rsid w:val="0D202B45"/>
    <w:rsid w:val="0F8D4C87"/>
    <w:rsid w:val="0FD562F9"/>
    <w:rsid w:val="10505FAA"/>
    <w:rsid w:val="105F7E7E"/>
    <w:rsid w:val="11845E93"/>
    <w:rsid w:val="11E56B5B"/>
    <w:rsid w:val="12413D84"/>
    <w:rsid w:val="125C77AB"/>
    <w:rsid w:val="14CB726E"/>
    <w:rsid w:val="17E92249"/>
    <w:rsid w:val="18D304F1"/>
    <w:rsid w:val="19F32577"/>
    <w:rsid w:val="19F45B80"/>
    <w:rsid w:val="1B0C078D"/>
    <w:rsid w:val="1B2B31E2"/>
    <w:rsid w:val="1B4C295A"/>
    <w:rsid w:val="1B973C63"/>
    <w:rsid w:val="1BA1001E"/>
    <w:rsid w:val="1C444B9D"/>
    <w:rsid w:val="1D317259"/>
    <w:rsid w:val="1E664F5B"/>
    <w:rsid w:val="1EB34BE1"/>
    <w:rsid w:val="215E639F"/>
    <w:rsid w:val="21EC3183"/>
    <w:rsid w:val="225E72CD"/>
    <w:rsid w:val="22BD1205"/>
    <w:rsid w:val="22E744D4"/>
    <w:rsid w:val="233970C0"/>
    <w:rsid w:val="246E2F77"/>
    <w:rsid w:val="254B4E2B"/>
    <w:rsid w:val="264B6F50"/>
    <w:rsid w:val="26CC1348"/>
    <w:rsid w:val="276854B7"/>
    <w:rsid w:val="283D7C94"/>
    <w:rsid w:val="28E55EF9"/>
    <w:rsid w:val="29480E03"/>
    <w:rsid w:val="2983634D"/>
    <w:rsid w:val="2BB02055"/>
    <w:rsid w:val="2BBB64FD"/>
    <w:rsid w:val="2C575A56"/>
    <w:rsid w:val="2C6E0973"/>
    <w:rsid w:val="2F257714"/>
    <w:rsid w:val="2F3275E5"/>
    <w:rsid w:val="30AA08EF"/>
    <w:rsid w:val="30D23D1C"/>
    <w:rsid w:val="31221CF5"/>
    <w:rsid w:val="31400178"/>
    <w:rsid w:val="321E3342"/>
    <w:rsid w:val="327759C8"/>
    <w:rsid w:val="328F5FEE"/>
    <w:rsid w:val="33185FE3"/>
    <w:rsid w:val="34045D2D"/>
    <w:rsid w:val="34D43519"/>
    <w:rsid w:val="34EE2E36"/>
    <w:rsid w:val="36777241"/>
    <w:rsid w:val="379404EC"/>
    <w:rsid w:val="37AE6F16"/>
    <w:rsid w:val="38A951DB"/>
    <w:rsid w:val="38B31605"/>
    <w:rsid w:val="39003F4F"/>
    <w:rsid w:val="3BC46D08"/>
    <w:rsid w:val="3C07002B"/>
    <w:rsid w:val="3CFE26EE"/>
    <w:rsid w:val="3D0D152A"/>
    <w:rsid w:val="3DF62756"/>
    <w:rsid w:val="3F1B7587"/>
    <w:rsid w:val="41E57B4F"/>
    <w:rsid w:val="42693067"/>
    <w:rsid w:val="432F26F6"/>
    <w:rsid w:val="43880F63"/>
    <w:rsid w:val="441C5A6F"/>
    <w:rsid w:val="44C44FCC"/>
    <w:rsid w:val="44CC7369"/>
    <w:rsid w:val="45401AF6"/>
    <w:rsid w:val="457F5108"/>
    <w:rsid w:val="46951B6B"/>
    <w:rsid w:val="4877476B"/>
    <w:rsid w:val="49262DB0"/>
    <w:rsid w:val="49A34401"/>
    <w:rsid w:val="4A3E30AB"/>
    <w:rsid w:val="4AC14DAC"/>
    <w:rsid w:val="4B1A06F3"/>
    <w:rsid w:val="4D154C85"/>
    <w:rsid w:val="4DCD0B4D"/>
    <w:rsid w:val="4EC8553A"/>
    <w:rsid w:val="508F4E24"/>
    <w:rsid w:val="51461E90"/>
    <w:rsid w:val="51463753"/>
    <w:rsid w:val="52553A93"/>
    <w:rsid w:val="53521F8B"/>
    <w:rsid w:val="53E22F47"/>
    <w:rsid w:val="54077C82"/>
    <w:rsid w:val="54522FF8"/>
    <w:rsid w:val="552F624E"/>
    <w:rsid w:val="55450629"/>
    <w:rsid w:val="56692963"/>
    <w:rsid w:val="568B0F48"/>
    <w:rsid w:val="577613A7"/>
    <w:rsid w:val="5786217B"/>
    <w:rsid w:val="59337A15"/>
    <w:rsid w:val="595E4CFD"/>
    <w:rsid w:val="59810274"/>
    <w:rsid w:val="5B8027F4"/>
    <w:rsid w:val="5CA96A00"/>
    <w:rsid w:val="5CAB1E33"/>
    <w:rsid w:val="5CF730BC"/>
    <w:rsid w:val="5E5F0DCE"/>
    <w:rsid w:val="5EE50BC0"/>
    <w:rsid w:val="5F117C85"/>
    <w:rsid w:val="5FA40A7B"/>
    <w:rsid w:val="5FD56D29"/>
    <w:rsid w:val="5FEC7F3F"/>
    <w:rsid w:val="60F74BC3"/>
    <w:rsid w:val="617D3BF8"/>
    <w:rsid w:val="61841F6A"/>
    <w:rsid w:val="623007A9"/>
    <w:rsid w:val="637D7558"/>
    <w:rsid w:val="644F19AC"/>
    <w:rsid w:val="65AA4920"/>
    <w:rsid w:val="65B55790"/>
    <w:rsid w:val="663F268C"/>
    <w:rsid w:val="6723497B"/>
    <w:rsid w:val="67694F1E"/>
    <w:rsid w:val="68B27D65"/>
    <w:rsid w:val="69597934"/>
    <w:rsid w:val="69FA7C16"/>
    <w:rsid w:val="6B964DDC"/>
    <w:rsid w:val="6C38721E"/>
    <w:rsid w:val="6C783074"/>
    <w:rsid w:val="6D9E65C6"/>
    <w:rsid w:val="6DA81947"/>
    <w:rsid w:val="6E3B6A4F"/>
    <w:rsid w:val="6EB66DE2"/>
    <w:rsid w:val="6ED3075F"/>
    <w:rsid w:val="6F2A2D4B"/>
    <w:rsid w:val="6F8A0C1E"/>
    <w:rsid w:val="703F45D4"/>
    <w:rsid w:val="70965EC9"/>
    <w:rsid w:val="715D6546"/>
    <w:rsid w:val="71BE069E"/>
    <w:rsid w:val="73953409"/>
    <w:rsid w:val="73C44DF0"/>
    <w:rsid w:val="73E069A3"/>
    <w:rsid w:val="76D17F50"/>
    <w:rsid w:val="78104AA8"/>
    <w:rsid w:val="78E257C5"/>
    <w:rsid w:val="794B35BE"/>
    <w:rsid w:val="7B0A3A31"/>
    <w:rsid w:val="7B3360ED"/>
    <w:rsid w:val="7B5319F3"/>
    <w:rsid w:val="7BB36F3F"/>
    <w:rsid w:val="7BDF037E"/>
    <w:rsid w:val="7BF50948"/>
    <w:rsid w:val="7C5E5DE2"/>
    <w:rsid w:val="7CE66A78"/>
    <w:rsid w:val="7D23564C"/>
    <w:rsid w:val="7D5E062D"/>
    <w:rsid w:val="7DF76CD8"/>
    <w:rsid w:val="7E6D055E"/>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FollowedHyperlink"/>
    <w:basedOn w:val="7"/>
    <w:qFormat/>
    <w:uiPriority w:val="0"/>
    <w:rPr>
      <w:color w:val="333333"/>
      <w:u w:val="none"/>
    </w:rPr>
  </w:style>
  <w:style w:type="character" w:styleId="10">
    <w:name w:val="Emphasis"/>
    <w:basedOn w:val="7"/>
    <w:qFormat/>
    <w:uiPriority w:val="0"/>
    <w:rPr>
      <w:i/>
    </w:rPr>
  </w:style>
  <w:style w:type="character" w:styleId="11">
    <w:name w:val="Hyperlink"/>
    <w:basedOn w:val="7"/>
    <w:qFormat/>
    <w:uiPriority w:val="0"/>
    <w:rPr>
      <w:color w:val="333333"/>
      <w:u w:val="none"/>
    </w:rPr>
  </w:style>
  <w:style w:type="character" w:customStyle="1" w:styleId="12">
    <w:name w:val="页眉 Char"/>
    <w:basedOn w:val="7"/>
    <w:link w:val="4"/>
    <w:qFormat/>
    <w:uiPriority w:val="0"/>
    <w:rPr>
      <w:rFonts w:asciiTheme="minorHAnsi" w:hAnsiTheme="minorHAnsi" w:eastAsiaTheme="minorEastAsia" w:cstheme="minorBidi"/>
      <w:kern w:val="2"/>
      <w:sz w:val="18"/>
      <w:szCs w:val="18"/>
    </w:rPr>
  </w:style>
  <w:style w:type="character" w:customStyle="1" w:styleId="13">
    <w:name w:val="页脚 Char"/>
    <w:basedOn w:val="7"/>
    <w:link w:val="3"/>
    <w:qFormat/>
    <w:uiPriority w:val="0"/>
    <w:rPr>
      <w:rFonts w:asciiTheme="minorHAnsi" w:hAnsiTheme="minorHAnsi" w:eastAsiaTheme="minorEastAsia" w:cstheme="minorBidi"/>
      <w:kern w:val="2"/>
      <w:sz w:val="18"/>
      <w:szCs w:val="18"/>
    </w:rPr>
  </w:style>
  <w:style w:type="paragraph" w:styleId="14">
    <w:name w:val="List Paragraph"/>
    <w:basedOn w:val="1"/>
    <w:qFormat/>
    <w:uiPriority w:val="99"/>
    <w:pPr>
      <w:ind w:firstLine="420" w:firstLineChars="200"/>
    </w:pPr>
  </w:style>
  <w:style w:type="character" w:customStyle="1" w:styleId="15">
    <w:name w:val="pages"/>
    <w:basedOn w:val="7"/>
    <w:qFormat/>
    <w:uiPriority w:val="0"/>
    <w:rPr>
      <w:color w:val="222222"/>
      <w:bdr w:val="single" w:color="DFDFDF" w:sz="6" w:space="0"/>
      <w:shd w:val="clear" w:fill="F9F9F9"/>
    </w:rPr>
  </w:style>
  <w:style w:type="character" w:customStyle="1" w:styleId="16">
    <w:name w:val="current"/>
    <w:basedOn w:val="7"/>
    <w:qFormat/>
    <w:uiPriority w:val="0"/>
    <w:rPr>
      <w:color w:val="FFFFFF"/>
      <w:shd w:val="clear" w:fill="00B2EE"/>
    </w:rPr>
  </w:style>
  <w:style w:type="character" w:customStyle="1" w:styleId="17">
    <w:name w:val="current1"/>
    <w:basedOn w:val="7"/>
    <w:qFormat/>
    <w:uiPriority w:val="0"/>
    <w:rPr>
      <w:bdr w:val="single" w:color="BBBBBB" w:sz="6" w:space="0"/>
      <w:shd w:val="clear" w:fill="EEEEEE"/>
    </w:rPr>
  </w:style>
  <w:style w:type="character" w:customStyle="1" w:styleId="18">
    <w:name w:val="extend"/>
    <w:basedOn w:val="7"/>
    <w:qFormat/>
    <w:uiPriority w:val="0"/>
    <w:rPr>
      <w:b/>
      <w:bCs/>
    </w:rPr>
  </w:style>
  <w:style w:type="character" w:customStyle="1" w:styleId="19">
    <w:name w:val="current2"/>
    <w:basedOn w:val="7"/>
    <w:qFormat/>
    <w:uiPriority w:val="0"/>
    <w:rPr>
      <w:bdr w:val="single" w:color="BBBBBB" w:sz="6" w:space="0"/>
      <w:shd w:val="clear" w:fill="EEEEE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决算收入支出图表</a:t>
            </a:r>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161.46</c:v>
                </c:pt>
                <c:pt idx="1">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Sheet1!$A$2:$A$5</c:f>
              <c:strCache>
                <c:ptCount val="4"/>
                <c:pt idx="0">
                  <c:v>一般公共服务支出</c:v>
                </c:pt>
                <c:pt idx="1">
                  <c:v>社会保障和就业支出</c:v>
                </c:pt>
                <c:pt idx="2">
                  <c:v>住房保障支出</c:v>
                </c:pt>
              </c:strCache>
            </c:strRef>
          </c:cat>
          <c:val>
            <c:numRef>
              <c:f>Sheet1!$B$2:$B$6</c:f>
              <c:numCache>
                <c:formatCode>General</c:formatCode>
                <c:ptCount val="5"/>
                <c:pt idx="0">
                  <c:v>80.71</c:v>
                </c:pt>
                <c:pt idx="1">
                  <c:v>8.51</c:v>
                </c:pt>
                <c:pt idx="2">
                  <c:v>6.41</c:v>
                </c:pt>
                <c:pt idx="4">
                  <c:v>17.32</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Sheet1!$A$2:$A$5</c:f>
              <c:strCache>
                <c:ptCount val="4"/>
                <c:pt idx="0">
                  <c:v>一般公共服务支出</c:v>
                </c:pt>
                <c:pt idx="1">
                  <c:v>社会保障和就业支出</c:v>
                </c:pt>
                <c:pt idx="2">
                  <c:v>住房保障支出</c:v>
                </c:pt>
              </c:strCache>
            </c:strRef>
          </c:cat>
          <c:val>
            <c:numRef>
              <c:f>Sheet1!$C$2:$C$6</c:f>
              <c:numCache>
                <c:formatCode>General</c:formatCode>
                <c:ptCount val="5"/>
                <c:pt idx="0">
                  <c:v>98.2</c:v>
                </c:pt>
                <c:pt idx="1">
                  <c:v>8.52</c:v>
                </c:pt>
                <c:pt idx="2">
                  <c:v>6.41</c:v>
                </c:pt>
                <c:pt idx="4">
                  <c:v>12.56</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sz="1100"/>
              <a:t>一般公共服务支出</a:t>
            </a:r>
            <a:endParaRPr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Sheet1!$A$2:$A$10</c:f>
              <c:numCache>
                <c:formatCode>General</c:formatCode>
                <c:ptCount val="9"/>
                <c:pt idx="0">
                  <c:v>2010301</c:v>
                </c:pt>
                <c:pt idx="1">
                  <c:v>2010305</c:v>
                </c:pt>
                <c:pt idx="2">
                  <c:v>2010399</c:v>
                </c:pt>
                <c:pt idx="3">
                  <c:v>2012999</c:v>
                </c:pt>
              </c:numCache>
            </c:numRef>
          </c:cat>
          <c:val>
            <c:numRef>
              <c:f>Sheet1!$B$2:$B$10</c:f>
              <c:numCache>
                <c:formatCode>General</c:formatCode>
                <c:ptCount val="9"/>
                <c:pt idx="0">
                  <c:v>80.53</c:v>
                </c:pt>
                <c:pt idx="1">
                  <c:v>1.57</c:v>
                </c:pt>
                <c:pt idx="2">
                  <c:v>15</c:v>
                </c:pt>
                <c:pt idx="3">
                  <c:v>1.1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Sheet1!$A$2:$A$5</c:f>
              <c:numCache>
                <c:formatCode>General</c:formatCode>
                <c:ptCount val="4"/>
                <c:pt idx="0">
                  <c:v>2080505</c:v>
                </c:pt>
              </c:numCache>
            </c:numRef>
          </c:cat>
          <c:val>
            <c:numRef>
              <c:f>Sheet1!$B$2:$B$5</c:f>
              <c:numCache>
                <c:formatCode>General</c:formatCode>
                <c:ptCount val="4"/>
                <c:pt idx="0">
                  <c:v>12.95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t>其他</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Sheet1!$A$2:$A$5</c:f>
              <c:numCache>
                <c:formatCode>General</c:formatCode>
                <c:ptCount val="4"/>
                <c:pt idx="0">
                  <c:v>2299999</c:v>
                </c:pt>
              </c:numCache>
            </c:numRef>
          </c:cat>
          <c:val>
            <c:numRef>
              <c:f>Sheet1!$B$2:$B$5</c:f>
              <c:numCache>
                <c:formatCode>General</c:formatCode>
                <c:ptCount val="4"/>
                <c:pt idx="0">
                  <c:v>12.56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30101</c:v>
                </c:pt>
                <c:pt idx="1">
                  <c:v>30102</c:v>
                </c:pt>
                <c:pt idx="2">
                  <c:v>30103</c:v>
                </c:pt>
                <c:pt idx="3">
                  <c:v>30106</c:v>
                </c:pt>
                <c:pt idx="4">
                  <c:v>30108</c:v>
                </c:pt>
                <c:pt idx="5">
                  <c:v>30109</c:v>
                </c:pt>
                <c:pt idx="6">
                  <c:v>30110</c:v>
                </c:pt>
                <c:pt idx="7">
                  <c:v>30111</c:v>
                </c:pt>
                <c:pt idx="8">
                  <c:v>30112</c:v>
                </c:pt>
                <c:pt idx="9">
                  <c:v>30113</c:v>
                </c:pt>
                <c:pt idx="10">
                  <c:v>30114</c:v>
                </c:pt>
                <c:pt idx="11">
                  <c:v>30199</c:v>
                </c:pt>
              </c:numCache>
            </c:numRef>
          </c:cat>
          <c:val>
            <c:numRef>
              <c:f>Sheet1!$B$2:$B$13</c:f>
              <c:numCache>
                <c:formatCode>General</c:formatCode>
                <c:ptCount val="12"/>
                <c:pt idx="0">
                  <c:v>37.28</c:v>
                </c:pt>
                <c:pt idx="1">
                  <c:v>20.08</c:v>
                </c:pt>
                <c:pt idx="2">
                  <c:v>30.54</c:v>
                </c:pt>
                <c:pt idx="3">
                  <c:v>1.6</c:v>
                </c:pt>
                <c:pt idx="4">
                  <c:v>12.95</c:v>
                </c:pt>
                <c:pt idx="5">
                  <c:v>0</c:v>
                </c:pt>
                <c:pt idx="6">
                  <c:v>5.49</c:v>
                </c:pt>
                <c:pt idx="7">
                  <c:v>0</c:v>
                </c:pt>
                <c:pt idx="8">
                  <c:v>0.16</c:v>
                </c:pt>
                <c:pt idx="9">
                  <c:v>9.84</c:v>
                </c:pt>
                <c:pt idx="10">
                  <c:v>0</c:v>
                </c:pt>
                <c:pt idx="11">
                  <c:v>2.64</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0.64</c:v>
                </c:pt>
                <c:pt idx="1">
                  <c:v>0</c:v>
                </c:pt>
                <c:pt idx="2">
                  <c:v>0</c:v>
                </c:pt>
                <c:pt idx="3">
                  <c:v>0</c:v>
                </c:pt>
                <c:pt idx="5">
                  <c:v>0.13</c:v>
                </c:pt>
                <c:pt idx="6">
                  <c:v>0.78</c:v>
                </c:pt>
                <c:pt idx="21">
                  <c:v>1.1</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3">
                  <c:v>21.49</c:v>
                </c:pt>
                <c:pt idx="4">
                  <c:v>5.05</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0</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2023-11-29T03:55:49Z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549E39EF8C404C1B82637BF717184547_13</vt:lpwstr>
  </property>
</Properties>
</file>