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6" w:name="_GoBack"/>
      <w:r>
        <w:rPr>
          <w:rFonts w:hint="eastAsia" w:ascii="黑体" w:hAnsi="黑体" w:eastAsia="黑体" w:cs="黑体"/>
          <w:b/>
          <w:bCs/>
          <w:sz w:val="52"/>
          <w:szCs w:val="52"/>
          <w:highlight w:val="none"/>
        </w:rPr>
        <w:t>环江毛南族自治县投资促进局</w:t>
      </w:r>
      <w:bookmarkEnd w:id="6"/>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环江毛南族自治县投资促进局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环江毛南族自治县投资促进局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环江毛南族自治县投资促进局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环江毛南族自治县投资促进局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贯彻执行党和国家以及地方政府有关对外开放和利用外资的方针、政策、法规；研究制订本县对外招商引资的具体办法和措施及有关规范文件草案，报自治县人民政府批准后组织实施。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参与起草我县招商引资的中长期规划和发展战略，分析我县招商引资状况，提出合理化建议。</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贯彻执行国家和地方政府有关外来投资政策，负责组织全县利用外来资金、技术引进，人才引进、补偿贸易等“三来一补”项目的考案、论证、洽谈、签约。</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4.组织以县名义参加全国性或跨省（区）、跨市跨县的招商引资活动和项目对外合作与交流活动。</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5.负责归口联系、办理和协调全县组团赴区内外举行招商引资活动的工作。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6.负责策划、组织实施全县组团参加区内外重大的投资洽谈活动。</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7.负责管理、协调、指导全县招商引资工作，组织、牵头和协调全县重大招商引资活动。</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8.负责全县招商引资项目的收集、论证、整理和编订，建立与区内外政府招商部门的联系，传递信息和代表自治县人民政府发布我县招商项目公告。</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9.负责整合社会及民间投资项目资源，建立和管理全县招商引资项目数据库，组织开展有关项目前期工作，协调县内有关部门和各个乡（镇）有关项目立项和项目储备工作。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10.负责对外来投资企业的接洽，情况介绍，做好开办审查，登记备案以及项目的协议，合同、章程的履约跟踪督查工作，为外来投资企业协助办理各种证照；负责对外来环江投资企业和外地驻环江办事机构的协调、管理和服务工作，协调解决他们在筹建和生产经营中遇到的困难和问题，落实好自治区、河池市、自治县各种配套优惠政策。</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11.负责全县范围内招商引资的统计、上报工作。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12.积极配合宣传部门，编制对外宣传材料，搞好招商引资的宣传工作。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13.按照县人民政府的安排，做好来访经济代表团、经济能人、项目洽谈及接待工作。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14.承办县委、县府和上级业务主管部门交办的其他工作。</w:t>
      </w:r>
    </w:p>
    <w:p>
      <w:pPr>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15.按照干部管理权限，负责对本单位的干部进行管理、教育和培训，加强对本单位队伍的政治文明建设、精神文明建设和物质文明建设，提高干部队伍整体素质。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firstLine="646"/>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（一）机构设置情况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firstLine="646"/>
        <w:textAlignment w:val="auto"/>
        <w:rPr>
          <w:rFonts w:hint="default"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我部门没有下属单位，按照部门决算编报要求，单独编制本部门决算。环江毛南族</w:t>
      </w:r>
      <w:r>
        <w:rPr>
          <w:rFonts w:hint="default" w:ascii="仿宋" w:hAnsi="仿宋" w:eastAsia="仿宋" w:cs="仿宋"/>
          <w:color w:val="auto"/>
          <w:sz w:val="32"/>
          <w:szCs w:val="32"/>
        </w:rPr>
        <w:t>自治县投资促进局是自治县人民政府直属正科级财政全额拨款、公益一类事业单位，加挂环江毛南族自治县招商引资项目代办服务中心牌子。内设机构：（一）办公室；（二）综合业务股。当年度新调整三定方案（环江办[2021]81号关于印发《环江毛南族自治县投资促进局职能配置、内设机构和人员编制规定》的通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left="0" w:firstLine="646"/>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（二）人员构成情况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60" w:lineRule="atLeast"/>
        <w:ind w:left="0" w:firstLine="64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人员编制总数为</w:t>
      </w:r>
      <w:r>
        <w:rPr>
          <w:rFonts w:hint="default" w:ascii="仿宋" w:hAnsi="仿宋" w:eastAsia="仿宋" w:cs="仿宋"/>
          <w:color w:val="auto"/>
          <w:sz w:val="32"/>
          <w:szCs w:val="32"/>
        </w:rPr>
        <w:t>6人，其中行政编制0人，事业编制6人，机关后勤服务中心聘用人员控制数0人。实有财政供养人数10人，其中行政在职0人，事业在职5人，离退休人员5人（其中离休0人）。编外在职实有人数0人。具体情况如下：正科级领导1人， 二级主任科员1人，三级主任科员1名，四级主任科员1名，一级科员1人。</w:t>
      </w:r>
    </w:p>
    <w:p>
      <w:pPr>
        <w:pStyle w:val="5"/>
        <w:keepNext w:val="0"/>
        <w:keepLines w:val="0"/>
        <w:widowControl/>
        <w:suppressLineNumbers w:val="0"/>
        <w:ind w:left="0" w:firstLine="645"/>
        <w:rPr>
          <w:color w:val="666666"/>
        </w:rPr>
      </w:pP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环江毛南族自治县投资促进局</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广西河池市环江毛南族自治县投资促进局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175.96</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广西河池市环江毛南族自治县投资促进局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175.96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175.96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商贸事务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招商引资</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广西河池市环江毛南族自治县投资促进局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175.96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78.21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97.75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55.32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97.75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商贸事务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97.75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招商引资</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47.75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广西河池市环江毛南族自治县投资促进局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153.07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153.07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5.68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175.96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175.96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175.96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广西河池市环江毛南族自治县投资促进局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175.96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78.21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97.75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97.75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商贸事务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152.28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97.75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2011308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招商引资</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102.28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47.75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广西河池市环江毛南族自治县投资促进局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4.73</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广西河池市环江毛南族自治县投资促进局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广西河池市环江毛南族自治县投资促进局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广西河池市环江毛南族自治县投资促进局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3.17</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3.17</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3.17</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3.17</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环江毛南族自治县投资促进局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highlight w:val="none"/>
          <w:u w:color="auto"/>
        </w:rPr>
        <w:t>175.96</w:t>
      </w:r>
      <w:r>
        <w:rPr>
          <w:rFonts w:hint="eastAsia" w:ascii="仿宋" w:hAnsi="仿宋" w:eastAsia="仿宋" w:cs="仿宋"/>
          <w:sz w:val="32"/>
          <w:szCs w:val="32"/>
          <w:highlight w:val="none"/>
        </w:rPr>
        <w:t>万元，较2021年度决算数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66.58</w:t>
      </w:r>
      <w:r>
        <w:rPr>
          <w:rFonts w:hint="eastAsia" w:ascii="仿宋" w:hAnsi="仿宋" w:eastAsia="仿宋" w:cs="仿宋"/>
          <w:sz w:val="32"/>
          <w:szCs w:val="32"/>
          <w:highlight w:val="none"/>
        </w:rPr>
        <w:t>万元，</w:t>
      </w:r>
      <w:r>
        <w:rPr>
          <w:rFonts w:ascii="仿宋" w:hAnsi="仿宋" w:eastAsia="仿宋" w:cs="仿宋"/>
          <w:sz w:val="32"/>
          <w:highlight w:val="none"/>
          <w:u w:color="auto"/>
        </w:rPr>
        <w:t>增长60.87%%</w:t>
      </w:r>
      <w:r>
        <w:rPr>
          <w:rFonts w:hint="eastAsia" w:ascii="仿宋" w:hAnsi="仿宋" w:eastAsia="仿宋" w:cs="仿宋"/>
          <w:sz w:val="32"/>
          <w:szCs w:val="32"/>
          <w:highlight w:val="none"/>
        </w:rPr>
        <w:t>，其中本年收入</w:t>
      </w:r>
      <w:r>
        <w:rPr>
          <w:rFonts w:ascii="仿宋" w:hAnsi="仿宋" w:eastAsia="仿宋" w:cs="仿宋"/>
          <w:sz w:val="32"/>
          <w:highlight w:val="none"/>
          <w:u w:color="auto"/>
        </w:rPr>
        <w:t>175.96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highlight w:val="none"/>
          <w:u w:color="auto"/>
        </w:rPr>
        <w:t>175.96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highlight w:val="none"/>
          <w:u w:color="auto"/>
        </w:rPr>
        <w:t>增加66.58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增长60.87%</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对企业补助50万元，日常招商工作经费需求增加。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w:t>
      </w:r>
      <w:r>
        <w:rPr>
          <w:rFonts w:hint="eastAsia" w:ascii="仿宋" w:hAnsi="仿宋" w:eastAsia="仿宋" w:cs="仿宋"/>
          <w:kern w:val="2"/>
          <w:sz w:val="32"/>
          <w:szCs w:val="32"/>
          <w:highlight w:val="none"/>
          <w:lang w:val="en-US" w:eastAsia="zh-CN" w:bidi="ar"/>
        </w:rPr>
        <w:t>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减少14.39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2956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175.96</w:t>
      </w:r>
      <w:r>
        <w:rPr>
          <w:rFonts w:hint="eastAsia" w:ascii="仿宋" w:hAnsi="仿宋" w:eastAsia="仿宋" w:cs="仿宋"/>
          <w:sz w:val="32"/>
          <w:szCs w:val="32"/>
          <w:highlight w:val="none"/>
        </w:rPr>
        <w:t>万元，其中本年支出</w:t>
      </w:r>
      <w:r>
        <w:rPr>
          <w:rFonts w:ascii="仿宋" w:hAnsi="仿宋" w:eastAsia="仿宋" w:cs="仿宋"/>
          <w:sz w:val="32"/>
          <w:u w:color="auto"/>
        </w:rPr>
        <w:t>175.96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66.58</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60.87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153.07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部门所属单位人员工资、日常运转方面的支出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增加61.58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增长67.31%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对企业补助50万元，日常招商工作经费需求增加。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5.68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减少2.05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下降26.52%</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4.26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国家政策规定向职工发放的住房公积金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减少1.54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下降26.55%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12.94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kern w:val="0"/>
          <w:sz w:val="32"/>
          <w:szCs w:val="32"/>
        </w:rPr>
        <w:t>自治县规定评定的</w:t>
      </w:r>
      <w:r>
        <w:rPr>
          <w:rFonts w:hint="eastAsia" w:ascii="仿宋" w:hAnsi="仿宋" w:eastAsia="仿宋" w:cs="仿宋"/>
          <w:color w:val="333333"/>
          <w:sz w:val="31"/>
          <w:szCs w:val="31"/>
          <w:shd w:val="clear" w:color="auto" w:fill="FFFFFF"/>
        </w:rPr>
        <w:t>绩效考评奖、</w:t>
      </w:r>
      <w:r>
        <w:rPr>
          <w:rFonts w:hint="eastAsia" w:ascii="仿宋" w:hAnsi="仿宋" w:eastAsia="仿宋" w:cs="仿宋"/>
          <w:color w:val="333333"/>
          <w:sz w:val="31"/>
          <w:szCs w:val="31"/>
          <w:shd w:val="clear" w:color="auto" w:fill="FFFFFF"/>
          <w:lang w:val="en-US" w:eastAsia="zh-CN"/>
        </w:rPr>
        <w:t>奖金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减少5.82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下降31.02%</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b w:val="0"/>
          <w:bCs w:val="0"/>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：本单位无此分配。</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环江毛南族自治县投资促进局2022年度一般公共预算财政拨款支出</w:t>
      </w:r>
      <w:r>
        <w:rPr>
          <w:rFonts w:ascii="仿宋" w:hAnsi="仿宋" w:eastAsia="仿宋" w:cs="仿宋"/>
          <w:sz w:val="32"/>
          <w:u w:color="auto"/>
        </w:rPr>
        <w:t>175.96</w:t>
      </w:r>
      <w:r>
        <w:rPr>
          <w:rFonts w:hint="eastAsia" w:ascii="仿宋" w:hAnsi="仿宋" w:eastAsia="仿宋" w:cs="仿宋"/>
          <w:sz w:val="32"/>
          <w:szCs w:val="32"/>
          <w:highlight w:val="none"/>
        </w:rPr>
        <w:t>万元，较2021年度决算数</w:t>
      </w:r>
      <w:r>
        <w:rPr>
          <w:rFonts w:ascii="仿宋" w:hAnsi="仿宋" w:eastAsia="仿宋" w:cs="仿宋"/>
          <w:sz w:val="32"/>
          <w:u w:color="auto"/>
        </w:rPr>
        <w:t>增加52.19</w:t>
      </w:r>
      <w:r>
        <w:rPr>
          <w:rFonts w:hint="eastAsia" w:ascii="仿宋" w:hAnsi="仿宋" w:eastAsia="仿宋" w:cs="仿宋"/>
          <w:sz w:val="32"/>
          <w:szCs w:val="32"/>
          <w:highlight w:val="none"/>
        </w:rPr>
        <w:t>万元，</w:t>
      </w:r>
      <w:r>
        <w:rPr>
          <w:rFonts w:ascii="仿宋" w:hAnsi="仿宋" w:eastAsia="仿宋" w:cs="仿宋"/>
          <w:sz w:val="32"/>
          <w:u w:color="auto"/>
        </w:rPr>
        <w:t>增长42.17%</w:t>
      </w:r>
      <w:r>
        <w:rPr>
          <w:rFonts w:hint="eastAsia" w:ascii="仿宋" w:hAnsi="仿宋" w:eastAsia="仿宋" w:cs="仿宋"/>
          <w:sz w:val="32"/>
          <w:szCs w:val="32"/>
          <w:highlight w:val="none"/>
        </w:rPr>
        <w:t>。其中：基本支出</w:t>
      </w:r>
      <w:r>
        <w:rPr>
          <w:rFonts w:ascii="仿宋" w:hAnsi="仿宋" w:eastAsia="仿宋" w:cs="仿宋"/>
          <w:sz w:val="32"/>
          <w:u w:color="auto"/>
        </w:rPr>
        <w:t>78.21</w:t>
      </w:r>
      <w:r>
        <w:rPr>
          <w:rFonts w:hint="eastAsia" w:ascii="仿宋" w:hAnsi="仿宋" w:eastAsia="仿宋" w:cs="仿宋"/>
          <w:sz w:val="32"/>
          <w:szCs w:val="32"/>
          <w:highlight w:val="none"/>
        </w:rPr>
        <w:t>万元，项目支出</w:t>
      </w:r>
      <w:r>
        <w:rPr>
          <w:rFonts w:ascii="仿宋" w:hAnsi="仿宋" w:eastAsia="仿宋" w:cs="仿宋"/>
          <w:sz w:val="32"/>
          <w:u w:color="auto"/>
        </w:rPr>
        <w:t>97.75</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环江毛南族自治县投资促进局2022 年度一般公共预算财政拨款支出年初预算为</w:t>
      </w:r>
      <w:r>
        <w:rPr>
          <w:rFonts w:ascii="仿宋" w:hAnsi="仿宋" w:eastAsia="仿宋" w:cs="仿宋"/>
          <w:sz w:val="32"/>
          <w:u w:color="auto"/>
        </w:rPr>
        <w:t>107.82</w:t>
      </w:r>
      <w:r>
        <w:rPr>
          <w:rFonts w:hint="eastAsia" w:ascii="仿宋" w:hAnsi="仿宋" w:eastAsia="仿宋" w:cs="仿宋"/>
          <w:sz w:val="32"/>
          <w:szCs w:val="32"/>
          <w:highlight w:val="none"/>
        </w:rPr>
        <w:t>万元，支出决算为</w:t>
      </w:r>
      <w:r>
        <w:rPr>
          <w:rFonts w:ascii="仿宋" w:hAnsi="仿宋" w:eastAsia="仿宋" w:cs="仿宋"/>
          <w:sz w:val="32"/>
          <w:u w:color="auto"/>
        </w:rPr>
        <w:t>175.96</w:t>
      </w:r>
      <w:r>
        <w:rPr>
          <w:rFonts w:hint="eastAsia" w:ascii="仿宋" w:hAnsi="仿宋" w:eastAsia="仿宋" w:cs="仿宋"/>
          <w:sz w:val="32"/>
          <w:szCs w:val="32"/>
          <w:highlight w:val="none"/>
        </w:rPr>
        <w:t>万元，完成年初预算的</w:t>
      </w:r>
      <w:r>
        <w:rPr>
          <w:rFonts w:ascii="仿宋" w:hAnsi="仿宋" w:eastAsia="仿宋" w:cs="仿宋"/>
          <w:sz w:val="32"/>
          <w:u w:color="auto"/>
        </w:rPr>
        <w:t>163.20%</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96.66</w:t>
      </w:r>
      <w:r>
        <w:rPr>
          <w:rFonts w:hint="eastAsia" w:ascii="仿宋" w:hAnsi="仿宋" w:eastAsia="仿宋"/>
          <w:sz w:val="32"/>
          <w:szCs w:val="32"/>
          <w:highlight w:val="none"/>
        </w:rPr>
        <w:t>万元，支出决算为</w:t>
      </w:r>
      <w:r>
        <w:rPr>
          <w:rFonts w:ascii="仿宋" w:hAnsi="仿宋" w:eastAsia="仿宋"/>
          <w:sz w:val="32"/>
          <w:szCs w:val="32"/>
          <w:highlight w:val="none"/>
        </w:rPr>
        <w:t>153.07</w:t>
      </w:r>
      <w:r>
        <w:rPr>
          <w:rFonts w:hint="eastAsia" w:ascii="仿宋" w:hAnsi="仿宋" w:eastAsia="仿宋"/>
          <w:sz w:val="32"/>
          <w:szCs w:val="32"/>
          <w:highlight w:val="none"/>
        </w:rPr>
        <w:t>万元，完成年初预算的</w:t>
      </w:r>
      <w:r>
        <w:rPr>
          <w:rFonts w:ascii="仿宋" w:hAnsi="仿宋" w:eastAsia="仿宋"/>
          <w:sz w:val="32"/>
          <w:szCs w:val="32"/>
          <w:highlight w:val="none"/>
        </w:rPr>
        <w:t>158.36%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原因是：对企业补助50万元，日常招商工作经费需求增加。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2011301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对企业补助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完全拨付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2011308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招商引资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102.28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106.70%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支付在职人员工资、日常招商工作经费等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招商工作经费需求增加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0.80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完全拨付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153.07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01265"/>
            <wp:effectExtent l="4445" t="4445" r="16510" b="889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6.38</w:t>
      </w:r>
      <w:r>
        <w:rPr>
          <w:rFonts w:hint="eastAsia" w:ascii="仿宋" w:hAnsi="仿宋" w:eastAsia="仿宋"/>
          <w:sz w:val="32"/>
          <w:szCs w:val="32"/>
          <w:highlight w:val="none"/>
        </w:rPr>
        <w:t>万元，支出决算为</w:t>
      </w:r>
      <w:r>
        <w:rPr>
          <w:rFonts w:ascii="仿宋" w:hAnsi="仿宋" w:eastAsia="仿宋"/>
          <w:sz w:val="32"/>
          <w:szCs w:val="32"/>
          <w:highlight w:val="none"/>
        </w:rPr>
        <w:t>5.68</w:t>
      </w:r>
      <w:r>
        <w:rPr>
          <w:rFonts w:hint="eastAsia" w:ascii="仿宋" w:hAnsi="仿宋" w:eastAsia="仿宋"/>
          <w:sz w:val="32"/>
          <w:szCs w:val="32"/>
          <w:highlight w:val="none"/>
        </w:rPr>
        <w:t>万元，完成年初预算的</w:t>
      </w:r>
      <w:r>
        <w:rPr>
          <w:rFonts w:ascii="仿宋" w:hAnsi="仿宋" w:eastAsia="仿宋"/>
          <w:sz w:val="32"/>
          <w:szCs w:val="32"/>
          <w:highlight w:val="none"/>
        </w:rPr>
        <w:t>89.03%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支付在职人员社保</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863215"/>
            <wp:effectExtent l="4445" t="4445" r="16510" b="889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4.78</w:t>
      </w:r>
      <w:r>
        <w:rPr>
          <w:rFonts w:hint="eastAsia" w:ascii="仿宋" w:hAnsi="仿宋" w:eastAsia="仿宋"/>
          <w:sz w:val="32"/>
          <w:szCs w:val="32"/>
          <w:highlight w:val="none"/>
        </w:rPr>
        <w:t>万元，支出决算为</w:t>
      </w:r>
      <w:r>
        <w:rPr>
          <w:rFonts w:ascii="仿宋" w:hAnsi="仿宋" w:eastAsia="仿宋"/>
          <w:sz w:val="32"/>
          <w:szCs w:val="32"/>
          <w:highlight w:val="none"/>
        </w:rPr>
        <w:t>4.26</w:t>
      </w:r>
      <w:r>
        <w:rPr>
          <w:rFonts w:hint="eastAsia" w:ascii="仿宋" w:hAnsi="仿宋" w:eastAsia="仿宋"/>
          <w:sz w:val="32"/>
          <w:szCs w:val="32"/>
          <w:highlight w:val="none"/>
        </w:rPr>
        <w:t>万元，完成年初预算的</w:t>
      </w:r>
      <w:r>
        <w:rPr>
          <w:rFonts w:ascii="仿宋" w:hAnsi="仿宋" w:eastAsia="仿宋"/>
          <w:sz w:val="32"/>
          <w:szCs w:val="32"/>
          <w:highlight w:val="none"/>
        </w:rPr>
        <w:t>89.12%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89.12%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支付在职人员住房公积金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12.94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年初无预算。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自治县规定评定的绩效考评奖、奖金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环江毛南族自治县投资促进局2022年度一般公共预算财政拨款基本支出</w:t>
      </w:r>
      <w:r>
        <w:rPr>
          <w:rFonts w:ascii="仿宋" w:hAnsi="仿宋" w:eastAsia="仿宋" w:cs="仿宋"/>
          <w:sz w:val="32"/>
          <w:u w:color="auto"/>
        </w:rPr>
        <w:t>78.21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73.48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4.73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69.40万元，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129.7%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发放的职工绩效考评奖及伙食补助费没有列入年初预算。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16.22万元，30102津贴补贴8.76万元，30103奖金18.30万元，30106伙食补助费0.80万元，30108机关事业单位基本养老保险缴费5.68万元，30110职工基本医疗保险缴费2.31万元，30112其他社会保障缴费0.13万元，30113住房公积金4.26万元，30199其他工资福利支出12.94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4.73万元，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79.9%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本单位贯彻落实厉行节约的有关规定，控制开支，不铺张浪费。</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30201办公费0.33万元，30207邮电费0.52万元，30228工会经费0.80万元，30239其他交通费用3.09万元。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对个人和家庭的补助</w:t>
      </w:r>
      <w:r>
        <w:rPr>
          <w:rFonts w:ascii="仿宋" w:hAnsi="仿宋" w:eastAsia="仿宋" w:cs="仿宋"/>
          <w:sz w:val="32"/>
          <w:u w:color="auto"/>
        </w:rPr>
        <w:t>4.08万元，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预决算无差异。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30305生活补助4.07万元，30399其他对个人和家庭的补助0.01万元。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16225"/>
            <wp:effectExtent l="4445" t="4445" r="16510" b="1778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环江毛南族自治县投资促进局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环江毛南族自治县投资促进局2022年度国有资本经营预算支出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环江毛南族自治县投资促进局2022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环江毛南族自治县投资促进局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3.17</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63.4%</w:t>
      </w:r>
      <w:r>
        <w:rPr>
          <w:rFonts w:hint="eastAsia" w:ascii="仿宋" w:hAnsi="仿宋" w:eastAsia="仿宋" w:cs="仿宋"/>
          <w:sz w:val="32"/>
          <w:szCs w:val="32"/>
          <w:highlight w:val="none"/>
        </w:rPr>
        <w:t>，比上年</w:t>
      </w:r>
      <w:r>
        <w:rPr>
          <w:rFonts w:ascii="仿宋" w:hAnsi="仿宋" w:eastAsia="仿宋" w:cs="仿宋"/>
          <w:sz w:val="32"/>
          <w:szCs w:val="32"/>
          <w:highlight w:val="none"/>
        </w:rPr>
        <w:t>减少1.90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认真贯彻落实中央“八项规定”精神和厉行节约要求，严控和压缩“三公”经费相关支出。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3.17</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r>
        <w:rPr>
          <w:rFonts w:hint="eastAsia" w:ascii="仿宋_GB2312" w:hAnsi="Times New Roman" w:eastAsia="仿宋_GB2312" w:cs="Times New Roman"/>
          <w:color w:val="auto"/>
          <w:sz w:val="32"/>
          <w:szCs w:val="32"/>
        </w:rPr>
        <w:t>开支内容包括：</w:t>
      </w:r>
      <w:r>
        <w:rPr>
          <w:rFonts w:hint="eastAsia" w:ascii="仿宋_GB2312" w:hAnsi="Times New Roman" w:eastAsia="仿宋_GB2312" w:cs="Times New Roman"/>
          <w:color w:val="auto"/>
          <w:sz w:val="32"/>
          <w:szCs w:val="32"/>
          <w:lang w:val="en-US" w:eastAsia="zh-CN"/>
        </w:rPr>
        <w:t>无</w:t>
      </w:r>
      <w:r>
        <w:rPr>
          <w:rFonts w:hint="eastAsia" w:ascii="仿宋_GB2312" w:hAnsi="Times New Roman" w:eastAsia="仿宋_GB2312" w:cs="Times New Roman"/>
          <w:color w:val="auto"/>
          <w:sz w:val="32"/>
          <w:szCs w:val="32"/>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bCs/>
          <w:color w:val="000000"/>
          <w:sz w:val="32"/>
          <w:szCs w:val="32"/>
        </w:rPr>
        <w:t>公车改革后本单位不再保留有公务车</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2022年，</w:t>
      </w:r>
      <w:r>
        <w:rPr>
          <w:rFonts w:ascii="仿宋" w:hAnsi="仿宋" w:eastAsia="仿宋" w:cs="仿宋"/>
          <w:sz w:val="32"/>
          <w:u w:color="auto"/>
        </w:rPr>
        <w:t>环江毛南族自治县投资促进局</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3.17</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63.4%</w:t>
      </w:r>
      <w:r>
        <w:rPr>
          <w:rFonts w:hint="eastAsia" w:ascii="仿宋" w:hAnsi="仿宋" w:eastAsia="仿宋" w:cs="仿宋"/>
          <w:sz w:val="32"/>
          <w:szCs w:val="32"/>
          <w:highlight w:val="none"/>
        </w:rPr>
        <w:t>， 比上年</w:t>
      </w:r>
      <w:r>
        <w:rPr>
          <w:rFonts w:ascii="仿宋" w:hAnsi="仿宋" w:eastAsia="仿宋" w:cs="仿宋"/>
          <w:sz w:val="32"/>
          <w:szCs w:val="32"/>
          <w:highlight w:val="none"/>
        </w:rPr>
        <w:t>减少1.90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主要原因是：接待客商减少，</w:t>
      </w:r>
      <w:r>
        <w:rPr>
          <w:rFonts w:hint="eastAsia" w:ascii="仿宋" w:hAnsi="仿宋" w:eastAsia="仿宋" w:cs="仿宋_GB2312"/>
          <w:kern w:val="0"/>
          <w:sz w:val="32"/>
          <w:szCs w:val="32"/>
        </w:rPr>
        <w:t>认真贯彻落实中央“八项规定”精神和厉行节约要求，严控</w:t>
      </w:r>
      <w:r>
        <w:rPr>
          <w:rFonts w:hint="eastAsia" w:ascii="仿宋" w:hAnsi="仿宋" w:eastAsia="仿宋" w:cs="仿宋_GB2312"/>
          <w:kern w:val="0"/>
          <w:sz w:val="32"/>
          <w:szCs w:val="32"/>
          <w:lang w:val="en-US" w:eastAsia="zh-CN"/>
        </w:rPr>
        <w:t>接待标准，不铺张浪费</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35</w:t>
      </w:r>
      <w:r>
        <w:rPr>
          <w:rFonts w:hint="eastAsia" w:ascii="仿宋" w:hAnsi="仿宋" w:eastAsia="仿宋" w:cs="仿宋"/>
          <w:sz w:val="32"/>
          <w:szCs w:val="32"/>
          <w:highlight w:val="none"/>
        </w:rPr>
        <w:t>次，人次</w:t>
      </w:r>
      <w:r>
        <w:rPr>
          <w:rFonts w:ascii="仿宋" w:hAnsi="仿宋" w:eastAsia="仿宋" w:cs="仿宋"/>
          <w:sz w:val="32"/>
          <w:szCs w:val="32"/>
          <w:highlight w:val="none"/>
        </w:rPr>
        <w:t>245</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bidi w:val="0"/>
        <w:snapToGrid/>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sz w:val="32"/>
          <w:szCs w:val="32"/>
          <w:highlight w:val="none"/>
        </w:rPr>
        <w:t>本部门2022年度</w:t>
      </w:r>
      <w:r>
        <w:rPr>
          <w:rFonts w:hint="eastAsia" w:ascii="仿宋" w:hAnsi="仿宋" w:eastAsia="仿宋" w:cs="仿宋"/>
          <w:color w:val="auto"/>
          <w:sz w:val="32"/>
          <w:szCs w:val="32"/>
          <w:highlight w:val="none"/>
        </w:rPr>
        <w:t>机关运行经费</w:t>
      </w:r>
      <w:r>
        <w:rPr>
          <w:rFonts w:hint="eastAsia" w:ascii="仿宋" w:hAnsi="仿宋" w:eastAsia="仿宋" w:cs="仿宋"/>
          <w:sz w:val="32"/>
          <w:szCs w:val="32"/>
          <w:highlight w:val="none"/>
        </w:rPr>
        <w:t>支出</w:t>
      </w:r>
      <w:r>
        <w:rPr>
          <w:rFonts w:ascii="仿宋" w:hAnsi="仿宋" w:eastAsia="仿宋" w:cs="仿宋"/>
          <w:sz w:val="32"/>
          <w:szCs w:val="32"/>
          <w:highlight w:val="none"/>
        </w:rPr>
        <w:t>4.73</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减少1.19</w:t>
      </w:r>
      <w:r>
        <w:rPr>
          <w:rFonts w:hint="eastAsia" w:ascii="仿宋" w:hAnsi="仿宋" w:eastAsia="仿宋" w:cs="仿宋"/>
          <w:sz w:val="32"/>
          <w:szCs w:val="32"/>
          <w:highlight w:val="none"/>
        </w:rPr>
        <w:t>万元，</w:t>
      </w:r>
      <w:r>
        <w:rPr>
          <w:rFonts w:ascii="仿宋" w:hAnsi="仿宋" w:eastAsia="仿宋" w:cs="仿宋"/>
          <w:sz w:val="32"/>
          <w:szCs w:val="32"/>
          <w:highlight w:val="none"/>
        </w:rPr>
        <w:t>下降20.1%</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增加2.96</w:t>
      </w:r>
      <w:r>
        <w:rPr>
          <w:rFonts w:hint="eastAsia" w:ascii="仿宋" w:hAnsi="仿宋" w:eastAsia="仿宋" w:cs="仿宋"/>
          <w:sz w:val="32"/>
          <w:szCs w:val="32"/>
          <w:highlight w:val="none"/>
        </w:rPr>
        <w:t>万元，</w:t>
      </w:r>
      <w:r>
        <w:rPr>
          <w:rFonts w:ascii="仿宋" w:hAnsi="仿宋" w:eastAsia="仿宋" w:cs="仿宋"/>
          <w:sz w:val="32"/>
          <w:szCs w:val="32"/>
          <w:highlight w:val="none"/>
        </w:rPr>
        <w:t>增长167.23%</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项目增加。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w:t>
      </w:r>
      <w:r>
        <w:rPr>
          <w:rFonts w:hint="eastAsia" w:ascii="仿宋" w:hAnsi="仿宋" w:eastAsia="仿宋" w:cs="仿宋"/>
          <w:color w:val="auto"/>
          <w:sz w:val="32"/>
          <w:szCs w:val="32"/>
          <w:highlight w:val="none"/>
        </w:rPr>
        <w:t>绩效自评。其中，一</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个，二</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个，共涉及资金</w:t>
      </w:r>
      <w:r>
        <w:rPr>
          <w:rFonts w:hint="eastAsia" w:ascii="仿宋" w:hAnsi="仿宋" w:eastAsia="仿宋" w:cs="仿宋"/>
          <w:color w:val="auto"/>
          <w:sz w:val="32"/>
          <w:szCs w:val="32"/>
          <w:highlight w:val="none"/>
          <w:lang w:val="en-US" w:eastAsia="zh-CN"/>
        </w:rPr>
        <w:t>77.42</w:t>
      </w:r>
      <w:r>
        <w:rPr>
          <w:rFonts w:hint="eastAsia" w:ascii="仿宋" w:hAnsi="仿宋" w:eastAsia="仿宋" w:cs="仿宋"/>
          <w:color w:val="auto"/>
          <w:sz w:val="32"/>
          <w:szCs w:val="32"/>
          <w:highlight w:val="none"/>
        </w:rPr>
        <w:t>万元，占一般公共预算项目支出总额的</w:t>
      </w:r>
      <w:r>
        <w:rPr>
          <w:rFonts w:hint="eastAsia" w:ascii="仿宋" w:hAnsi="仿宋" w:eastAsia="仿宋" w:cs="仿宋"/>
          <w:color w:val="auto"/>
          <w:sz w:val="32"/>
          <w:szCs w:val="32"/>
          <w:highlight w:val="none"/>
          <w:lang w:val="en-US" w:eastAsia="zh-CN"/>
        </w:rPr>
        <w:t>79.2</w:t>
      </w: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个政府性基金预算项目支出开展绩效自评，共涉及资金</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万元，占政府性基金预算项目支出总额的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个国有资本经营预算项目支出开展绩效自评，共涉及资金</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万元，占国有资本经营预算项目支出总额的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val="en-US" w:eastAsia="zh-CN"/>
        </w:rPr>
        <w:t>招商工作经费</w:t>
      </w:r>
      <w:r>
        <w:rPr>
          <w:rFonts w:hint="eastAsia" w:ascii="仿宋" w:hAnsi="仿宋" w:eastAsia="仿宋" w:cs="仿宋"/>
          <w:color w:val="auto"/>
          <w:sz w:val="32"/>
          <w:szCs w:val="32"/>
          <w:highlight w:val="none"/>
        </w:rPr>
        <w:t>”等</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个项目进行了部门评价，涉及一般公共预算支出</w:t>
      </w:r>
      <w:r>
        <w:rPr>
          <w:rFonts w:hint="eastAsia" w:ascii="仿宋" w:hAnsi="仿宋" w:eastAsia="仿宋" w:cs="仿宋"/>
          <w:color w:val="auto"/>
          <w:sz w:val="32"/>
          <w:szCs w:val="32"/>
          <w:highlight w:val="none"/>
          <w:lang w:val="en-US" w:eastAsia="zh-CN"/>
        </w:rPr>
        <w:t>77.42</w:t>
      </w:r>
      <w:r>
        <w:rPr>
          <w:rFonts w:hint="eastAsia" w:ascii="仿宋" w:hAnsi="仿宋" w:eastAsia="仿宋" w:cs="仿宋"/>
          <w:color w:val="auto"/>
          <w:sz w:val="32"/>
          <w:szCs w:val="32"/>
          <w:highlight w:val="none"/>
        </w:rPr>
        <w:t>万元，政府性基金预算支出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万元，国有资本经营预算支出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万元。从评价情况来看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年初预算数21.94万元，当年预算数126.41万元，全年执行数77.42万元，完成执行率61.25%，自评结论：一等</w:t>
      </w:r>
      <w:r>
        <w:rPr>
          <w:rFonts w:hint="eastAsia" w:ascii="仿宋" w:hAnsi="仿宋" w:eastAsia="仿宋" w:cs="仿宋"/>
          <w:color w:val="auto"/>
          <w:sz w:val="32"/>
          <w:szCs w:val="32"/>
          <w:highlight w:val="none"/>
        </w:rPr>
        <w:t>。</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val="en-US" w:eastAsia="zh-CN"/>
        </w:rPr>
        <w:t>1个部门（单位）</w:t>
      </w:r>
      <w:r>
        <w:rPr>
          <w:rFonts w:hint="eastAsia" w:ascii="仿宋" w:hAnsi="仿宋" w:eastAsia="仿宋" w:cs="仿宋"/>
          <w:color w:val="auto"/>
          <w:sz w:val="32"/>
          <w:szCs w:val="32"/>
          <w:highlight w:val="none"/>
        </w:rPr>
        <w:t>开展整体支出绩效评价试点，涉及一般公共预算支出</w:t>
      </w:r>
      <w:r>
        <w:rPr>
          <w:rFonts w:hint="eastAsia" w:ascii="仿宋" w:hAnsi="仿宋" w:eastAsia="仿宋" w:cs="仿宋"/>
          <w:color w:val="auto"/>
          <w:sz w:val="32"/>
          <w:szCs w:val="32"/>
          <w:highlight w:val="none"/>
          <w:lang w:val="en-US" w:eastAsia="zh-CN"/>
        </w:rPr>
        <w:t>153.07</w:t>
      </w:r>
      <w:r>
        <w:rPr>
          <w:rFonts w:hint="eastAsia" w:ascii="仿宋" w:hAnsi="仿宋" w:eastAsia="仿宋" w:cs="仿宋"/>
          <w:color w:val="auto"/>
          <w:sz w:val="32"/>
          <w:szCs w:val="32"/>
          <w:highlight w:val="none"/>
        </w:rPr>
        <w:t>万元，政府性基金预算支出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default" w:ascii="仿宋" w:hAnsi="仿宋" w:eastAsia="仿宋" w:cs="仿宋"/>
          <w:color w:val="auto"/>
          <w:sz w:val="32"/>
          <w:szCs w:val="32"/>
          <w:highlight w:val="none"/>
        </w:rPr>
        <w:t>国有资本经营预算支出 0</w:t>
      </w:r>
      <w:r>
        <w:rPr>
          <w:rFonts w:hint="eastAsia" w:ascii="仿宋" w:hAnsi="仿宋" w:eastAsia="仿宋" w:cs="仿宋"/>
          <w:color w:val="auto"/>
          <w:sz w:val="32"/>
          <w:szCs w:val="32"/>
          <w:highlight w:val="none"/>
          <w:lang w:val="en-US" w:eastAsia="zh-CN"/>
        </w:rPr>
        <w:t xml:space="preserve"> </w:t>
      </w:r>
      <w:r>
        <w:rPr>
          <w:rFonts w:hint="default" w:ascii="仿宋" w:hAnsi="仿宋" w:eastAsia="仿宋" w:cs="仿宋"/>
          <w:color w:val="auto"/>
          <w:sz w:val="32"/>
          <w:szCs w:val="32"/>
          <w:highlight w:val="none"/>
        </w:rPr>
        <w:t>万元</w:t>
      </w:r>
      <w:r>
        <w:rPr>
          <w:rFonts w:hint="eastAsia" w:ascii="仿宋" w:hAnsi="仿宋" w:eastAsia="仿宋" w:cs="仿宋"/>
          <w:color w:val="auto"/>
          <w:sz w:val="32"/>
          <w:szCs w:val="32"/>
          <w:highlight w:val="none"/>
        </w:rPr>
        <w:t>。从评价情况来看，</w:t>
      </w:r>
      <w:r>
        <w:rPr>
          <w:rFonts w:hint="eastAsia" w:ascii="仿宋" w:hAnsi="仿宋" w:eastAsia="仿宋" w:cs="仿宋"/>
          <w:color w:val="auto"/>
          <w:sz w:val="32"/>
          <w:szCs w:val="32"/>
          <w:highlight w:val="none"/>
          <w:lang w:val="en-US" w:eastAsia="zh-CN"/>
        </w:rPr>
        <w:t>年初预算数107.81万元，当年预算数233.04万元，全年执行数168.28万元，预算执行率72.21%，自评结论：一等。</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情况如下：</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党支部组织生活费项目自评得分为80分，发现的主要问题及原因：活动经费未完成所以经费未支付完全。下一步改进措施：要按规定按时支付。</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保安服务费项目自评得分为100分，发现的主要问题及原因：未发现问题。下一步改进措施：无。</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招商引资商务口径外资到位资金奖励项目自评得分为100分，发现的主要问题及原因：未发现问题。下一步改进措施：无。</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奖励性补贴项目自评得分为100分，发现的主要问题及原因：未发现问题。下一步改进措施：无。</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项目策划包装费自评得分为100分，发现的主要问题及原因：未发现问题。下一步改进措施：无。</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综合业务工作经费自评得分为90分，发现的主要问题及原因：活动经费未完成所以经费未支付完全。下一步改进措施：要按规定按时支付。</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招商宣传册工作经费自评得分为80分，发现的主要问题及原因：活动经费未完成所以经费未支付完全。下一步改进措施：要按规定按时支付。</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招商工作经费自评得分为93.5分，发现的主要问题及原因：活动经费未完成所以经费未支付完全。下一步改进措施：要按规定按时支付。</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东盟博览会参会经费自评得分为95.35分，发现的主要问题及原因：活动经费未完成所以经费未支付完全。下一步改进措施：要按规定按时支付。</w:t>
      </w:r>
    </w:p>
    <w:p>
      <w:pPr>
        <w:numPr>
          <w:ilvl w:val="0"/>
          <w:numId w:val="3"/>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驻点招商工作经费自评得分为92.1分，发现的主要问题及原因：活动经费未完成所以经费未支付完全。下一步改进措施：要按规定按时支付。</w:t>
      </w:r>
    </w:p>
    <w:p>
      <w:pPr>
        <w:numPr>
          <w:ilvl w:val="0"/>
          <w:numId w:val="3"/>
        </w:num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办公设备购置自评得分为90分，发现的主要问题及原因：活动经费未完成所以经费未支付完全。下一步改进措施：要按规定按时支付。</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6F5146CB"/>
    <w:multiLevelType w:val="singleLevel"/>
    <w:tmpl w:val="6F5146CB"/>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7E92249"/>
    <w:rsid w:val="18002BBD"/>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BBA6FEB"/>
    <w:rsid w:val="3C07002B"/>
    <w:rsid w:val="3D0D152A"/>
    <w:rsid w:val="3DF62756"/>
    <w:rsid w:val="3EC34805"/>
    <w:rsid w:val="3F1B7587"/>
    <w:rsid w:val="41E57B4F"/>
    <w:rsid w:val="432F26F6"/>
    <w:rsid w:val="43880F63"/>
    <w:rsid w:val="441C5A6F"/>
    <w:rsid w:val="44C44FCC"/>
    <w:rsid w:val="44CC7369"/>
    <w:rsid w:val="457F5108"/>
    <w:rsid w:val="46951B6B"/>
    <w:rsid w:val="49A34401"/>
    <w:rsid w:val="4A3E30AB"/>
    <w:rsid w:val="4A8D0ADE"/>
    <w:rsid w:val="4AC14DAC"/>
    <w:rsid w:val="4D154C85"/>
    <w:rsid w:val="4EB35ECE"/>
    <w:rsid w:val="508F4E24"/>
    <w:rsid w:val="51461E90"/>
    <w:rsid w:val="51463753"/>
    <w:rsid w:val="52553A93"/>
    <w:rsid w:val="53521F8B"/>
    <w:rsid w:val="53E22F47"/>
    <w:rsid w:val="54522FF8"/>
    <w:rsid w:val="55450629"/>
    <w:rsid w:val="561666B2"/>
    <w:rsid w:val="56692963"/>
    <w:rsid w:val="568B0F48"/>
    <w:rsid w:val="5786217B"/>
    <w:rsid w:val="59337A15"/>
    <w:rsid w:val="59810274"/>
    <w:rsid w:val="5CA96A00"/>
    <w:rsid w:val="5CF730BC"/>
    <w:rsid w:val="5E5F0DCE"/>
    <w:rsid w:val="5FA40A7B"/>
    <w:rsid w:val="5FD56D29"/>
    <w:rsid w:val="5FEC7F3F"/>
    <w:rsid w:val="60534062"/>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333333"/>
      <w:u w:val="none"/>
    </w:rPr>
  </w:style>
  <w:style w:type="character" w:styleId="9">
    <w:name w:val="Emphasis"/>
    <w:basedOn w:val="7"/>
    <w:qFormat/>
    <w:uiPriority w:val="0"/>
    <w:rPr>
      <w:i/>
    </w:rPr>
  </w:style>
  <w:style w:type="character" w:styleId="10">
    <w:name w:val="Hyperlink"/>
    <w:basedOn w:val="7"/>
    <w:qFormat/>
    <w:uiPriority w:val="0"/>
    <w:rPr>
      <w:color w:val="333333"/>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pages"/>
    <w:basedOn w:val="7"/>
    <w:uiPriority w:val="0"/>
    <w:rPr>
      <w:color w:val="222222"/>
      <w:bdr w:val="single" w:color="DFDFDF" w:sz="6" w:space="0"/>
      <w:shd w:val="clear" w:fill="F9F9F9"/>
    </w:rPr>
  </w:style>
  <w:style w:type="character" w:customStyle="1" w:styleId="15">
    <w:name w:val="current"/>
    <w:basedOn w:val="7"/>
    <w:uiPriority w:val="0"/>
    <w:rPr>
      <w:bdr w:val="single" w:color="BBBBBB" w:sz="6" w:space="0"/>
      <w:shd w:val="clear" w:fill="EEEEEE"/>
    </w:rPr>
  </w:style>
  <w:style w:type="character" w:customStyle="1" w:styleId="16">
    <w:name w:val="current1"/>
    <w:basedOn w:val="7"/>
    <w:qFormat/>
    <w:uiPriority w:val="0"/>
    <w:rPr>
      <w:color w:val="FFFFFF"/>
      <w:shd w:val="clear" w:fill="00B2EE"/>
    </w:rPr>
  </w:style>
  <w:style w:type="character" w:customStyle="1" w:styleId="17">
    <w:name w:val="extend"/>
    <w:basedOn w:val="7"/>
    <w:uiPriority w:val="0"/>
    <w:rPr>
      <w:b/>
      <w:bCs/>
    </w:rPr>
  </w:style>
  <w:style w:type="character" w:customStyle="1" w:styleId="18">
    <w:name w:val="current2"/>
    <w:basedOn w:val="7"/>
    <w:uiPriority w:val="0"/>
    <w:rPr>
      <w:bdr w:val="single" w:color="BBBBBB" w:sz="6" w:space="0"/>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175.96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91.49</c:v>
                </c:pt>
                <c:pt idx="1">
                  <c:v>7.73</c:v>
                </c:pt>
                <c:pt idx="2">
                  <c:v>5.8</c:v>
                </c:pt>
                <c:pt idx="3">
                  <c:v>18.76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153.07</c:v>
                </c:pt>
                <c:pt idx="1">
                  <c:v>5.68</c:v>
                </c:pt>
                <c:pt idx="2">
                  <c:v>4.26</c:v>
                </c:pt>
                <c:pt idx="3">
                  <c:v>12.94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2011301</c:v>
                </c:pt>
                <c:pt idx="1">
                  <c:v>2011308</c:v>
                </c:pt>
                <c:pt idx="2">
                  <c:v>2012999</c:v>
                </c:pt>
                <c:pt idx="3">
                  <c:v>201x</c:v>
                </c:pt>
              </c:strCache>
            </c:strRef>
          </c:cat>
          <c:val>
            <c:numRef>
              <c:f>Sheet1!$B$2:$B$5</c:f>
              <c:numCache>
                <c:formatCode>General</c:formatCode>
                <c:ptCount val="4"/>
                <c:pt idx="0">
                  <c:v>50</c:v>
                </c:pt>
                <c:pt idx="1">
                  <c:v>102.28</c:v>
                </c:pt>
                <c:pt idx="2">
                  <c:v>0.8</c:v>
                </c:pt>
                <c:pt idx="3">
                  <c:v>153.07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5.68</c:v>
                </c:pt>
                <c:pt idx="1">
                  <c:v>5.68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4.26</c:v>
                </c:pt>
                <c:pt idx="1">
                  <c:v>4.26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12.94</c:v>
                </c:pt>
                <c:pt idx="1">
                  <c:v>12.94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16.22</c:v>
                </c:pt>
                <c:pt idx="1">
                  <c:v>8.76</c:v>
                </c:pt>
                <c:pt idx="2">
                  <c:v>18.3</c:v>
                </c:pt>
                <c:pt idx="3">
                  <c:v>0.8</c:v>
                </c:pt>
                <c:pt idx="4">
                  <c:v>0</c:v>
                </c:pt>
                <c:pt idx="5">
                  <c:v>5.68</c:v>
                </c:pt>
                <c:pt idx="6">
                  <c:v>0</c:v>
                </c:pt>
                <c:pt idx="7">
                  <c:v>2.31</c:v>
                </c:pt>
                <c:pt idx="8">
                  <c:v>0</c:v>
                </c:pt>
                <c:pt idx="9">
                  <c:v>0.13</c:v>
                </c:pt>
                <c:pt idx="10">
                  <c:v>4.26</c:v>
                </c:pt>
                <c:pt idx="11">
                  <c:v>0</c:v>
                </c:pt>
                <c:pt idx="12">
                  <c:v>12.94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0.33</c:v>
                </c:pt>
                <c:pt idx="1">
                  <c:v>0</c:v>
                </c:pt>
                <c:pt idx="2">
                  <c:v>0</c:v>
                </c:pt>
                <c:pt idx="3">
                  <c:v>0</c:v>
                </c:pt>
                <c:pt idx="4">
                  <c:v>0</c:v>
                </c:pt>
                <c:pt idx="5">
                  <c:v>0</c:v>
                </c:pt>
                <c:pt idx="6">
                  <c:v>0.52</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0.8</c:v>
                </c:pt>
                <c:pt idx="22">
                  <c:v>0</c:v>
                </c:pt>
                <c:pt idx="23">
                  <c:v>0</c:v>
                </c:pt>
                <c:pt idx="24">
                  <c:v>3.09</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4.07</c:v>
                </c:pt>
                <c:pt idx="5">
                  <c:v>0</c:v>
                </c:pt>
                <c:pt idx="6">
                  <c:v>0</c:v>
                </c:pt>
                <c:pt idx="7">
                  <c:v>0</c:v>
                </c:pt>
                <c:pt idx="8">
                  <c:v>0</c:v>
                </c:pt>
                <c:pt idx="9">
                  <c:v>0</c:v>
                </c:pt>
                <c:pt idx="10">
                  <c:v>0</c:v>
                </c:pt>
                <c:pt idx="11">
                  <c:v>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2023-11-29T03:58:57Z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D6F28165AFF946F2A778D74B9EF8EFCC</vt:lpwstr>
  </property>
</Properties>
</file>