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环江毛南族自治县财政局2022年度部门决算</w:t>
      </w:r>
    </w:p>
    <w:p>
      <w:pPr>
        <w:keepNext w:val="0"/>
        <w:keepLines w:val="0"/>
        <w:pageBreakBefore w:val="0"/>
        <w:widowControl w:val="0"/>
        <w:kinsoku/>
        <w:wordWrap/>
        <w:overflowPunct/>
        <w:topLinePunct w:val="0"/>
        <w:bidi w:val="0"/>
        <w:snapToGrid/>
        <w:spacing w:line="560" w:lineRule="exact"/>
        <w:jc w:val="center"/>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szCs w:val="32"/>
          <w:highlight w:val="none"/>
        </w:rPr>
      </w:pPr>
      <w:r>
        <w:rPr>
          <w:rFonts w:ascii="仿宋" w:hAnsi="仿宋" w:eastAsia="仿宋" w:cs="仿宋"/>
          <w:sz w:val="32"/>
          <w:szCs w:val="32"/>
          <w:highlight w:val="none"/>
        </w:rPr>
        <w:br w:type="page"/>
      </w:r>
    </w:p>
    <w:p>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keepNext w:val="0"/>
        <w:keepLines w:val="0"/>
        <w:pageBreakBefore w:val="0"/>
        <w:widowControl w:val="0"/>
        <w:kinsoku/>
        <w:wordWrap/>
        <w:overflowPunct/>
        <w:topLinePunct w:val="0"/>
        <w:bidi w:val="0"/>
        <w:snapToGrid/>
        <w:spacing w:line="560" w:lineRule="exact"/>
        <w:jc w:val="left"/>
        <w:textAlignment w:val="auto"/>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环江毛南族自治县财政局</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环江毛南族自治县财政局</w:t>
      </w:r>
      <w:r>
        <w:rPr>
          <w:rFonts w:hint="eastAsia" w:ascii="黑体" w:hAnsi="黑体" w:eastAsia="黑体" w:cs="黑体"/>
          <w:sz w:val="32"/>
          <w:szCs w:val="32"/>
          <w:highlight w:val="none"/>
        </w:rPr>
        <w:t>2022年度部门决算报表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环江毛南族自治县财政局</w:t>
      </w: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第一部分：</w:t>
      </w:r>
      <w:r>
        <w:rPr>
          <w:rFonts w:hint="eastAsia" w:ascii="方正小标宋简体" w:hAnsi="方正小标宋简体" w:eastAsia="方正小标宋简体" w:cs="方正小标宋简体"/>
          <w:b w:val="0"/>
          <w:bCs w:val="0"/>
          <w:sz w:val="32"/>
          <w:u w:color="auto"/>
        </w:rPr>
        <w:t>环江毛南族自治县财政局</w:t>
      </w:r>
      <w:r>
        <w:rPr>
          <w:rFonts w:hint="eastAsia" w:ascii="方正小标宋简体" w:hAnsi="方正小标宋简体" w:eastAsia="方正小标宋简体" w:cs="方正小标宋简体"/>
          <w:b w:val="0"/>
          <w:bCs w:val="0"/>
          <w:sz w:val="32"/>
          <w:szCs w:val="32"/>
          <w:highlight w:val="none"/>
        </w:rPr>
        <w:t>概况</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rPr>
        <w:t>）贯彻国家财政的方针政策及其他有关政策；拟订财政发展规划、政策和改革方案并组织实施，拟订财政分配政策，参与制定各项宏观经济政策，提出运用财政政策实施宏观调控的建议。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二</w:t>
      </w:r>
      <w:r>
        <w:rPr>
          <w:rFonts w:hint="default" w:ascii="Times New Roman" w:hAnsi="Times New Roman" w:eastAsia="仿宋_GB2312" w:cs="Times New Roman"/>
          <w:b w:val="0"/>
          <w:bCs/>
          <w:sz w:val="32"/>
          <w:szCs w:val="32"/>
        </w:rPr>
        <w:t>）起草财政、预算、财务、会计、资产评估管理等规范性文件。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三</w:t>
      </w:r>
      <w:r>
        <w:rPr>
          <w:rFonts w:hint="default" w:ascii="Times New Roman" w:hAnsi="Times New Roman" w:eastAsia="仿宋_GB2312" w:cs="Times New Roman"/>
          <w:b w:val="0"/>
          <w:bCs/>
          <w:sz w:val="32"/>
          <w:szCs w:val="32"/>
        </w:rPr>
        <w:t>）承担全县各项财政收支管理的责任；负责编制年度县本级预决算草案并组织执行；受自治县人民政府委托，向自治县人民代表大会报告全县和县本级预算执行情况及预算草案，向自治县人大常委会报告县本级决算和预算调整方案；组织制订经费开支标准、定额，负责审核批复县本级部门（单位）的年度预决算。督促部门做好预决算公开。</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四</w:t>
      </w:r>
      <w:r>
        <w:rPr>
          <w:rFonts w:hint="default" w:ascii="Times New Roman" w:hAnsi="Times New Roman" w:eastAsia="仿宋_GB2312" w:cs="Times New Roman"/>
          <w:b w:val="0"/>
          <w:bCs/>
          <w:sz w:val="32"/>
          <w:szCs w:val="32"/>
        </w:rPr>
        <w:t>）按分工负责政府非税收入管理。负责政府性基金管理，按规定管理行政事业性收费。编制政府性基金预决算草案；管理财政票据，负责彩票市场监管。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五</w:t>
      </w:r>
      <w:r>
        <w:rPr>
          <w:rFonts w:hint="default" w:ascii="Times New Roman" w:hAnsi="Times New Roman" w:eastAsia="仿宋_GB2312" w:cs="Times New Roman"/>
          <w:b w:val="0"/>
          <w:bCs/>
          <w:sz w:val="32"/>
          <w:szCs w:val="32"/>
        </w:rPr>
        <w:t>）组织制定国库管理制度，按规定开展国库现金管理工作。负责制定政府采购制度并监督管理。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六</w:t>
      </w:r>
      <w:r>
        <w:rPr>
          <w:rFonts w:hint="default" w:ascii="Times New Roman" w:hAnsi="Times New Roman" w:eastAsia="仿宋_GB2312" w:cs="Times New Roman"/>
          <w:b w:val="0"/>
          <w:bCs/>
          <w:sz w:val="32"/>
          <w:szCs w:val="32"/>
        </w:rPr>
        <w:t>）负责制定行政事业单位国有资产管理规章制度，管理县本级行政事业单位国有资产，负责行政事业单位和社会团体的非贸易外汇管理。</w:t>
      </w:r>
      <w:r>
        <w:rPr>
          <w:rFonts w:hint="default" w:ascii="Times New Roman" w:hAnsi="Times New Roman" w:eastAsia="仿宋_GB2312" w:cs="Times New Roman"/>
          <w:b w:val="0"/>
          <w:bCs/>
          <w:color w:val="000000"/>
          <w:sz w:val="32"/>
          <w:szCs w:val="32"/>
        </w:rPr>
        <w:t>负责此次机构改革期间小车定编工作。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七</w:t>
      </w:r>
      <w:r>
        <w:rPr>
          <w:rFonts w:hint="default" w:ascii="Times New Roman" w:hAnsi="Times New Roman" w:eastAsia="仿宋_GB2312" w:cs="Times New Roman"/>
          <w:b w:val="0"/>
          <w:bCs/>
          <w:sz w:val="32"/>
          <w:szCs w:val="32"/>
        </w:rPr>
        <w:t>）编制国有资本经营预决算草案，制定国有资本经营预算的制度和办法，负责县本级企业国有资本收益收支管理，组织实施企业财务制度，按规定管理地方金融类企业国有资产，参与拟订企业国有资产管理相关制度。</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八</w:t>
      </w:r>
      <w:r>
        <w:rPr>
          <w:rFonts w:hint="default" w:ascii="Times New Roman" w:hAnsi="Times New Roman" w:eastAsia="仿宋_GB2312" w:cs="Times New Roman"/>
          <w:b w:val="0"/>
          <w:bCs/>
          <w:sz w:val="32"/>
          <w:szCs w:val="32"/>
        </w:rPr>
        <w:t>）负责管理自治县政府性投资项目资金，参与拟订自治县基本建设投资的有关政策。负责有关政策性补贴和专项储备资金财政管理工作。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九</w:t>
      </w:r>
      <w:r>
        <w:rPr>
          <w:rFonts w:hint="default" w:ascii="Times New Roman" w:hAnsi="Times New Roman" w:eastAsia="仿宋_GB2312" w:cs="Times New Roman"/>
          <w:b w:val="0"/>
          <w:bCs/>
          <w:sz w:val="32"/>
          <w:szCs w:val="32"/>
        </w:rPr>
        <w:t>）负责社会保险基金财政管理工作，拟订社会保障资金（基金）的财务管理制度和办法，编制社会保障预决算草案。</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十</w:t>
      </w:r>
      <w:r>
        <w:rPr>
          <w:rFonts w:hint="default" w:ascii="Times New Roman" w:hAnsi="Times New Roman" w:eastAsia="仿宋_GB2312" w:cs="Times New Roman"/>
          <w:b w:val="0"/>
          <w:bCs/>
          <w:sz w:val="32"/>
          <w:szCs w:val="32"/>
        </w:rPr>
        <w:t>）拟订地方政府性债务管理制度和政策，防范财政风险。管理全县政府外债。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十一</w:t>
      </w:r>
      <w:r>
        <w:rPr>
          <w:rFonts w:hint="default" w:ascii="Times New Roman" w:hAnsi="Times New Roman" w:eastAsia="仿宋_GB2312" w:cs="Times New Roman"/>
          <w:b w:val="0"/>
          <w:bCs/>
          <w:sz w:val="32"/>
          <w:szCs w:val="32"/>
        </w:rPr>
        <w:t>）负责管理全县会计、资产评估工作，监督和规范会计行为，组织实施国家统一的会计制度。</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w:t>
      </w:r>
      <w:r>
        <w:rPr>
          <w:rFonts w:hint="eastAsia" w:ascii="Times New Roman" w:hAnsi="Times New Roman" w:eastAsia="仿宋_GB2312" w:cs="Times New Roman"/>
          <w:b w:val="0"/>
          <w:bCs/>
          <w:sz w:val="32"/>
          <w:szCs w:val="32"/>
          <w:lang w:val="en-US" w:eastAsia="zh-CN"/>
        </w:rPr>
        <w:t>十二</w:t>
      </w:r>
      <w:r>
        <w:rPr>
          <w:rFonts w:hint="default" w:ascii="Times New Roman" w:hAnsi="Times New Roman" w:eastAsia="仿宋_GB2312" w:cs="Times New Roman"/>
          <w:b w:val="0"/>
          <w:bCs/>
          <w:color w:val="000000"/>
          <w:sz w:val="32"/>
          <w:szCs w:val="32"/>
        </w:rPr>
        <w:t>）监督检查财税法规、政策的执行情况，反映财政收支管理中的重大问题。</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十三</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kern w:val="0"/>
          <w:sz w:val="32"/>
          <w:szCs w:val="32"/>
        </w:rPr>
        <w:t>贯彻执行国家和自治区有关金融工作的方针、政策和法律、法规，会同有关部门拟订全县金融支持经济社会发展的政策措施和全县金融业发展规划或计划并组织实施;承担全县金融工作及金融工作议事协调机制的具体工作;负责组织实施自治县人民政府对地方金融机构的管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十四</w:t>
      </w:r>
      <w:r>
        <w:rPr>
          <w:rFonts w:hint="default" w:ascii="Times New Roman" w:hAnsi="Times New Roman" w:eastAsia="仿宋_GB2312" w:cs="Times New Roman"/>
          <w:b w:val="0"/>
          <w:bCs/>
          <w:sz w:val="32"/>
          <w:szCs w:val="32"/>
        </w:rPr>
        <w:t>）完成自治县党委、自治县人民政府交办的其他事项。</w:t>
      </w:r>
    </w:p>
    <w:p>
      <w:pPr>
        <w:pStyle w:val="6"/>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800" w:firstLineChars="25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sz w:val="32"/>
          <w:szCs w:val="32"/>
          <w:lang w:val="en-US" w:eastAsia="zh-CN"/>
        </w:rPr>
        <w:t>十五</w:t>
      </w:r>
      <w:r>
        <w:rPr>
          <w:rFonts w:hint="default" w:ascii="Times New Roman" w:hAnsi="Times New Roman" w:eastAsia="仿宋_GB2312" w:cs="Times New Roman"/>
          <w:b w:val="0"/>
          <w:bCs/>
          <w:kern w:val="2"/>
          <w:sz w:val="32"/>
          <w:szCs w:val="32"/>
          <w:lang w:val="en-US" w:eastAsia="zh-CN" w:bidi="ar-SA"/>
        </w:rPr>
        <w:t>)加强的职责</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深化财税体制改革。完善预算管理制度，加快建立全面规范、公开透明的现代预算制度。完善自治县和乡（镇）政府间财政关系，建立事权和支出责任相适应的制度。健全预算绩效管理机制，逐步将预算绩效管理范围覆盖各级预算单位和所有财政资金。</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防范化解政府性债务风险。健全防范化解政府性债务风险的制度体系，规范政府举债行为，坚决遏制隐性债务增量。强化属地风险处置责任，全面监测全县债务规模和分析风险状况，着力防控隐性债务风险，牢牢守住不发生系统性风险的底线。</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0" w:firstLineChars="200"/>
        <w:outlineLvl w:val="0"/>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根据职责，设</w:t>
      </w:r>
      <w:r>
        <w:rPr>
          <w:rFonts w:hint="default" w:ascii="Times New Roman" w:hAnsi="Times New Roman" w:eastAsia="仿宋_GB2312" w:cs="Times New Roman"/>
          <w:i w:val="0"/>
          <w:iCs w:val="0"/>
          <w:caps w:val="0"/>
          <w:color w:val="333333"/>
          <w:spacing w:val="0"/>
          <w:sz w:val="32"/>
          <w:szCs w:val="32"/>
          <w:shd w:val="clear" w:fill="FFFFFF"/>
          <w:lang w:val="en-US" w:eastAsia="zh-CN"/>
        </w:rPr>
        <w:t>17</w:t>
      </w:r>
      <w:r>
        <w:rPr>
          <w:rFonts w:hint="default" w:ascii="Times New Roman" w:hAnsi="Times New Roman" w:eastAsia="仿宋_GB2312" w:cs="Times New Roman"/>
          <w:i w:val="0"/>
          <w:iCs w:val="0"/>
          <w:caps w:val="0"/>
          <w:color w:val="333333"/>
          <w:spacing w:val="0"/>
          <w:sz w:val="32"/>
          <w:szCs w:val="32"/>
          <w:shd w:val="clear" w:fill="FFFFFF"/>
        </w:rPr>
        <w:t>个职能股室，具体为：</w:t>
      </w:r>
      <w:r>
        <w:rPr>
          <w:rFonts w:hint="default" w:ascii="Times New Roman" w:hAnsi="Times New Roman" w:eastAsia="仿宋_GB2312" w:cs="Times New Roman"/>
          <w:b w:val="0"/>
          <w:bCs/>
          <w:color w:val="000000"/>
          <w:sz w:val="32"/>
          <w:szCs w:val="32"/>
        </w:rPr>
        <w:t>办公室（</w:t>
      </w:r>
      <w:r>
        <w:rPr>
          <w:rFonts w:hint="default" w:ascii="Times New Roman" w:hAnsi="Times New Roman" w:eastAsia="仿宋_GB2312" w:cs="Times New Roman"/>
          <w:b w:val="0"/>
          <w:bCs/>
          <w:sz w:val="32"/>
          <w:szCs w:val="32"/>
        </w:rPr>
        <w:t>机关党建办公室</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sz w:val="32"/>
          <w:szCs w:val="32"/>
        </w:rPr>
        <w:t>综合股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法规监督检查股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预算股(预算绩效管理股)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债务管理股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国库股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行政政法股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教科文股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经济建设股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工交股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color w:val="000000"/>
          <w:sz w:val="32"/>
          <w:szCs w:val="32"/>
        </w:rPr>
        <w:t>行政事业单位国有资产管理股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金融股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社会保障股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农业股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农村财政财务管理股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会计管理股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政府采购监督管理股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人事股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机关后勤服务中心</w:t>
      </w:r>
      <w:r>
        <w:rPr>
          <w:rFonts w:hint="default" w:ascii="Times New Roman" w:hAnsi="Times New Roman" w:eastAsia="仿宋_GB2312" w:cs="Times New Roman"/>
          <w:b w:val="0"/>
          <w:bCs/>
          <w:sz w:val="32"/>
          <w:szCs w:val="32"/>
          <w:lang w:eastAsia="zh-CN"/>
        </w:rPr>
        <w:t>。</w:t>
      </w:r>
    </w:p>
    <w:p>
      <w:pPr>
        <w:spacing w:line="560" w:lineRule="exact"/>
        <w:ind w:firstLine="640" w:firstLineChars="200"/>
        <w:outlineLvl w:val="0"/>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 二层单位有</w:t>
      </w:r>
      <w:r>
        <w:rPr>
          <w:rFonts w:hint="default" w:ascii="Times New Roman" w:hAnsi="Times New Roman" w:eastAsia="仿宋_GB2312" w:cs="Times New Roman"/>
          <w:i w:val="0"/>
          <w:iCs w:val="0"/>
          <w:caps w:val="0"/>
          <w:color w:val="333333"/>
          <w:spacing w:val="0"/>
          <w:sz w:val="32"/>
          <w:szCs w:val="32"/>
          <w:shd w:val="clear" w:fill="FFFFFF"/>
          <w:lang w:val="en-US" w:eastAsia="zh-CN"/>
        </w:rPr>
        <w:t>3</w:t>
      </w:r>
      <w:r>
        <w:rPr>
          <w:rFonts w:hint="default" w:ascii="Times New Roman" w:hAnsi="Times New Roman" w:eastAsia="仿宋_GB2312" w:cs="Times New Roman"/>
          <w:i w:val="0"/>
          <w:iCs w:val="0"/>
          <w:caps w:val="0"/>
          <w:color w:val="333333"/>
          <w:spacing w:val="0"/>
          <w:sz w:val="32"/>
          <w:szCs w:val="32"/>
          <w:shd w:val="clear" w:fill="FFFFFF"/>
        </w:rPr>
        <w:t>个，具体单位为：</w:t>
      </w:r>
      <w:r>
        <w:rPr>
          <w:rFonts w:hint="default" w:ascii="Times New Roman" w:hAnsi="Times New Roman" w:eastAsia="仿宋_GB2312" w:cs="Times New Roman"/>
          <w:i w:val="0"/>
          <w:iCs w:val="0"/>
          <w:caps w:val="0"/>
          <w:color w:val="333333"/>
          <w:spacing w:val="0"/>
          <w:sz w:val="32"/>
          <w:szCs w:val="32"/>
          <w:shd w:val="clear" w:fill="FFFFFF"/>
          <w:lang w:eastAsia="zh-CN"/>
        </w:rPr>
        <w:t>财政预算绩效管理评价中心、财政国库集中支付中心、财政投资评审中心、预算绩效评价中心、财政稽查中心和金融工作中心</w:t>
      </w:r>
      <w:r>
        <w:rPr>
          <w:rFonts w:hint="default" w:ascii="Times New Roman" w:hAnsi="Times New Roman" w:eastAsia="仿宋_GB2312" w:cs="Times New Roman"/>
          <w:i w:val="0"/>
          <w:iCs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fill="FFFFFF"/>
        </w:rPr>
        <w:t>。</w:t>
      </w:r>
    </w:p>
    <w:p>
      <w:pPr>
        <w:jc w:val="center"/>
        <w:rPr>
          <w:rFonts w:hint="eastAsia" w:ascii="黑体" w:hAnsi="黑体" w:eastAsia="黑体" w:cs="黑体"/>
          <w:sz w:val="32"/>
          <w:szCs w:val="32"/>
          <w:highlight w:val="none"/>
          <w:lang w:val="en-US" w:eastAsia="zh-CN"/>
        </w:rPr>
        <w:sectPr>
          <w:pgSz w:w="11906" w:h="16838"/>
          <w:pgMar w:top="1417" w:right="1587" w:bottom="1417" w:left="1587" w:header="851" w:footer="992" w:gutter="0"/>
          <w:cols w:space="0" w:num="1"/>
          <w:rtlGutter w:val="0"/>
          <w:docGrid w:type="lines" w:linePitch="312" w:charSpace="0"/>
        </w:sectPr>
      </w:pPr>
    </w:p>
    <w:p>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第二部分：</w:t>
      </w:r>
      <w:r>
        <w:rPr>
          <w:rFonts w:hint="eastAsia" w:ascii="方正小标宋简体" w:hAnsi="方正小标宋简体" w:eastAsia="方正小标宋简体" w:cs="方正小标宋简体"/>
          <w:sz w:val="32"/>
          <w:u w:color="auto"/>
        </w:rPr>
        <w:t>环江毛南族自治县财政局</w:t>
      </w:r>
      <w:r>
        <w:rPr>
          <w:rFonts w:hint="eastAsia" w:ascii="方正小标宋简体" w:hAnsi="方正小标宋简体" w:eastAsia="方正小标宋简体" w:cs="方正小标宋简体"/>
          <w:sz w:val="32"/>
          <w:szCs w:val="32"/>
          <w:highlight w:val="none"/>
        </w:rPr>
        <w:t xml:space="preserve"> 2022年度部门决算报表</w:t>
      </w:r>
    </w:p>
    <w:tbl>
      <w:tblPr>
        <w:tblStyle w:val="8"/>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b/>
                <w:bCs/>
                <w:sz w:val="24"/>
                <w:highlight w:val="none"/>
              </w:rPr>
            </w:pPr>
            <w:r>
              <w:rPr>
                <w:rFonts w:hint="eastAsia" w:ascii="仿宋" w:hAnsi="仿宋" w:eastAsia="仿宋" w:cs="仿宋"/>
                <w:b/>
                <w:bCs/>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6882.33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1437.91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8.66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5026.01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6890.99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6890.09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6890.99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6890.99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8"/>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b/>
                <w:bCs/>
                <w:sz w:val="24"/>
                <w:highlight w:val="none"/>
              </w:rPr>
            </w:pPr>
            <w:r>
              <w:rPr>
                <w:rFonts w:hint="eastAsia" w:ascii="仿宋" w:hAnsi="仿宋" w:eastAsia="仿宋" w:cs="仿宋"/>
                <w:b/>
                <w:bCs/>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6890.99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6882.33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8.66</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1438.82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1430.15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8.66</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财政事务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1424.44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1415.78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8.66</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743.67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8.66</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预算改革业务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财政国库业务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财政监察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财政委托业务支出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其他财政事务支出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5026.01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5026.01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2130142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农村道路建设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451.99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451.99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其他农业农村支出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2136.55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2136.55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农村基础设施建设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2042.24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2042.24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其他巩固脱贫衔接乡村振兴支出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农村综合改革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2330.81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2330.81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对村级公益事业建设的补助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437.94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437.94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农村综合改革示范试点补助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其他农村综合改革支出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647.31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647.31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表三：支出决算表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6890.09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1164.58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5725.51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1437.91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738.41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财政事务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1423.53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724.04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711.64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预算改革业务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财政国库业务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财政监察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财政委托业务支出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2010699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其他财政事务支出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288.40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103.35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103.35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103.35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5026.01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5026.01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459.78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2130142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农村道路建设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451.99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451.99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其他农业农村支出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2136.55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2136.55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农村基础设施建设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2042.24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2042.24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其他巩固脱贫衔接乡村振兴支出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94.31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农村综合改革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2330.81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2330.81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对村级公益事业建设的补助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437.94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437.94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农村综合改革示范试点补助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1245.56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2130799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其他农村综合改革支出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647.31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647.31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98.88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244.51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244.51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244.51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b/>
          <w:bCs/>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表四：财政拨款收入支出决算总表</w:t>
      </w:r>
    </w:p>
    <w:p>
      <w:pPr>
        <w:jc w:val="left"/>
        <w:rPr>
          <w:rFonts w:hint="eastAsia" w:ascii="仿宋" w:hAnsi="仿宋" w:eastAsia="仿宋" w:cs="仿宋"/>
          <w:sz w:val="24"/>
          <w:highlight w:val="none"/>
        </w:rPr>
      </w:pPr>
    </w:p>
    <w:tbl>
      <w:tblPr>
        <w:tblStyle w:val="8"/>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6882.33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1430.15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1430.15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103.35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5026.01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5026.01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77.71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77.71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244.51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244.51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6882.33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6882.33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6882.33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6882.33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6882.33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6882.33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表五：一般公共预算财政拨款支出决算表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6882.33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1156.82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5725.51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1430.15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699.50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财政事务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1415.78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716.28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699.50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703.88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31.13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预算改革业务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财政国库业务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财政监察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财政委托业务支出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336.65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2010699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其他财政事务支出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288.40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公安</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5026.01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5026.01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459.78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459.78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2130142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农村道路建设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451.99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其他农业农村支出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巩固脱贫衔接乡村振兴</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2136.55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2136.55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农村基础设施建设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2042.24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2042.24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其他巩固脱贫衔接乡村振兴支出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94.31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农村综合改革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2330.81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2330.81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对村级公益事业建设的补助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437.94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437.94</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2130707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农村综合改革示范试点补助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1245.56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1245.56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2130799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其他农村综合改革支出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647.31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647.31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表六：一般公共预算财政拨款基本支出决算表</w:t>
      </w:r>
    </w:p>
    <w:p>
      <w:pPr>
        <w:jc w:val="left"/>
        <w:rPr>
          <w:rFonts w:hint="eastAsia" w:ascii="仿宋" w:hAnsi="仿宋" w:eastAsia="仿宋" w:cs="仿宋"/>
          <w:sz w:val="24"/>
          <w:highlight w:val="none"/>
        </w:rPr>
      </w:pPr>
    </w:p>
    <w:tbl>
      <w:tblPr>
        <w:tblStyle w:val="8"/>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1042.57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276.82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189.43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323.38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1117.93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38.89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w:t>
      </w:r>
      <w:r>
        <w:rPr>
          <w:rFonts w:hint="eastAsia" w:ascii="仿宋" w:hAnsi="仿宋" w:eastAsia="仿宋" w:cs="仿宋"/>
          <w:b/>
          <w:bCs/>
          <w:sz w:val="24"/>
          <w:highlight w:val="none"/>
          <w:lang w:val="en-US" w:eastAsia="zh-CN"/>
        </w:rPr>
        <w:t>七</w:t>
      </w:r>
      <w:r>
        <w:rPr>
          <w:rFonts w:hint="eastAsia" w:ascii="仿宋" w:hAnsi="仿宋" w:eastAsia="仿宋" w:cs="仿宋"/>
          <w:b/>
          <w:bCs/>
          <w:sz w:val="24"/>
          <w:highlight w:val="none"/>
        </w:rPr>
        <w:t>：政府性基金预算财政拨款收入支出决算表</w:t>
      </w:r>
    </w:p>
    <w:p>
      <w:pPr>
        <w:jc w:val="left"/>
        <w:rPr>
          <w:rFonts w:hint="eastAsia" w:ascii="仿宋" w:hAnsi="仿宋" w:eastAsia="仿宋" w:cs="仿宋"/>
          <w:sz w:val="24"/>
          <w:highlight w:val="none"/>
        </w:rPr>
      </w:pPr>
    </w:p>
    <w:tbl>
      <w:tblPr>
        <w:tblStyle w:val="8"/>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r>
              <w:rPr>
                <w:rFonts w:hint="eastAsia" w:ascii="宋体" w:hAnsi="宋体" w:eastAsia="宋体" w:cs="宋体"/>
                <w:color w:val="000000"/>
                <w:kern w:val="0"/>
                <w:sz w:val="22"/>
                <w:szCs w:val="22"/>
                <w:highlight w:val="none"/>
                <w:lang w:val="en-US" w:eastAsia="zh-CN" w:bidi="ar"/>
              </w:rPr>
              <w:t>说明：本表无数据。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表</w:t>
      </w:r>
      <w:r>
        <w:rPr>
          <w:rFonts w:hint="eastAsia" w:ascii="仿宋" w:hAnsi="仿宋" w:eastAsia="仿宋" w:cs="仿宋"/>
          <w:b/>
          <w:bCs/>
          <w:sz w:val="24"/>
          <w:highlight w:val="none"/>
          <w:lang w:val="en-US" w:eastAsia="zh-CN"/>
        </w:rPr>
        <w:t>八</w:t>
      </w:r>
      <w:r>
        <w:rPr>
          <w:rFonts w:hint="eastAsia" w:ascii="仿宋" w:hAnsi="仿宋" w:eastAsia="仿宋" w:cs="仿宋"/>
          <w:b/>
          <w:bCs/>
          <w:sz w:val="24"/>
          <w:highlight w:val="none"/>
        </w:rPr>
        <w:t>：国有资本经营预算财政拨款支出决算表</w:t>
      </w:r>
    </w:p>
    <w:p>
      <w:pPr>
        <w:jc w:val="left"/>
        <w:rPr>
          <w:rFonts w:hint="eastAsia" w:ascii="仿宋" w:hAnsi="仿宋" w:eastAsia="仿宋" w:cs="仿宋"/>
          <w:sz w:val="24"/>
          <w:highlight w:val="none"/>
        </w:rPr>
      </w:pPr>
    </w:p>
    <w:tbl>
      <w:tblPr>
        <w:tblStyle w:val="8"/>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kern w:val="0"/>
          <w:sz w:val="22"/>
          <w:szCs w:val="22"/>
          <w:highlight w:val="none"/>
          <w:lang w:val="en-US" w:eastAsia="zh-CN" w:bidi="ar"/>
        </w:rPr>
        <w:t>说明：本表无数据。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8"/>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b/>
                <w:bCs/>
                <w:sz w:val="24"/>
                <w:highlight w:val="none"/>
              </w:rPr>
            </w:pPr>
            <w:r>
              <w:rPr>
                <w:rFonts w:hint="eastAsia" w:ascii="仿宋" w:hAnsi="仿宋" w:eastAsia="仿宋" w:cs="仿宋"/>
                <w:b/>
                <w:bCs/>
                <w:sz w:val="24"/>
                <w:highlight w:val="none"/>
                <w:lang w:val="en-US" w:eastAsia="zh-CN"/>
              </w:rPr>
              <w:t>表九：</w:t>
            </w:r>
            <w:r>
              <w:rPr>
                <w:rFonts w:hint="eastAsia" w:ascii="仿宋" w:hAnsi="仿宋" w:eastAsia="仿宋" w:cs="仿宋"/>
                <w:b/>
                <w:bCs/>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广西河池市环江毛南族自治县财政局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5.00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96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第三部分：</w:t>
      </w:r>
      <w:r>
        <w:rPr>
          <w:rFonts w:hint="eastAsia" w:ascii="方正小标宋简体" w:hAnsi="方正小标宋简体" w:eastAsia="方正小标宋简体" w:cs="方正小标宋简体"/>
          <w:sz w:val="32"/>
          <w:u w:color="auto"/>
        </w:rPr>
        <w:t>环江毛南族自治县财政局</w:t>
      </w:r>
      <w:r>
        <w:rPr>
          <w:rFonts w:hint="eastAsia" w:ascii="方正小标宋简体" w:hAnsi="方正小标宋简体" w:eastAsia="方正小标宋简体" w:cs="方正小标宋简体"/>
          <w:sz w:val="32"/>
          <w:szCs w:val="32"/>
          <w:highlight w:val="none"/>
        </w:rPr>
        <w:t>2022年度部门决算情况说明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（一）本部门2022年度总收入</w:t>
      </w:r>
      <w:r>
        <w:rPr>
          <w:rFonts w:hint="eastAsia" w:ascii="楷体_GB2312" w:hAnsi="楷体_GB2312" w:eastAsia="楷体_GB2312" w:cs="楷体_GB2312"/>
          <w:b/>
          <w:bCs/>
          <w:sz w:val="32"/>
          <w:u w:color="auto"/>
        </w:rPr>
        <w:t>6890.99</w:t>
      </w:r>
      <w:r>
        <w:rPr>
          <w:rFonts w:hint="eastAsia" w:ascii="楷体_GB2312" w:hAnsi="楷体_GB2312" w:eastAsia="楷体_GB2312" w:cs="楷体_GB2312"/>
          <w:b/>
          <w:bCs/>
          <w:sz w:val="32"/>
          <w:szCs w:val="32"/>
          <w:highlight w:val="none"/>
        </w:rPr>
        <w:t>万元，较2021年度决算数</w:t>
      </w:r>
      <w:r>
        <w:rPr>
          <w:rFonts w:hint="eastAsia" w:ascii="楷体_GB2312" w:hAnsi="楷体_GB2312" w:eastAsia="楷体_GB2312" w:cs="楷体_GB2312"/>
          <w:b/>
          <w:bCs/>
          <w:sz w:val="32"/>
          <w:u w:color="auto"/>
        </w:rPr>
        <w:t>增加5246.67</w:t>
      </w:r>
      <w:r>
        <w:rPr>
          <w:rFonts w:hint="eastAsia" w:ascii="楷体_GB2312" w:hAnsi="楷体_GB2312" w:eastAsia="楷体_GB2312" w:cs="楷体_GB2312"/>
          <w:b/>
          <w:bCs/>
          <w:sz w:val="32"/>
          <w:szCs w:val="32"/>
          <w:highlight w:val="none"/>
        </w:rPr>
        <w:t>万元，</w:t>
      </w:r>
      <w:r>
        <w:rPr>
          <w:rFonts w:hint="eastAsia" w:ascii="楷体_GB2312" w:hAnsi="楷体_GB2312" w:eastAsia="楷体_GB2312" w:cs="楷体_GB2312"/>
          <w:b/>
          <w:bCs/>
          <w:sz w:val="32"/>
          <w:u w:color="auto"/>
        </w:rPr>
        <w:t>增长319.08%</w:t>
      </w:r>
      <w:r>
        <w:rPr>
          <w:rFonts w:hint="eastAsia" w:ascii="楷体_GB2312" w:hAnsi="楷体_GB2312" w:eastAsia="楷体_GB2312" w:cs="楷体_GB2312"/>
          <w:b/>
          <w:bCs/>
          <w:sz w:val="32"/>
          <w:szCs w:val="32"/>
          <w:highlight w:val="none"/>
        </w:rPr>
        <w:t>，其中本年收入</w:t>
      </w:r>
      <w:r>
        <w:rPr>
          <w:rFonts w:hint="eastAsia" w:ascii="楷体_GB2312" w:hAnsi="楷体_GB2312" w:eastAsia="楷体_GB2312" w:cs="楷体_GB2312"/>
          <w:b/>
          <w:bCs/>
          <w:sz w:val="32"/>
          <w:u w:color="auto"/>
        </w:rPr>
        <w:t>6890.99</w:t>
      </w:r>
      <w:r>
        <w:rPr>
          <w:rFonts w:hint="eastAsia" w:ascii="楷体_GB2312" w:hAnsi="楷体_GB2312" w:eastAsia="楷体_GB2312" w:cs="楷体_GB2312"/>
          <w:b/>
          <w:bCs/>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kern w:val="2"/>
          <w:sz w:val="32"/>
          <w:szCs w:val="32"/>
          <w:highlight w:val="none"/>
          <w:lang w:val="en-US" w:eastAsia="zh-CN" w:bidi="ar"/>
        </w:rPr>
        <w:t>1.一般公共预算财政拨款收入</w:t>
      </w:r>
      <w:r>
        <w:rPr>
          <w:rFonts w:hint="eastAsia" w:ascii="仿宋_GB2312" w:hAnsi="仿宋_GB2312" w:eastAsia="仿宋_GB2312" w:cs="仿宋_GB2312"/>
          <w:sz w:val="32"/>
          <w:szCs w:val="32"/>
          <w:u w:color="auto"/>
        </w:rPr>
        <w:t>6882.33</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rPr>
        <w:t>环江毛南族自治县</w:t>
      </w:r>
      <w:r>
        <w:rPr>
          <w:rFonts w:hint="eastAsia" w:ascii="仿宋_GB2312" w:hAnsi="仿宋_GB2312" w:eastAsia="仿宋_GB2312" w:cs="仿宋_GB2312"/>
          <w:kern w:val="2"/>
          <w:sz w:val="32"/>
          <w:szCs w:val="32"/>
          <w:highlight w:val="none"/>
          <w:lang w:val="en-US" w:eastAsia="zh-CN" w:bidi="ar"/>
        </w:rPr>
        <w:t>本级财政当年拨付的资金。较2021年度决算数</w:t>
      </w:r>
      <w:r>
        <w:rPr>
          <w:rFonts w:hint="eastAsia" w:ascii="仿宋_GB2312" w:hAnsi="仿宋_GB2312" w:eastAsia="仿宋_GB2312" w:cs="仿宋_GB2312"/>
          <w:sz w:val="32"/>
          <w:szCs w:val="32"/>
          <w:u w:color="auto"/>
        </w:rPr>
        <w:t>增加5311.82</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增长338.22%</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color w:val="auto"/>
          <w:sz w:val="32"/>
          <w:szCs w:val="32"/>
          <w:highlight w:val="none"/>
          <w:lang w:val="en-US" w:eastAsia="zh-CN"/>
        </w:rPr>
        <w:t>全县脱贫攻坚成果与乡村振兴有效衔接项目建设、农村综合改革美丽乡村建设和革命老区项目建设</w:t>
      </w:r>
      <w:r>
        <w:rPr>
          <w:rFonts w:hint="eastAsia" w:ascii="仿宋_GB2312" w:hAnsi="仿宋_GB2312" w:eastAsia="仿宋_GB2312" w:cs="仿宋_GB2312"/>
          <w:color w:val="auto"/>
          <w:sz w:val="32"/>
          <w:szCs w:val="32"/>
          <w:highlight w:val="none"/>
          <w:lang w:eastAsia="zh-CN"/>
        </w:rPr>
        <w:t>资金核算合并到局财务统一核算，故项目支出数据增加幅度较大。</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2.政府性基金预算财政拨款收入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rPr>
        <w:t>环江毛南族自治县</w:t>
      </w:r>
      <w:r>
        <w:rPr>
          <w:rFonts w:hint="eastAsia" w:ascii="仿宋_GB2312" w:hAnsi="仿宋_GB2312" w:eastAsia="仿宋_GB2312" w:cs="仿宋_GB2312"/>
          <w:kern w:val="2"/>
          <w:sz w:val="32"/>
          <w:szCs w:val="32"/>
          <w:highlight w:val="none"/>
          <w:lang w:val="en-US" w:eastAsia="zh-CN" w:bidi="ar"/>
        </w:rPr>
        <w:t>本级财政当年拨付的资金。较2021年度决算数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主要原因：本部门2022年度没有政府性基金预算财政拨款收入，故本年度收入无数据</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3.国有资本经营预算财政拨款收入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w:t>
      </w:r>
      <w:r>
        <w:rPr>
          <w:rFonts w:hint="eastAsia" w:ascii="仿宋_GB2312" w:hAnsi="仿宋_GB2312" w:eastAsia="仿宋_GB2312" w:cs="仿宋_GB2312"/>
          <w:sz w:val="32"/>
          <w:szCs w:val="32"/>
          <w:highlight w:val="none"/>
        </w:rPr>
        <w:t>环江毛南族自治县</w:t>
      </w:r>
      <w:r>
        <w:rPr>
          <w:rFonts w:hint="eastAsia" w:ascii="仿宋_GB2312" w:hAnsi="仿宋_GB2312" w:eastAsia="仿宋_GB2312" w:cs="仿宋_GB2312"/>
          <w:kern w:val="2"/>
          <w:sz w:val="32"/>
          <w:szCs w:val="32"/>
          <w:highlight w:val="none"/>
          <w:lang w:val="en-US" w:eastAsia="zh-CN" w:bidi="ar"/>
        </w:rPr>
        <w:t>本级财政当年拨付的资金。较2021年度决算数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主要原因是：本部门2022年度没有</w:t>
      </w:r>
      <w:r>
        <w:rPr>
          <w:rFonts w:hint="eastAsia" w:ascii="仿宋_GB2312" w:hAnsi="仿宋_GB2312" w:eastAsia="仿宋_GB2312" w:cs="仿宋_GB2312"/>
          <w:kern w:val="2"/>
          <w:sz w:val="32"/>
          <w:szCs w:val="32"/>
          <w:highlight w:val="none"/>
          <w:lang w:val="en-US" w:eastAsia="zh-CN" w:bidi="ar"/>
        </w:rPr>
        <w:t>国有资本经营预算财政拨款收入</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，故本年度收入无数据</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4.上级补助收入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万元，为上级部门当年拨付的资金。较2021年度决算数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主要原因是：本部门2022年度没有上级补助收入，故本年度收入无数据</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5.事业收入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万元，为事业单位开展业务活动取得的收入。较2021年度决算数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主要原因是：本部门2022年度没有事业收入，故本年度收入无数据</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6.经营收入0.00万,为事业单位在业务活动之外开展非独立核算经营活动取得的收入。较2021年度决算数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主要原因是：本部门2022年度没有经营收入，故本年度收入无数据</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7.附属单位上缴收入</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主要原因是：本部门2022年度没有附属单位上缴收入，故本年度收入无数据</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FF0000"/>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8.其他收入</w:t>
      </w:r>
      <w:r>
        <w:rPr>
          <w:rFonts w:hint="eastAsia" w:ascii="仿宋_GB2312" w:hAnsi="仿宋_GB2312" w:eastAsia="仿宋_GB2312" w:cs="仿宋_GB2312"/>
          <w:sz w:val="32"/>
          <w:szCs w:val="32"/>
          <w:u w:color="auto"/>
        </w:rPr>
        <w:t>8.66</w:t>
      </w:r>
      <w:r>
        <w:rPr>
          <w:rFonts w:hint="eastAsia" w:ascii="仿宋_GB2312" w:hAnsi="仿宋_GB2312" w:eastAsia="仿宋_GB2312" w:cs="仿宋_GB2312"/>
          <w:kern w:val="2"/>
          <w:sz w:val="32"/>
          <w:szCs w:val="32"/>
          <w:highlight w:val="none"/>
          <w:lang w:val="en-US" w:eastAsia="zh-CN" w:bidi="ar"/>
        </w:rPr>
        <w:t>万元,为预算单位在“财政拨款收入”“事业收入”“经营收入”之外取得的收入。较2021年度决算数</w:t>
      </w:r>
      <w:r>
        <w:rPr>
          <w:rFonts w:hint="eastAsia" w:ascii="仿宋_GB2312" w:hAnsi="仿宋_GB2312" w:eastAsia="仿宋_GB2312" w:cs="仿宋_GB2312"/>
          <w:sz w:val="32"/>
          <w:szCs w:val="32"/>
          <w:u w:color="auto"/>
        </w:rPr>
        <w:t>增加6.07</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增长234.36%</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主要原因是：本部门2022年度其他收入为代缴代收大院内住户水电</w:t>
      </w:r>
      <w:r>
        <w:rPr>
          <w:rFonts w:hint="eastAsia" w:ascii="仿宋_GB2312" w:hAnsi="仿宋_GB2312" w:eastAsia="仿宋_GB2312" w:cs="仿宋_GB2312"/>
          <w:color w:val="auto"/>
          <w:kern w:val="2"/>
          <w:sz w:val="32"/>
          <w:szCs w:val="32"/>
          <w:highlight w:val="none"/>
          <w:lang w:val="en-US" w:eastAsia="zh-CN" w:bidi="ar"/>
        </w:rPr>
        <w:t>费款项和废品处置收入。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9.使用非财政拨款结余</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增长0%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主要原因是：本部门2022年度没有使用非财政拨款结余，故本年度此项收入无数据</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10.上年结转和结余</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_GB2312" w:hAnsi="仿宋_GB2312" w:eastAsia="仿宋_GB2312" w:cs="仿宋_GB2312"/>
          <w:sz w:val="32"/>
          <w:szCs w:val="32"/>
          <w:u w:color="auto"/>
        </w:rPr>
        <w:t>减少71.22</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sz w:val="32"/>
          <w:szCs w:val="32"/>
          <w:u w:color="auto"/>
        </w:rPr>
        <w:t>下降100.00%</w:t>
      </w:r>
      <w:r>
        <w:rPr>
          <w:rFonts w:hint="eastAsia" w:ascii="仿宋_GB2312" w:hAnsi="仿宋_GB2312" w:eastAsia="仿宋_GB2312" w:cs="仿宋_GB2312"/>
          <w:kern w:val="2"/>
          <w:sz w:val="32"/>
          <w:szCs w:val="32"/>
          <w:highlight w:val="none"/>
          <w:lang w:val="en-US" w:eastAsia="zh-CN" w:bidi="ar"/>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主要原因：本部门2022年度没有上年结转和结余，故本年度无此项数据</w:t>
      </w:r>
      <w:r>
        <w:rPr>
          <w:rFonts w:hint="eastAsia" w:ascii="仿宋_GB2312" w:hAnsi="仿宋_GB2312" w:eastAsia="仿宋_GB2312" w:cs="仿宋_GB2312"/>
          <w:color w:val="auto"/>
          <w:kern w:val="2"/>
          <w:sz w:val="32"/>
          <w:szCs w:val="32"/>
          <w:highlight w:val="none"/>
          <w:lang w:val="en-US" w:eastAsia="zh-CN" w:bidi="ar"/>
        </w:rPr>
        <w:t>。</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5080000" cy="32956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（二）本部门2022年度总支出</w:t>
      </w:r>
      <w:r>
        <w:rPr>
          <w:rFonts w:hint="eastAsia" w:ascii="楷体_GB2312" w:hAnsi="楷体_GB2312" w:eastAsia="楷体_GB2312" w:cs="楷体_GB2312"/>
          <w:b/>
          <w:bCs/>
          <w:sz w:val="32"/>
          <w:szCs w:val="32"/>
          <w:u w:color="auto"/>
        </w:rPr>
        <w:t>6890.99</w:t>
      </w:r>
      <w:r>
        <w:rPr>
          <w:rFonts w:hint="eastAsia" w:ascii="楷体_GB2312" w:hAnsi="楷体_GB2312" w:eastAsia="楷体_GB2312" w:cs="楷体_GB2312"/>
          <w:b/>
          <w:bCs/>
          <w:sz w:val="32"/>
          <w:szCs w:val="32"/>
          <w:highlight w:val="none"/>
        </w:rPr>
        <w:t>万元，其中本年支出</w:t>
      </w:r>
      <w:r>
        <w:rPr>
          <w:rFonts w:hint="eastAsia" w:ascii="楷体_GB2312" w:hAnsi="楷体_GB2312" w:eastAsia="楷体_GB2312" w:cs="楷体_GB2312"/>
          <w:b/>
          <w:bCs/>
          <w:sz w:val="32"/>
          <w:szCs w:val="32"/>
          <w:u w:color="auto"/>
        </w:rPr>
        <w:t>6890.09</w:t>
      </w:r>
      <w:r>
        <w:rPr>
          <w:rFonts w:hint="eastAsia" w:ascii="楷体_GB2312" w:hAnsi="楷体_GB2312" w:eastAsia="楷体_GB2312" w:cs="楷体_GB2312"/>
          <w:b/>
          <w:bCs/>
          <w:sz w:val="32"/>
          <w:szCs w:val="32"/>
          <w:highlight w:val="none"/>
        </w:rPr>
        <w:t>万元，较2021年度决算数</w:t>
      </w:r>
      <w:r>
        <w:rPr>
          <w:rFonts w:hint="eastAsia" w:ascii="楷体_GB2312" w:hAnsi="楷体_GB2312" w:eastAsia="楷体_GB2312" w:cs="楷体_GB2312"/>
          <w:b/>
          <w:bCs/>
          <w:sz w:val="32"/>
          <w:szCs w:val="32"/>
          <w:u w:color="auto"/>
        </w:rPr>
        <w:t>增加5246.67</w:t>
      </w:r>
      <w:r>
        <w:rPr>
          <w:rFonts w:hint="eastAsia" w:ascii="楷体_GB2312" w:hAnsi="楷体_GB2312" w:eastAsia="楷体_GB2312" w:cs="楷体_GB2312"/>
          <w:b/>
          <w:bCs/>
          <w:sz w:val="32"/>
          <w:szCs w:val="32"/>
          <w:highlight w:val="none"/>
        </w:rPr>
        <w:t>万元，</w:t>
      </w:r>
      <w:r>
        <w:rPr>
          <w:rFonts w:hint="eastAsia" w:ascii="楷体_GB2312" w:hAnsi="楷体_GB2312" w:eastAsia="楷体_GB2312" w:cs="楷体_GB2312"/>
          <w:b/>
          <w:bCs/>
          <w:sz w:val="32"/>
          <w:szCs w:val="32"/>
          <w:u w:color="auto"/>
        </w:rPr>
        <w:t>增长319.08%</w:t>
      </w:r>
      <w:r>
        <w:rPr>
          <w:rFonts w:hint="eastAsia" w:ascii="楷体_GB2312" w:hAnsi="楷体_GB2312" w:eastAsia="楷体_GB2312" w:cs="楷体_GB2312"/>
          <w:b/>
          <w:bCs/>
          <w:sz w:val="32"/>
          <w:szCs w:val="32"/>
          <w:highlight w:val="none"/>
        </w:rPr>
        <w:t>。支出具体情况如下：</w:t>
      </w:r>
    </w:p>
    <w:p>
      <w:pPr>
        <w:keepNext w:val="0"/>
        <w:keepLines w:val="0"/>
        <w:pageBreakBefore w:val="0"/>
        <w:kinsoku/>
        <w:wordWrap/>
        <w:overflowPunct/>
        <w:topLinePunct w:val="0"/>
        <w:bidi w:val="0"/>
        <w:snapToGrid/>
        <w:spacing w:line="54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一般公共服务支出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201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1437.91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sz w:val="32"/>
          <w:szCs w:val="32"/>
        </w:rPr>
        <w:t>主要用于</w:t>
      </w:r>
      <w:r>
        <w:rPr>
          <w:rFonts w:hint="eastAsia" w:ascii="仿宋_GB2312" w:eastAsia="仿宋_GB2312"/>
          <w:sz w:val="32"/>
          <w:szCs w:val="32"/>
          <w:lang w:eastAsia="zh-CN"/>
        </w:rPr>
        <w:t>机关</w:t>
      </w:r>
      <w:r>
        <w:rPr>
          <w:rFonts w:hint="eastAsia" w:ascii="仿宋_GB2312" w:eastAsia="仿宋_GB2312"/>
          <w:sz w:val="32"/>
          <w:szCs w:val="32"/>
        </w:rPr>
        <w:t>日常运转发生的基本支出</w:t>
      </w:r>
      <w:r>
        <w:rPr>
          <w:rFonts w:hint="eastAsia" w:ascii="仿宋_GB2312" w:eastAsia="仿宋_GB2312"/>
          <w:sz w:val="32"/>
          <w:szCs w:val="32"/>
          <w:lang w:eastAsia="zh-CN"/>
        </w:rPr>
        <w:t>和项目支出</w:t>
      </w:r>
      <w:r>
        <w:rPr>
          <w:rFonts w:hint="eastAsia" w:ascii="仿宋_GB2312" w:eastAsia="仿宋_GB2312"/>
          <w:sz w:val="32"/>
          <w:szCs w:val="32"/>
        </w:rPr>
        <w:t>。如根据国家规定的基本工资和津补贴标准等安排的人员经费支出，确保机关正常运转的办公费、印刷费、水电费、培训费、差旅费、会议费</w:t>
      </w:r>
      <w:r>
        <w:rPr>
          <w:rFonts w:hint="eastAsia" w:ascii="仿宋_GB2312" w:eastAsia="仿宋_GB2312"/>
          <w:sz w:val="32"/>
          <w:szCs w:val="32"/>
          <w:lang w:eastAsia="zh-CN"/>
        </w:rPr>
        <w:t>以及</w:t>
      </w:r>
      <w:r>
        <w:rPr>
          <w:rFonts w:hint="eastAsia" w:ascii="仿宋_GB2312" w:eastAsia="仿宋_GB2312"/>
          <w:sz w:val="32"/>
          <w:szCs w:val="32"/>
        </w:rPr>
        <w:t>日常公用经费支出</w:t>
      </w:r>
      <w:r>
        <w:rPr>
          <w:rFonts w:hint="eastAsia" w:ascii="仿宋_GB2312" w:eastAsia="仿宋_GB2312"/>
          <w:sz w:val="32"/>
          <w:szCs w:val="32"/>
          <w:lang w:eastAsia="zh-CN"/>
        </w:rPr>
        <w:t>和财政委托业务支出等。</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增加216.33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增长17.71%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主要原因是：一是年度内全县政府性投资项目评审业务量大，由此本部门2022年财政委托业务支出增长幅度较大；其次是年度内抚恤金等其他对家庭和个人补助增加。</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公共安全支出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 xml:space="preserve">204 </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bidi="ar"/>
        </w:rPr>
        <w:t>0.60</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聘用人员工资福利支出</w:t>
      </w:r>
      <w:r>
        <w:rPr>
          <w:rFonts w:hint="eastAsia" w:ascii="仿宋_GB2312" w:hAnsi="仿宋_GB2312" w:eastAsia="仿宋_GB2312" w:cs="仿宋_GB2312"/>
          <w:color w:val="auto"/>
          <w:sz w:val="32"/>
          <w:szCs w:val="32"/>
          <w:highlight w:val="none"/>
        </w:rPr>
        <w:t>。较2021年度决算数</w:t>
      </w:r>
      <w:r>
        <w:rPr>
          <w:rFonts w:hint="eastAsia" w:ascii="仿宋_GB2312" w:hAnsi="仿宋_GB2312" w:eastAsia="仿宋_GB2312" w:cs="仿宋_GB2312"/>
          <w:color w:val="auto"/>
          <w:sz w:val="32"/>
          <w:szCs w:val="32"/>
          <w:highlight w:val="none"/>
          <w:lang w:bidi="ar"/>
        </w:rPr>
        <w:t>增加0.60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bidi="ar"/>
        </w:rPr>
        <w:t>增长100%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主要原因是：本部门2022年公共安全支出由大财政统筹调剂科目发生支出数据。</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社会保障和就业支出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208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103.35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Times New Roman" w:eastAsia="仿宋_GB2312" w:cs="Times New Roman"/>
          <w:kern w:val="2"/>
          <w:sz w:val="32"/>
          <w:szCs w:val="32"/>
          <w:highlight w:val="none"/>
          <w:lang w:val="en-US" w:eastAsia="zh-CN" w:bidi="ar-SA"/>
        </w:rPr>
        <w:t>职工基本养老保险缴费</w:t>
      </w:r>
      <w:r>
        <w:rPr>
          <w:rFonts w:hint="eastAsia" w:ascii="仿宋_GB2312" w:hAnsi="Times New Roman" w:eastAsia="仿宋_GB2312" w:cs="Times New Roman"/>
          <w:kern w:val="2"/>
          <w:sz w:val="32"/>
          <w:szCs w:val="32"/>
          <w:highlight w:val="none"/>
          <w:lang w:val="en-US" w:eastAsia="zh-CN" w:bidi="ar-SA"/>
        </w:rPr>
        <w:t>、医疗保险和其他社会保障缴费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较2021年度决算数</w:t>
      </w:r>
      <w:r>
        <w:rPr>
          <w:rFonts w:hint="eastAsia" w:ascii="仿宋_GB2312" w:hAnsi="仿宋_GB2312" w:eastAsia="仿宋_GB2312" w:cs="仿宋_GB2312"/>
          <w:color w:val="auto"/>
          <w:sz w:val="32"/>
          <w:szCs w:val="32"/>
          <w:highlight w:val="none"/>
          <w:lang w:bidi="ar"/>
        </w:rPr>
        <w:t>增加1.12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bidi="ar"/>
        </w:rPr>
        <w:t>增长1.10%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主要原因是：本部门2022年职工人数申报基数调整增加。</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农林水支出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 xml:space="preserve">213 </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bidi="ar"/>
        </w:rPr>
        <w:t>5026.01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全县脱贫攻坚成果与乡村振兴有效衔接项目建设，农村综合改革美丽乡村建设和革命老区项目建设</w:t>
      </w:r>
      <w:r>
        <w:rPr>
          <w:rFonts w:hint="eastAsia" w:ascii="仿宋_GB2312" w:hAnsi="仿宋_GB2312" w:eastAsia="仿宋_GB2312" w:cs="仿宋_GB2312"/>
          <w:color w:val="auto"/>
          <w:sz w:val="32"/>
          <w:szCs w:val="32"/>
          <w:highlight w:val="none"/>
        </w:rPr>
        <w:t>。较2021年度决算数</w:t>
      </w:r>
      <w:r>
        <w:rPr>
          <w:rFonts w:hint="eastAsia" w:ascii="仿宋_GB2312" w:hAnsi="仿宋_GB2312" w:eastAsia="仿宋_GB2312" w:cs="仿宋_GB2312"/>
          <w:color w:val="auto"/>
          <w:sz w:val="32"/>
          <w:szCs w:val="32"/>
          <w:highlight w:val="none"/>
          <w:lang w:bidi="ar"/>
        </w:rPr>
        <w:t>增加5026.01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bidi="ar"/>
        </w:rPr>
        <w:t>增长100%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主要原因是：本部门2022年度项目建设账合并到局财务统一核算。</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住房保障支出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221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77.71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：职工住房公积金缴费</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增加5.85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增长8.14%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主要原因是：本部门2022年度用业务费缴纳聘用人员公积金合并在一起核算，同时年度公积金基数调整增加部分数据。</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u w:color="auto"/>
        </w:rPr>
        <w:t>.</w:t>
      </w:r>
      <w:r>
        <w:rPr>
          <w:rFonts w:hint="eastAsia" w:ascii="仿宋_GB2312" w:hAnsi="仿宋_GB2312" w:eastAsia="仿宋_GB2312" w:cs="仿宋_GB2312"/>
          <w:sz w:val="32"/>
          <w:szCs w:val="32"/>
          <w:highlight w:val="none"/>
          <w:lang w:bidi="ar"/>
        </w:rPr>
        <w:t>其他支出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229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244.51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职工年度绩效考评奖励性补贴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highlight w:val="none"/>
          <w:lang w:bidi="ar"/>
        </w:rPr>
        <w:t>减少4.14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下降1.66%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主要原因是：本部门2022年度严格奖励性补贴审核标准，按照全县奖励性补贴发放安排兑现职工福利发放。</w:t>
      </w:r>
    </w:p>
    <w:p>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i w:val="0"/>
          <w:iCs w:val="0"/>
          <w:caps w:val="0"/>
          <w:color w:val="000000"/>
          <w:spacing w:val="0"/>
          <w:sz w:val="32"/>
          <w:szCs w:val="32"/>
          <w:highlight w:val="none"/>
          <w:shd w:val="clear" w:color="auto" w:fill="FFFFFF"/>
        </w:rPr>
        <w:t>结余分配</w:t>
      </w:r>
      <w:r>
        <w:rPr>
          <w:rFonts w:hint="eastAsia" w:ascii="仿宋_GB2312" w:hAnsi="仿宋_GB2312" w:eastAsia="仿宋_GB2312" w:cs="仿宋_GB2312"/>
          <w:color w:val="000000"/>
          <w:sz w:val="32"/>
          <w:szCs w:val="32"/>
          <w:highlight w:val="none"/>
          <w:shd w:val="clear" w:color="auto" w:fill="FFFFFF"/>
        </w:rPr>
        <w:t>0.00</w:t>
      </w:r>
      <w:r>
        <w:rPr>
          <w:rFonts w:hint="eastAsia" w:ascii="仿宋_GB2312" w:hAnsi="仿宋_GB2312" w:eastAsia="仿宋_GB2312" w:cs="仿宋_GB2312"/>
          <w:i w:val="0"/>
          <w:iCs w:val="0"/>
          <w:caps w:val="0"/>
          <w:color w:val="000000"/>
          <w:spacing w:val="0"/>
          <w:sz w:val="32"/>
          <w:szCs w:val="32"/>
          <w:highlight w:val="none"/>
          <w:shd w:val="clear" w:color="auto" w:fill="FFFFFF"/>
        </w:rPr>
        <w:t>万元，为事业单位按规定提取的专用结余、缴纳所得税和转入非财政拨款结余等。较202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color="auto" w:fill="FFFFFF"/>
        </w:rPr>
        <w:t>年决算</w:t>
      </w:r>
      <w:r>
        <w:rPr>
          <w:rFonts w:hint="eastAsia" w:ascii="仿宋_GB2312" w:hAnsi="仿宋_GB2312" w:eastAsia="仿宋_GB2312" w:cs="仿宋_GB2312"/>
          <w:color w:val="000000"/>
          <w:sz w:val="32"/>
          <w:szCs w:val="32"/>
          <w:highlight w:val="none"/>
          <w:shd w:val="clear" w:color="auto" w:fill="FFFFFF"/>
        </w:rPr>
        <w:t>0.00</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rPr>
        <w:t>增加0.00</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color w:val="000000"/>
          <w:sz w:val="32"/>
          <w:szCs w:val="32"/>
          <w:highlight w:val="none"/>
          <w:shd w:val="clear" w:color="auto" w:fill="FFFFFF"/>
        </w:rPr>
        <w:t>增长0%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主要原因是</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
        </w:rPr>
        <w:t>本部门2022年度没有事业收入，故没有撮的专用结余等。</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年末结转和结余</w:t>
      </w:r>
      <w:r>
        <w:rPr>
          <w:rFonts w:hint="eastAsia" w:ascii="仿宋_GB2312" w:hAnsi="仿宋_GB2312" w:eastAsia="仿宋_GB2312" w:cs="仿宋_GB2312"/>
          <w:sz w:val="32"/>
          <w:szCs w:val="32"/>
          <w:u w:color="auto"/>
        </w:rPr>
        <w:t>0.91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_GB2312" w:hAnsi="仿宋_GB2312" w:eastAsia="仿宋_GB2312" w:cs="仿宋_GB2312"/>
          <w:sz w:val="32"/>
          <w:szCs w:val="32"/>
          <w:highlight w:val="none"/>
        </w:rPr>
        <w:t>。较2021年度决算数</w:t>
      </w:r>
      <w:r>
        <w:rPr>
          <w:rFonts w:hint="eastAsia" w:ascii="仿宋_GB2312" w:hAnsi="仿宋_GB2312" w:eastAsia="仿宋_GB2312" w:cs="仿宋_GB2312"/>
          <w:sz w:val="32"/>
          <w:szCs w:val="32"/>
          <w:u w:color="auto"/>
        </w:rPr>
        <w:t>增加0.91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u w:color="auto"/>
        </w:rPr>
        <w:t>增长100%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sz w:val="32"/>
          <w:szCs w:val="32"/>
          <w:highlight w:val="none"/>
          <w:lang w:val="en-US" w:eastAsia="zh-CN"/>
        </w:rPr>
        <w:t>全县脱贫攻坚成果与乡村振兴有效衔接项目建设，农村综合改革美丽乡村建设和革命老区项目建设未俊工结算，年度部门预算安排项目资金结转到下年继续使用，故年末结转和结余资金较大，并呈增长趋势</w:t>
      </w:r>
      <w:r>
        <w:rPr>
          <w:rFonts w:hint="eastAsia" w:ascii="仿宋_GB2312" w:hAnsi="仿宋_GB2312" w:eastAsia="仿宋_GB2312" w:cs="仿宋_GB2312"/>
          <w:color w:val="auto"/>
          <w:sz w:val="32"/>
          <w:szCs w:val="32"/>
          <w:highlight w:val="none"/>
        </w:rPr>
        <w:t>。</w:t>
      </w:r>
    </w:p>
    <w:p>
      <w:pPr>
        <w:ind w:firstLine="640" w:firstLineChars="2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138295" cy="2241550"/>
            <wp:effectExtent l="5080" t="4445" r="952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环江毛南族自治县财政局2022年度一般公共预算财政拨款支出</w:t>
      </w:r>
      <w:r>
        <w:rPr>
          <w:rFonts w:hint="eastAsia" w:ascii="仿宋_GB2312" w:hAnsi="仿宋_GB2312" w:eastAsia="仿宋_GB2312" w:cs="仿宋_GB2312"/>
          <w:sz w:val="32"/>
          <w:szCs w:val="32"/>
          <w:u w:color="auto"/>
        </w:rPr>
        <w:t>6882.33</w:t>
      </w:r>
      <w:r>
        <w:rPr>
          <w:rFonts w:hint="eastAsia" w:ascii="仿宋_GB2312" w:hAnsi="仿宋_GB2312" w:eastAsia="仿宋_GB2312" w:cs="仿宋_GB2312"/>
          <w:sz w:val="32"/>
          <w:szCs w:val="32"/>
          <w:highlight w:val="none"/>
        </w:rPr>
        <w:t>万元，较2021年度决算数</w:t>
      </w:r>
      <w:r>
        <w:rPr>
          <w:rFonts w:hint="eastAsia" w:ascii="仿宋_GB2312" w:hAnsi="仿宋_GB2312" w:eastAsia="仿宋_GB2312" w:cs="仿宋_GB2312"/>
          <w:sz w:val="32"/>
          <w:szCs w:val="32"/>
          <w:u w:color="auto"/>
        </w:rPr>
        <w:t>增加5240.60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u w:color="auto"/>
        </w:rPr>
        <w:t>增长319.21%</w:t>
      </w:r>
      <w:r>
        <w:rPr>
          <w:rFonts w:hint="eastAsia" w:ascii="仿宋_GB2312" w:hAnsi="仿宋_GB2312" w:eastAsia="仿宋_GB2312" w:cs="仿宋_GB2312"/>
          <w:sz w:val="32"/>
          <w:szCs w:val="32"/>
          <w:highlight w:val="none"/>
        </w:rPr>
        <w:t>。其中：基本支出</w:t>
      </w:r>
      <w:r>
        <w:rPr>
          <w:rFonts w:hint="eastAsia" w:ascii="仿宋_GB2312" w:hAnsi="仿宋_GB2312" w:eastAsia="仿宋_GB2312" w:cs="仿宋_GB2312"/>
          <w:sz w:val="32"/>
          <w:szCs w:val="32"/>
          <w:u w:color="auto"/>
        </w:rPr>
        <w:t>1156.82</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szCs w:val="32"/>
          <w:u w:color="auto"/>
        </w:rPr>
        <w:t>5725.51</w:t>
      </w:r>
      <w:r>
        <w:rPr>
          <w:rFonts w:hint="eastAsia" w:ascii="仿宋_GB2312" w:hAnsi="仿宋_GB2312" w:eastAsia="仿宋_GB2312" w:cs="仿宋_GB2312"/>
          <w:sz w:val="32"/>
          <w:szCs w:val="32"/>
          <w:highlight w:val="none"/>
        </w:rPr>
        <w:t>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环江毛南族自治县财政局2022 年度一般公共预算财政拨款支出年初预算为</w:t>
      </w:r>
      <w:r>
        <w:rPr>
          <w:rFonts w:hint="eastAsia" w:ascii="仿宋_GB2312" w:hAnsi="仿宋_GB2312" w:eastAsia="仿宋_GB2312" w:cs="仿宋_GB2312"/>
          <w:sz w:val="32"/>
          <w:szCs w:val="32"/>
          <w:u w:color="auto"/>
        </w:rPr>
        <w:t>1261.84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u w:color="auto"/>
        </w:rPr>
        <w:t>6882.33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u w:color="auto"/>
        </w:rPr>
        <w:t>545.42%</w:t>
      </w:r>
      <w:r>
        <w:rPr>
          <w:rFonts w:hint="eastAsia" w:ascii="仿宋_GB2312" w:hAnsi="仿宋_GB2312" w:eastAsia="仿宋_GB2312" w:cs="仿宋_GB2312"/>
          <w:sz w:val="32"/>
          <w:szCs w:val="32"/>
          <w:highlight w:val="none"/>
        </w:rPr>
        <w:t>。</w:t>
      </w:r>
    </w:p>
    <w:p>
      <w:pPr>
        <w:ind w:firstLine="640"/>
        <w:jc w:val="left"/>
        <w:rPr>
          <w:rFonts w:hint="eastAsia"/>
          <w:lang w:val="en-US" w:eastAsia="zh-CN"/>
        </w:rPr>
      </w:pPr>
      <w:bookmarkStart w:id="3" w:name="OLE_LINK2"/>
      <w:bookmarkEnd w:id="3"/>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rPr>
        <w:t>一般公共服务支出</w:t>
      </w:r>
      <w:r>
        <w:rPr>
          <w:rFonts w:hint="eastAsia" w:ascii="仿宋_GB2312" w:hAnsi="仿宋_GB2312" w:eastAsia="仿宋_GB2312" w:cs="仿宋_GB2312"/>
          <w:b/>
          <w:bCs/>
          <w:sz w:val="32"/>
          <w:szCs w:val="32"/>
          <w:u w:color="auto"/>
        </w:rPr>
        <w:t>（201</w:t>
      </w:r>
      <w:r>
        <w:rPr>
          <w:rFonts w:hint="eastAsia" w:ascii="仿宋_GB2312" w:hAnsi="仿宋_GB2312" w:eastAsia="仿宋_GB2312" w:cs="仿宋_GB2312"/>
          <w:b/>
          <w:bCs/>
          <w:sz w:val="32"/>
          <w:szCs w:val="32"/>
          <w:highlight w:val="none"/>
        </w:rPr>
        <w:t>类）年初预算为1091.72万元，支出决算为1430.15万元，完成年初预算的131.00%。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一是年度内全县政府性投资项目评审业务量大，由此本部门2022年财政委托业务支出增长幅度较大；其次是年度内抚恤金等其他对家庭和个人补助增加。</w:t>
      </w:r>
    </w:p>
    <w:p>
      <w:pPr>
        <w:jc w:val="left"/>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支出具体情况如下：</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82"/>
        <w:gridCol w:w="921"/>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年初预算数</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决算</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2.23</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机关运转运行</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年中科目调整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644.73</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735.00</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114.00%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职工工资福利和机关运转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职级晋升和正常调资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2010604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预算改革业务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10.80</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10.80</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部门预算编制服务费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2010605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财政国库业务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36.00</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36.00</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国库集中收付业务</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2010606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财政监察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5.20</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5.20</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财政监督检查工作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2010608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财政委托业务支出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170.57</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340.37</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199.55%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全县政府性项目投资评审业务</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上年指标结余转到本年度使用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2010699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其他财政事务支出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212.27</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288.40</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135.86%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国有资产管理、内控改革业务、政采云等业费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预算科目 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12.15</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12.15</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b/>
                <w:bCs/>
                <w:i w:val="0"/>
                <w:iCs w:val="0"/>
                <w:color w:val="000000"/>
                <w:sz w:val="32"/>
                <w:szCs w:val="32"/>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1091.72</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1430.15</w:t>
            </w:r>
          </w:p>
        </w:tc>
        <w:tc>
          <w:tcPr>
            <w:tcW w:w="9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职工工资、社保缴费和机关运转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正常调资、财政委托业务量增长等</w:t>
            </w:r>
          </w:p>
        </w:tc>
      </w:tr>
    </w:tbl>
    <w:p>
      <w:pPr>
        <w:jc w:val="left"/>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1" w:firstLineChars="131"/>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公共安全支出</w:t>
      </w:r>
      <w:r>
        <w:rPr>
          <w:rFonts w:hint="eastAsia" w:ascii="仿宋_GB2312" w:hAnsi="仿宋_GB2312" w:eastAsia="仿宋_GB2312" w:cs="仿宋_GB2312"/>
          <w:b/>
          <w:bCs/>
          <w:sz w:val="32"/>
          <w:szCs w:val="32"/>
          <w:u w:color="auto"/>
        </w:rPr>
        <w:t>（204</w:t>
      </w:r>
      <w:r>
        <w:rPr>
          <w:rFonts w:hint="eastAsia" w:ascii="仿宋_GB2312" w:hAnsi="仿宋_GB2312" w:eastAsia="仿宋_GB2312" w:cs="仿宋_GB2312"/>
          <w:b/>
          <w:bCs/>
          <w:sz w:val="32"/>
          <w:szCs w:val="32"/>
          <w:highlight w:val="none"/>
        </w:rPr>
        <w:t>类）年初预算为0.60万元，支出决算为0.60万元，完成年初预算的100.00%。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kern w:val="2"/>
          <w:sz w:val="32"/>
          <w:szCs w:val="32"/>
          <w:highlight w:val="none"/>
          <w:lang w:val="en-US" w:eastAsia="zh-CN" w:bidi="ar"/>
        </w:rPr>
        <w:t>本部门2022年公共安全支出由大财政统筹调剂科目发生支出数据。</w:t>
      </w:r>
    </w:p>
    <w:p>
      <w:pPr>
        <w:keepNext w:val="0"/>
        <w:keepLines w:val="0"/>
        <w:widowControl w:val="0"/>
        <w:numPr>
          <w:ilvl w:val="0"/>
          <w:numId w:val="0"/>
        </w:numPr>
        <w:suppressLineNumbers w:val="0"/>
        <w:spacing w:before="0" w:beforeAutospacing="0" w:after="0" w:afterAutospacing="0"/>
        <w:ind w:right="0" w:rightChars="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支出具体情况如下：</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65"/>
        <w:gridCol w:w="938"/>
        <w:gridCol w:w="1945"/>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年初预算数</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决算</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完成预算百分比</w:t>
            </w:r>
          </w:p>
        </w:tc>
        <w:tc>
          <w:tcPr>
            <w:tcW w:w="1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主要用于</w:t>
            </w:r>
          </w:p>
        </w:tc>
        <w:tc>
          <w:tcPr>
            <w:tcW w:w="16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2040201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0.60</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人员工资和社保缴费</w:t>
            </w:r>
          </w:p>
        </w:tc>
        <w:tc>
          <w:tcPr>
            <w:tcW w:w="16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科目调整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0.60</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19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人员工资和社保缴费</w:t>
            </w:r>
          </w:p>
        </w:tc>
        <w:tc>
          <w:tcPr>
            <w:tcW w:w="16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科目调整</w:t>
            </w:r>
          </w:p>
        </w:tc>
      </w:tr>
    </w:tbl>
    <w:p>
      <w:pPr>
        <w:jc w:val="left"/>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1" w:firstLineChars="131"/>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社会保障和就业支出</w:t>
      </w:r>
      <w:r>
        <w:rPr>
          <w:rFonts w:hint="eastAsia" w:ascii="仿宋_GB2312" w:hAnsi="仿宋_GB2312" w:eastAsia="仿宋_GB2312" w:cs="仿宋_GB2312"/>
          <w:b/>
          <w:bCs/>
          <w:color w:val="auto"/>
          <w:sz w:val="32"/>
          <w:szCs w:val="32"/>
          <w:u w:color="auto"/>
        </w:rPr>
        <w:t>（208</w:t>
      </w:r>
      <w:r>
        <w:rPr>
          <w:rFonts w:hint="eastAsia" w:ascii="仿宋_GB2312" w:hAnsi="仿宋_GB2312" w:eastAsia="仿宋_GB2312" w:cs="仿宋_GB2312"/>
          <w:b/>
          <w:bCs/>
          <w:color w:val="auto"/>
          <w:sz w:val="32"/>
          <w:szCs w:val="32"/>
          <w:highlight w:val="none"/>
        </w:rPr>
        <w:t>类）年初预算为97.21万元，支出决算为103.35万元，完成年初预算的106.32%。预决算</w:t>
      </w:r>
      <w:r>
        <w:rPr>
          <w:rFonts w:hint="eastAsia" w:ascii="仿宋_GB2312" w:hAnsi="仿宋_GB2312" w:eastAsia="仿宋_GB2312" w:cs="仿宋_GB2312"/>
          <w:b/>
          <w:bCs/>
          <w:color w:val="auto"/>
          <w:sz w:val="32"/>
          <w:szCs w:val="32"/>
          <w:highlight w:val="none"/>
          <w:lang w:val="en-US" w:eastAsia="zh-CN"/>
        </w:rPr>
        <w:t>存有</w:t>
      </w:r>
      <w:r>
        <w:rPr>
          <w:rFonts w:hint="eastAsia" w:ascii="仿宋_GB2312" w:hAnsi="仿宋_GB2312" w:eastAsia="仿宋_GB2312" w:cs="仿宋_GB2312"/>
          <w:b/>
          <w:bCs/>
          <w:color w:val="auto"/>
          <w:sz w:val="32"/>
          <w:szCs w:val="32"/>
          <w:highlight w:val="none"/>
        </w:rPr>
        <w:t>差异</w:t>
      </w:r>
      <w:r>
        <w:rPr>
          <w:rFonts w:hint="eastAsia" w:ascii="仿宋_GB2312" w:hAnsi="仿宋_GB2312" w:eastAsia="仿宋_GB2312" w:cs="仿宋_GB2312"/>
          <w:b/>
          <w:bCs/>
          <w:color w:val="auto"/>
          <w:sz w:val="32"/>
          <w:szCs w:val="32"/>
          <w:highlight w:val="none"/>
          <w:lang w:val="en-US" w:eastAsia="zh-CN"/>
        </w:rPr>
        <w:t>原因是：</w:t>
      </w:r>
      <w:r>
        <w:rPr>
          <w:rFonts w:hint="eastAsia" w:ascii="仿宋_GB2312" w:hAnsi="仿宋_GB2312" w:eastAsia="仿宋_GB2312" w:cs="仿宋_GB2312"/>
          <w:color w:val="auto"/>
          <w:kern w:val="2"/>
          <w:sz w:val="32"/>
          <w:szCs w:val="32"/>
          <w:highlight w:val="none"/>
          <w:lang w:val="en-US" w:eastAsia="zh-CN" w:bidi="ar"/>
        </w:rPr>
        <w:t>本部门2022年职工人数申报基数调整增加。</w:t>
      </w:r>
    </w:p>
    <w:p>
      <w:pPr>
        <w:keepNext w:val="0"/>
        <w:keepLines w:val="0"/>
        <w:widowControl w:val="0"/>
        <w:numPr>
          <w:ilvl w:val="0"/>
          <w:numId w:val="0"/>
        </w:numPr>
        <w:suppressLineNumbers w:val="0"/>
        <w:spacing w:before="0" w:beforeAutospacing="0" w:after="0" w:afterAutospacing="0"/>
        <w:ind w:right="0" w:rightChars="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支出具体情况如下：</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97.21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103.35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106.32%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职工养老保障缴费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基数申报 调增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97.21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103.35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职工养老保障缴费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基数申报 调增</w:t>
            </w:r>
          </w:p>
        </w:tc>
      </w:tr>
    </w:tbl>
    <w:p>
      <w:pPr>
        <w:jc w:val="left"/>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ind w:left="0" w:right="0" w:firstLine="643" w:firstLineChars="20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农林水支出</w:t>
      </w:r>
      <w:r>
        <w:rPr>
          <w:rFonts w:hint="eastAsia" w:ascii="仿宋_GB2312" w:hAnsi="仿宋_GB2312" w:eastAsia="仿宋_GB2312" w:cs="仿宋_GB2312"/>
          <w:b/>
          <w:bCs/>
          <w:sz w:val="32"/>
          <w:szCs w:val="32"/>
          <w:u w:color="auto"/>
        </w:rPr>
        <w:t>（213</w:t>
      </w:r>
      <w:r>
        <w:rPr>
          <w:rFonts w:hint="eastAsia" w:ascii="仿宋_GB2312" w:hAnsi="仿宋_GB2312" w:eastAsia="仿宋_GB2312" w:cs="仿宋_GB2312"/>
          <w:b/>
          <w:bCs/>
          <w:sz w:val="32"/>
          <w:szCs w:val="32"/>
          <w:highlight w:val="none"/>
        </w:rPr>
        <w:t>类）年初预算为5026.01万元，支出决算为5026.01万元，完成年初预算的100.00%。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sz w:val="32"/>
          <w:szCs w:val="32"/>
          <w:highlight w:val="none"/>
          <w:lang w:val="en-US" w:eastAsia="zh-CN"/>
        </w:rPr>
        <w:t>全县脱贫攻坚成果与乡村振兴有效衔接项目建设、农村综合改革美丽乡村建设和革命老区项目建设</w:t>
      </w:r>
      <w:r>
        <w:rPr>
          <w:rFonts w:hint="eastAsia" w:ascii="仿宋_GB2312" w:hAnsi="仿宋_GB2312" w:eastAsia="仿宋_GB2312" w:cs="仿宋_GB2312"/>
          <w:color w:val="auto"/>
          <w:sz w:val="32"/>
          <w:szCs w:val="32"/>
          <w:highlight w:val="none"/>
          <w:lang w:eastAsia="zh-CN"/>
        </w:rPr>
        <w:t>资金年初预算为预留项目资金，预算调整到本部门，故产生预决算差异较大。</w:t>
      </w:r>
    </w:p>
    <w:p>
      <w:pPr>
        <w:keepNext w:val="0"/>
        <w:keepLines w:val="0"/>
        <w:widowControl w:val="0"/>
        <w:suppressLineNumbers w:val="0"/>
        <w:spacing w:before="0" w:beforeAutospacing="0" w:after="0" w:afterAutospacing="0"/>
        <w:ind w:right="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85"/>
        <w:gridCol w:w="785"/>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类款项</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科目名称</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2130142</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农村道路建设</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451.99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全县革命老区项目管理费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2130199</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其他农业农村支出</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7.78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其他农村公益事业项目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2130504</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农村基础设施建设</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2042.24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革命老区项目建设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2130599</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其他巩固脱贫衔接乡村振兴支出</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94.31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脱贫攻坚成果与乡村振兴有效衔接项目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2130701</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对村级公益事业建设的补助</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437.94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 xml:space="preserve">农村公益事业财政奖补项目 </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2130707</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农村综合改革示范试点补助</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1245.56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农村综合改革美丽乡村建设项目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2130799</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其他农村综合改革支出</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647.31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农村综合改革美丽乡村建设项目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2139999</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其他农林水支出</w:t>
            </w: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98.88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农村综合改革美丽乡村建设项目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合计数</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7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5026.01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项目建设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预算调整</w:t>
            </w:r>
          </w:p>
        </w:tc>
      </w:tr>
    </w:tbl>
    <w:p>
      <w:pPr>
        <w:jc w:val="left"/>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1" w:firstLineChars="131"/>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住房保障支出</w:t>
      </w:r>
      <w:r>
        <w:rPr>
          <w:rFonts w:hint="eastAsia" w:ascii="仿宋_GB2312" w:hAnsi="仿宋_GB2312" w:eastAsia="仿宋_GB2312" w:cs="仿宋_GB2312"/>
          <w:b/>
          <w:bCs/>
          <w:sz w:val="32"/>
          <w:szCs w:val="32"/>
          <w:u w:color="auto"/>
        </w:rPr>
        <w:t>（221</w:t>
      </w:r>
      <w:r>
        <w:rPr>
          <w:rFonts w:hint="eastAsia" w:ascii="仿宋_GB2312" w:hAnsi="仿宋_GB2312" w:eastAsia="仿宋_GB2312" w:cs="仿宋_GB2312"/>
          <w:b/>
          <w:bCs/>
          <w:sz w:val="32"/>
          <w:szCs w:val="32"/>
          <w:highlight w:val="none"/>
        </w:rPr>
        <w:t>类）年初预算为72.91万元，支出决算为77.71万元，完成年初预算的106.58%。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原因</w:t>
      </w:r>
      <w:r>
        <w:rPr>
          <w:rFonts w:hint="eastAsia" w:ascii="仿宋_GB2312" w:hAnsi="仿宋_GB2312" w:eastAsia="仿宋_GB2312" w:cs="仿宋_GB2312"/>
          <w:b/>
          <w:bCs/>
          <w:color w:val="auto"/>
          <w:sz w:val="32"/>
          <w:szCs w:val="32"/>
          <w:highlight w:val="none"/>
          <w:lang w:val="en-US" w:eastAsia="zh-CN"/>
        </w:rPr>
        <w:t>是：</w:t>
      </w:r>
      <w:r>
        <w:rPr>
          <w:rFonts w:hint="eastAsia" w:ascii="仿宋_GB2312" w:hAnsi="仿宋_GB2312" w:eastAsia="仿宋_GB2312" w:cs="仿宋_GB2312"/>
          <w:color w:val="auto"/>
          <w:kern w:val="2"/>
          <w:sz w:val="32"/>
          <w:szCs w:val="32"/>
          <w:highlight w:val="none"/>
          <w:lang w:val="en-US" w:eastAsia="zh-CN" w:bidi="ar"/>
        </w:rPr>
        <w:t>申报基数调整。</w:t>
      </w:r>
    </w:p>
    <w:p>
      <w:pPr>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支出具体情况如下</w:t>
      </w:r>
      <w:r>
        <w:rPr>
          <w:rFonts w:hint="eastAsia" w:ascii="仿宋_GB2312" w:hAnsi="仿宋_GB2312" w:eastAsia="仿宋_GB2312" w:cs="仿宋_GB2312"/>
          <w:b w:val="0"/>
          <w:bCs w:val="0"/>
          <w:color w:val="auto"/>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72.91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77.71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106.58%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申报基数 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72.91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77.71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申报基数 调整</w:t>
            </w:r>
          </w:p>
        </w:tc>
      </w:tr>
    </w:tbl>
    <w:p>
      <w:pPr>
        <w:jc w:val="left"/>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643" w:firstLineChars="20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其他支出</w:t>
      </w:r>
      <w:r>
        <w:rPr>
          <w:rFonts w:hint="eastAsia" w:ascii="仿宋_GB2312" w:hAnsi="仿宋_GB2312" w:eastAsia="仿宋_GB2312" w:cs="仿宋_GB2312"/>
          <w:b/>
          <w:bCs/>
          <w:sz w:val="32"/>
          <w:szCs w:val="32"/>
          <w:u w:color="auto"/>
        </w:rPr>
        <w:t>（229</w:t>
      </w:r>
      <w:r>
        <w:rPr>
          <w:rFonts w:hint="eastAsia" w:ascii="仿宋_GB2312" w:hAnsi="仿宋_GB2312" w:eastAsia="仿宋_GB2312" w:cs="仿宋_GB2312"/>
          <w:b/>
          <w:bCs/>
          <w:sz w:val="32"/>
          <w:szCs w:val="32"/>
          <w:highlight w:val="none"/>
        </w:rPr>
        <w:t>类）年初预算为244.51万元，支出决算为244.51万元，完成年初预算的100.00%。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
        </w:rPr>
        <w:t>持平。</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244.51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r>
              <w:rPr>
                <w:rFonts w:hint="eastAsia" w:ascii="仿宋_GB2312" w:hAnsi="仿宋_GB2312" w:eastAsia="仿宋_GB2312" w:cs="仿宋_GB2312"/>
                <w:i w:val="0"/>
                <w:iCs w:val="0"/>
                <w:color w:val="000000"/>
                <w:sz w:val="32"/>
                <w:szCs w:val="32"/>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32"/>
                <w:szCs w:val="32"/>
                <w:highlight w:val="none"/>
                <w:u w:val="none"/>
                <w:lang w:val="en-US" w:eastAsia="zh-CN" w:bidi="ar-SA"/>
              </w:rPr>
            </w:pPr>
            <w:r>
              <w:rPr>
                <w:rFonts w:hint="eastAsia" w:ascii="仿宋_GB2312" w:hAnsi="仿宋_GB2312" w:eastAsia="仿宋_GB2312" w:cs="仿宋_GB2312"/>
                <w:i w:val="0"/>
                <w:iCs w:val="0"/>
                <w:color w:val="000000"/>
                <w:kern w:val="2"/>
                <w:sz w:val="32"/>
                <w:szCs w:val="32"/>
                <w:highlight w:val="none"/>
                <w:u w:val="none"/>
                <w:lang w:val="en-US" w:eastAsia="zh-CN" w:bidi="ar-SA"/>
              </w:rPr>
              <w:t>244.51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32"/>
                <w:szCs w:val="32"/>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持平</w:t>
            </w:r>
          </w:p>
        </w:tc>
      </w:tr>
    </w:tbl>
    <w:p>
      <w:pPr>
        <w:jc w:val="left"/>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5715"/>
            <wp:docPr id="1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环江毛南族自治县财政局2022年度一般公共预算财政拨款基本支出</w:t>
      </w:r>
      <w:r>
        <w:rPr>
          <w:rFonts w:hint="eastAsia" w:ascii="仿宋_GB2312" w:hAnsi="仿宋_GB2312" w:eastAsia="仿宋_GB2312" w:cs="仿宋_GB2312"/>
          <w:sz w:val="32"/>
          <w:szCs w:val="32"/>
          <w:u w:color="auto"/>
        </w:rPr>
        <w:t>1156.82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i w:val="0"/>
          <w:iCs w:val="0"/>
          <w:caps w:val="0"/>
          <w:color w:val="000000"/>
          <w:spacing w:val="0"/>
          <w:sz w:val="32"/>
          <w:szCs w:val="32"/>
          <w:highlight w:val="none"/>
          <w:shd w:val="clear" w:color="auto" w:fill="FFFFFF"/>
        </w:rPr>
        <w:t>其中：人员经费支出</w:t>
      </w:r>
      <w:r>
        <w:rPr>
          <w:rFonts w:hint="eastAsia" w:ascii="仿宋_GB2312" w:hAnsi="仿宋_GB2312" w:eastAsia="仿宋_GB2312" w:cs="仿宋_GB2312"/>
          <w:sz w:val="32"/>
          <w:szCs w:val="32"/>
          <w:highlight w:val="none"/>
        </w:rPr>
        <w:t>1117.93</w:t>
      </w:r>
      <w:r>
        <w:rPr>
          <w:rFonts w:hint="eastAsia" w:ascii="仿宋_GB2312" w:hAnsi="仿宋_GB2312" w:eastAsia="仿宋_GB2312" w:cs="仿宋_GB2312"/>
          <w:i w:val="0"/>
          <w:iCs w:val="0"/>
          <w:caps w:val="0"/>
          <w:color w:val="000000"/>
          <w:spacing w:val="0"/>
          <w:sz w:val="32"/>
          <w:szCs w:val="32"/>
          <w:highlight w:val="none"/>
          <w:shd w:val="clear" w:color="auto" w:fill="FFFFFF"/>
        </w:rPr>
        <w:t>万元，公用经费支出</w:t>
      </w:r>
      <w:r>
        <w:rPr>
          <w:rFonts w:hint="eastAsia" w:ascii="仿宋_GB2312" w:hAnsi="仿宋_GB2312" w:eastAsia="仿宋_GB2312" w:cs="仿宋_GB2312"/>
          <w:sz w:val="32"/>
          <w:szCs w:val="32"/>
          <w:highlight w:val="none"/>
        </w:rPr>
        <w:t>38.89</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工资福利支出</w:t>
      </w:r>
      <w:r>
        <w:rPr>
          <w:rFonts w:hint="eastAsia" w:ascii="仿宋_GB2312" w:hAnsi="仿宋_GB2312" w:eastAsia="仿宋_GB2312" w:cs="仿宋_GB2312"/>
          <w:sz w:val="32"/>
          <w:szCs w:val="32"/>
          <w:u w:color="auto"/>
        </w:rPr>
        <w:t>1042.57万元，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147.47%</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sz w:val="32"/>
          <w:szCs w:val="32"/>
          <w:highlight w:val="none"/>
          <w:lang w:eastAsia="zh-CN"/>
        </w:rPr>
        <w:t>决算数比年初预算数增加</w:t>
      </w:r>
      <w:r>
        <w:rPr>
          <w:rFonts w:hint="eastAsia" w:ascii="仿宋_GB2312" w:hAnsi="仿宋_GB2312" w:eastAsia="仿宋_GB2312" w:cs="仿宋_GB2312"/>
          <w:sz w:val="32"/>
          <w:szCs w:val="32"/>
          <w:highlight w:val="none"/>
          <w:lang w:val="en-US" w:eastAsia="zh-CN"/>
        </w:rPr>
        <w:t>335.61万元，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奖励性补贴系预算调整到本部门。</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30101基本工资276.82万元，30102津贴补贴189.43万元，30103奖金323.38万元，30107绩效工资8.77万元，30108机关事业单位基本养老保险缴费105.06万元，30110职工基本医疗保险缴费40.65万元，30112其他社会保障缴费10.04万元，30113住房公积金78.46万元，30199其他工资福利支出9.96万元。</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08805" cy="2444115"/>
            <wp:effectExtent l="4445" t="5080" r="635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商品和服务支出</w:t>
      </w:r>
      <w:r>
        <w:rPr>
          <w:rFonts w:hint="eastAsia" w:ascii="仿宋_GB2312" w:hAnsi="仿宋_GB2312" w:eastAsia="仿宋_GB2312" w:cs="仿宋_GB2312"/>
          <w:sz w:val="32"/>
          <w:szCs w:val="32"/>
          <w:u w:color="auto"/>
        </w:rPr>
        <w:t>38.89万元，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43.67%</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sz w:val="32"/>
          <w:szCs w:val="32"/>
          <w:highlight w:val="none"/>
          <w:lang w:eastAsia="zh-CN"/>
        </w:rPr>
        <w:t>决算数比年初预算数减少</w:t>
      </w:r>
      <w:r>
        <w:rPr>
          <w:rFonts w:hint="eastAsia" w:ascii="仿宋_GB2312" w:hAnsi="仿宋_GB2312" w:eastAsia="仿宋_GB2312" w:cs="仿宋_GB2312"/>
          <w:sz w:val="32"/>
          <w:szCs w:val="32"/>
          <w:highlight w:val="none"/>
          <w:lang w:val="en-US" w:eastAsia="zh-CN"/>
        </w:rPr>
        <w:t>50.16万元，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年初预算项目“其他交通费用”即公务交通补贴指标实际发放时列支工资福利支出项目。</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30205水费0.94万元，30206电费4.09万元，30207邮电费21.65万元，30213维修（护）费0.06万元，30228工会经费12.15万元。</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2198370"/>
            <wp:effectExtent l="4445" t="4445" r="16510" b="698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对个人和家庭的补助</w:t>
      </w:r>
      <w:r>
        <w:rPr>
          <w:rFonts w:hint="eastAsia" w:ascii="仿宋_GB2312" w:hAnsi="仿宋_GB2312" w:eastAsia="仿宋_GB2312" w:cs="仿宋_GB2312"/>
          <w:sz w:val="32"/>
          <w:szCs w:val="32"/>
          <w:u w:color="auto"/>
        </w:rPr>
        <w:t>75.36万元，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243.18%</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sz w:val="32"/>
          <w:szCs w:val="32"/>
          <w:highlight w:val="none"/>
          <w:lang w:eastAsia="zh-CN"/>
        </w:rPr>
        <w:t>决算数比年初预算数增加</w:t>
      </w:r>
      <w:r>
        <w:rPr>
          <w:rFonts w:hint="eastAsia" w:ascii="仿宋_GB2312" w:hAnsi="仿宋_GB2312" w:eastAsia="仿宋_GB2312" w:cs="仿宋_GB2312"/>
          <w:sz w:val="32"/>
          <w:szCs w:val="32"/>
          <w:highlight w:val="none"/>
          <w:lang w:val="en-US" w:eastAsia="zh-CN"/>
        </w:rPr>
        <w:t>30.98万元，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工资统发把退休生活补助列进来，年度内有抚恤金支出。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30301离休费11.01万元，30304抚恤金27.71万元，30305生活补助24.04万元，30399其他对个人和家庭的补助12.60万元。</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253047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债务利息及费用支出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本部门2022年没有债务利息及费用支出，故无数据。</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21399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资本性支出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本部门2022年没有资本性支出，故无数据。</w:t>
      </w:r>
    </w:p>
    <w:p>
      <w:pPr>
        <w:ind w:firstLine="320" w:firstLineChars="1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本部门2022年没有其他支出，故无数据。</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drawing>
          <wp:inline distT="0" distB="0" distL="114300" distR="114300">
            <wp:extent cx="4474845" cy="2782570"/>
            <wp:effectExtent l="4445" t="4445" r="16510" b="13335"/>
            <wp:docPr id="2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环江毛南族自治县财政局2022年度政府性基金支出0.00万元，较2021年度决算数增加0.00万元，增长0%其中：基本支出0.00万元，项目支出0.00万元。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环江毛南族自治县财政局2022年度政府性基金支出年初预算为0.00万元，支出决算为0.00万元，完成年初预算的0%。</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环江毛南族自治县财政局</w:t>
      </w:r>
      <w:r>
        <w:rPr>
          <w:rFonts w:hint="eastAsia" w:ascii="仿宋_GB2312" w:hAnsi="仿宋_GB2312" w:eastAsia="仿宋_GB2312" w:cs="仿宋_GB2312"/>
          <w:color w:val="auto"/>
          <w:sz w:val="32"/>
          <w:szCs w:val="32"/>
          <w:u w:color="auto"/>
        </w:rPr>
        <w:t>没有政府性基金收入，也没有政府性基金收入安排的支出</w:t>
      </w:r>
      <w:r>
        <w:rPr>
          <w:rFonts w:hint="eastAsia" w:ascii="仿宋_GB2312" w:hAnsi="仿宋_GB2312" w:eastAsia="仿宋_GB2312" w:cs="仿宋_GB2312"/>
          <w:color w:val="auto"/>
          <w:sz w:val="32"/>
          <w:szCs w:val="32"/>
          <w:lang w:eastAsia="zh-CN"/>
        </w:rPr>
        <w:t>。</w:t>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环江毛南族自治县财政局2022年度国有资本经营预算支出0.00万元。其中：基本支出0.00万元，项目支出0.00万元。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环江毛南族自治县财政局2022 年度国有资本经营预算支出年初预算为0.00万元，支出决算为0.00万元，完成年初预算的0%。</w:t>
      </w:r>
    </w:p>
    <w:p>
      <w:pPr>
        <w:ind w:firstLine="640" w:firstLineChars="200"/>
        <w:jc w:val="left"/>
        <w:rPr>
          <w:rFonts w:hint="eastAsia" w:ascii="仿宋_GB2312" w:hAnsi="仿宋_GB2312" w:eastAsia="仿宋_GB2312" w:cs="仿宋_GB2312"/>
          <w:color w:val="auto"/>
          <w:sz w:val="32"/>
          <w:szCs w:val="32"/>
          <w:highlight w:val="none"/>
        </w:rPr>
      </w:pPr>
      <w:bookmarkStart w:id="4" w:name="PO_part3A5B1C1DiffReason1"/>
      <w:r>
        <w:rPr>
          <w:rFonts w:hint="eastAsia" w:ascii="仿宋_GB2312" w:hAnsi="仿宋_GB2312" w:eastAsia="仿宋_GB2312" w:cs="仿宋_GB2312"/>
          <w:color w:val="auto"/>
          <w:sz w:val="32"/>
          <w:szCs w:val="32"/>
        </w:rPr>
        <w:t>环江毛南族自治县财政局</w:t>
      </w:r>
      <w:r>
        <w:rPr>
          <w:rFonts w:hint="eastAsia" w:ascii="仿宋_GB2312" w:hAnsi="仿宋_GB2312" w:eastAsia="仿宋_GB2312" w:cs="仿宋_GB2312"/>
          <w:color w:val="auto"/>
          <w:sz w:val="32"/>
          <w:szCs w:val="32"/>
          <w:u w:color="auto"/>
        </w:rPr>
        <w:t>没有国有资本经营预算收入，也没有国有资本经营预算收入</w:t>
      </w:r>
      <w:r>
        <w:rPr>
          <w:rFonts w:hint="eastAsia" w:ascii="仿宋_GB2312" w:hAnsi="仿宋_GB2312" w:eastAsia="仿宋_GB2312" w:cs="仿宋_GB2312"/>
          <w:color w:val="auto"/>
          <w:sz w:val="32"/>
          <w:szCs w:val="32"/>
          <w:u w:color="auto"/>
          <w:lang w:val="en-US" w:eastAsia="zh-CN"/>
        </w:rPr>
        <w:t>安排的支出</w:t>
      </w:r>
      <w:r>
        <w:rPr>
          <w:rFonts w:hint="eastAsia" w:ascii="仿宋_GB2312" w:hAnsi="仿宋_GB2312" w:eastAsia="仿宋_GB2312" w:cs="仿宋_GB2312"/>
          <w:color w:val="auto"/>
          <w:sz w:val="32"/>
          <w:szCs w:val="32"/>
          <w:lang w:eastAsia="zh-CN"/>
        </w:rPr>
        <w:t>。</w:t>
      </w:r>
      <w:bookmarkEnd w:id="4"/>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2022年预算财政拨款安排的“三公”经费支出5.00万元，完成年初预算的100%，比上年增加0.42万元，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全县“五位一体”农村农村信用体系建设，接待创建公司和前来观摩人员。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其中：因公出国（境）费支出决算0.00</w:t>
      </w:r>
      <w:r>
        <w:rPr>
          <w:rFonts w:hint="eastAsia" w:ascii="仿宋_GB2312" w:hAnsi="仿宋_GB2312" w:eastAsia="仿宋_GB2312" w:cs="仿宋_GB2312"/>
          <w:sz w:val="32"/>
          <w:szCs w:val="32"/>
          <w:highlight w:val="none"/>
        </w:rPr>
        <w:t>万元，公务用车购置及运行费支出决算0.00万元，公务接待费支出决算5.00万元。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具体情况如下：</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（一）因公出国（境）费支出0.00万元，完成年初预算的0%，比上年增加0.00 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（二）公务用车购置及运行维护费</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sz w:val="32"/>
          <w:szCs w:val="32"/>
          <w:highlight w:val="none"/>
        </w:rPr>
        <w:t>万元。其中：公务用车购置支出</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u w:color="auto"/>
        </w:rPr>
        <w:t>0%</w:t>
      </w:r>
      <w:r>
        <w:rPr>
          <w:rFonts w:hint="eastAsia" w:ascii="仿宋_GB2312" w:hAnsi="仿宋_GB2312" w:eastAsia="仿宋_GB2312" w:cs="仿宋_GB2312"/>
          <w:sz w:val="32"/>
          <w:szCs w:val="32"/>
          <w:highlight w:val="none"/>
        </w:rPr>
        <w:t>，比上年</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sz w:val="32"/>
          <w:szCs w:val="32"/>
          <w:highlight w:val="none"/>
        </w:rPr>
        <w:t xml:space="preserve"> 万元。</w:t>
      </w:r>
    </w:p>
    <w:p>
      <w:pPr>
        <w:ind w:firstLine="640" w:firstLineChars="200"/>
        <w:jc w:val="left"/>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公务用车运行维护支出</w:t>
      </w:r>
      <w:r>
        <w:rPr>
          <w:rFonts w:hint="eastAsia" w:ascii="仿宋_GB2312" w:hAnsi="仿宋_GB2312" w:eastAsia="仿宋_GB2312" w:cs="仿宋_GB2312"/>
          <w:sz w:val="32"/>
          <w:szCs w:val="32"/>
          <w:u w:color="auto"/>
        </w:rPr>
        <w:t>0.00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u w:color="auto"/>
        </w:rPr>
        <w:t>0%</w:t>
      </w:r>
      <w:r>
        <w:rPr>
          <w:rFonts w:hint="eastAsia" w:ascii="仿宋_GB2312" w:hAnsi="仿宋_GB2312" w:eastAsia="仿宋_GB2312" w:cs="仿宋_GB2312"/>
          <w:sz w:val="32"/>
          <w:szCs w:val="32"/>
          <w:highlight w:val="none"/>
        </w:rPr>
        <w:t>，比上年</w:t>
      </w:r>
      <w:r>
        <w:rPr>
          <w:rFonts w:hint="eastAsia" w:ascii="仿宋_GB2312" w:hAnsi="仿宋_GB2312" w:eastAsia="仿宋_GB2312" w:cs="仿宋_GB2312"/>
          <w:sz w:val="32"/>
          <w:szCs w:val="32"/>
          <w:u w:color="auto"/>
        </w:rPr>
        <w:t>增加0.00</w:t>
      </w:r>
      <w:r>
        <w:rPr>
          <w:rFonts w:hint="eastAsia" w:ascii="仿宋_GB2312" w:hAnsi="仿宋_GB2312" w:eastAsia="仿宋_GB2312" w:cs="仿宋_GB2312"/>
          <w:sz w:val="32"/>
          <w:szCs w:val="32"/>
          <w:highlight w:val="none"/>
        </w:rPr>
        <w:t>万元。2022年，</w:t>
      </w:r>
      <w:r>
        <w:rPr>
          <w:rFonts w:hint="eastAsia" w:ascii="仿宋_GB2312" w:hAnsi="仿宋_GB2312" w:eastAsia="仿宋_GB2312" w:cs="仿宋_GB2312"/>
          <w:sz w:val="32"/>
          <w:szCs w:val="32"/>
          <w:u w:color="auto"/>
        </w:rPr>
        <w:t>广西河池市环江毛南族自治县财政局</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color w:val="auto"/>
          <w:sz w:val="32"/>
          <w:szCs w:val="32"/>
          <w:highlight w:val="none"/>
          <w:u w:val="single"/>
          <w:lang w:val="en-US" w:eastAsia="zh-CN"/>
        </w:rPr>
        <w:t>7个</w:t>
      </w:r>
      <w:r>
        <w:rPr>
          <w:rFonts w:hint="eastAsia" w:ascii="仿宋_GB2312" w:hAnsi="仿宋_GB2312" w:eastAsia="仿宋_GB2312" w:cs="仿宋_GB2312"/>
          <w:sz w:val="32"/>
          <w:szCs w:val="32"/>
          <w:highlight w:val="none"/>
        </w:rPr>
        <w:t>所属单位开支财政拨款的公务用车保有量为</w:t>
      </w:r>
      <w:r>
        <w:rPr>
          <w:rFonts w:hint="eastAsia" w:ascii="仿宋_GB2312" w:hAnsi="仿宋_GB2312" w:eastAsia="仿宋_GB2312" w:cs="仿宋_GB2312"/>
          <w:sz w:val="32"/>
          <w:szCs w:val="32"/>
          <w:u w:color="auto"/>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color w:val="auto"/>
          <w:sz w:val="32"/>
          <w:szCs w:val="32"/>
          <w:highlight w:val="none"/>
        </w:rPr>
        <w:t>，全年运行费支出</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（三）公务接待费支出5.00万元，完成年初预算的100%， 比上年增加0.42万元，</w:t>
      </w:r>
      <w:r>
        <w:rPr>
          <w:rFonts w:hint="eastAsia" w:ascii="仿宋_GB2312" w:hAnsi="仿宋_GB2312" w:eastAsia="仿宋_GB2312" w:cs="仿宋_GB2312"/>
          <w:color w:val="auto"/>
          <w:kern w:val="2"/>
          <w:sz w:val="32"/>
          <w:szCs w:val="32"/>
          <w:highlight w:val="none"/>
          <w:lang w:val="en-US" w:eastAsia="zh-CN" w:bidi="ar"/>
        </w:rPr>
        <w:t>主要原因是：全县“五位一体”农村农村信用体系建设，接待创建公司和前来观摩人员。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国内公务接待批次50</w:t>
      </w:r>
      <w:r>
        <w:rPr>
          <w:rFonts w:hint="eastAsia" w:ascii="仿宋_GB2312" w:hAnsi="仿宋_GB2312" w:eastAsia="仿宋_GB2312" w:cs="仿宋_GB2312"/>
          <w:sz w:val="32"/>
          <w:szCs w:val="32"/>
          <w:highlight w:val="none"/>
        </w:rPr>
        <w:t>次，人次400次，国（境）外公务接待批次0次，人次0次。</w:t>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七、其他重要事项情况说明</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 机关运行经费支出情况说明</w:t>
      </w:r>
    </w:p>
    <w:p>
      <w:pPr>
        <w:ind w:firstLine="640" w:firstLineChars="200"/>
        <w:jc w:val="left"/>
        <w:rPr>
          <w:rFonts w:hint="eastAsia" w:ascii="仿宋_GB2312" w:hAnsi="仿宋_GB2312" w:eastAsia="仿宋_GB2312" w:cs="仿宋_GB2312"/>
          <w:color w:val="auto"/>
          <w:kern w:val="2"/>
          <w:sz w:val="32"/>
          <w:szCs w:val="32"/>
          <w:highlight w:val="none"/>
          <w:lang w:val="en-US" w:eastAsia="zh-CN" w:bidi="ar"/>
        </w:rPr>
      </w:pPr>
      <w:bookmarkStart w:id="5" w:name="_GoBack"/>
      <w:bookmarkEnd w:id="5"/>
      <w:r>
        <w:rPr>
          <w:rFonts w:hint="eastAsia" w:ascii="仿宋_GB2312" w:hAnsi="仿宋_GB2312" w:eastAsia="仿宋_GB2312" w:cs="仿宋_GB2312"/>
          <w:sz w:val="32"/>
          <w:szCs w:val="32"/>
          <w:highlight w:val="none"/>
        </w:rPr>
        <w:t>本部门2022年度机关运行经费支出38.89万元，比年初预算数减少50.16万元，下降56.33%，比上年决算数减少14.40万元，下降27.02%。</w:t>
      </w:r>
      <w:r>
        <w:rPr>
          <w:rFonts w:hint="eastAsia" w:ascii="仿宋_GB2312" w:hAnsi="仿宋_GB2312" w:eastAsia="仿宋_GB2312" w:cs="仿宋_GB2312"/>
          <w:color w:val="auto"/>
          <w:sz w:val="32"/>
          <w:szCs w:val="32"/>
          <w:highlight w:val="none"/>
        </w:rPr>
        <w:t>原因是：</w:t>
      </w:r>
      <w:r>
        <w:rPr>
          <w:rFonts w:hint="eastAsia" w:ascii="仿宋_GB2312" w:hAnsi="仿宋_GB2312" w:eastAsia="仿宋_GB2312" w:cs="仿宋_GB2312"/>
          <w:color w:val="auto"/>
          <w:kern w:val="2"/>
          <w:sz w:val="32"/>
          <w:szCs w:val="32"/>
          <w:highlight w:val="none"/>
          <w:lang w:val="en-US" w:eastAsia="zh-CN" w:bidi="ar"/>
        </w:rPr>
        <w:t xml:space="preserve">年初预算项目“其他交通费用”即公务交通补贴指标实际发放时列支工资福利支出项目。  </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（二）政府采购支出情况说明</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2022年度政府采购支出总额4856.95万元，其中：政府采购货物支出41.23万元、政府采购工程支出4815.72万元、政府采购服务支出0.00万元。授予中小企业合同金额0.00万元，占政府采购支出总额的0.00%，其中：授予小微企业合同金额0.00万元，占授予中小企业合同金额的0%。</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（三）国有资产占用情况说明</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2022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仿宋_GB2312" w:hAnsi="仿宋_GB2312" w:eastAsia="仿宋_GB2312" w:cs="仿宋_GB2312"/>
          <w:sz w:val="32"/>
          <w:szCs w:val="32"/>
          <w:highlight w:val="none"/>
          <w:lang w:val="en-US" w:eastAsia="zh-CN"/>
        </w:rPr>
        <w:t>100万</w:t>
      </w:r>
      <w:r>
        <w:rPr>
          <w:rFonts w:hint="eastAsia" w:ascii="仿宋_GB2312" w:hAnsi="仿宋_GB2312" w:eastAsia="仿宋_GB2312" w:cs="仿宋_GB2312"/>
          <w:sz w:val="32"/>
          <w:szCs w:val="32"/>
          <w:highlight w:val="none"/>
        </w:rPr>
        <w:t>元以上专用设备台（套）。</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（四）预算绩效管理工作开展情况</w:t>
      </w:r>
    </w:p>
    <w:p>
      <w:pPr>
        <w:ind w:firstLine="643" w:firstLineChars="200"/>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1.绩效管理工作开展情况。</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根据财政预算管理要求，本部门组织对</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度一般公共预算项目支出全面开展绩效自评。其中，一</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个，占一般公共预算项目支出总额的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财政评审委托业务费</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个项目进行了部门评价，涉及一般公共预算支出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238.59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从评价情况来看，</w:t>
      </w:r>
      <w:r>
        <w:rPr>
          <w:rFonts w:hint="eastAsia" w:ascii="仿宋_GB2312" w:hAnsi="仿宋_GB2312" w:eastAsia="仿宋_GB2312" w:cs="仿宋_GB2312"/>
          <w:color w:val="auto"/>
          <w:sz w:val="32"/>
          <w:szCs w:val="32"/>
          <w:highlight w:val="none"/>
        </w:rPr>
        <w:t>环江毛南族自治县财政局2022年委托评审业务项目立项依据充分，预定目标较为明确、合理。项目在规范财政资金安全有效运行方面产生了较好的效果，通过加强财政投资项目评审，着力从源头上把关，能够合理压缩项目投资的财政支出，提升资金使用效益。项目实施使工程造价预算虚高问题得到基本解决，达到有效控制项目工程造价的目的。经评价小组综合评价分析，项目综合得分</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92分</w:t>
      </w:r>
      <w:r>
        <w:rPr>
          <w:rFonts w:hint="eastAsia" w:ascii="仿宋_GB2312" w:hAnsi="仿宋_GB2312" w:eastAsia="仿宋_GB2312" w:cs="仿宋_GB2312"/>
          <w:color w:val="auto"/>
          <w:sz w:val="32"/>
          <w:szCs w:val="32"/>
          <w:highlight w:val="none"/>
        </w:rPr>
        <w:t>，评价等级为</w:t>
      </w:r>
      <w:r>
        <w:rPr>
          <w:rFonts w:hint="eastAsia" w:ascii="仿宋_GB2312" w:hAnsi="仿宋_GB2312" w:eastAsia="仿宋_GB2312" w:cs="仿宋_GB2312"/>
          <w:b w:val="0"/>
          <w:bCs w:val="0"/>
          <w:color w:val="auto"/>
          <w:sz w:val="32"/>
          <w:szCs w:val="32"/>
          <w:highlight w:val="none"/>
          <w:u w:val="single"/>
          <w:lang w:eastAsia="zh-CN"/>
        </w:rPr>
        <w:t>“</w:t>
      </w:r>
      <w:r>
        <w:rPr>
          <w:rFonts w:hint="eastAsia" w:ascii="仿宋_GB2312" w:hAnsi="仿宋_GB2312" w:eastAsia="仿宋_GB2312" w:cs="仿宋_GB2312"/>
          <w:b w:val="0"/>
          <w:bCs w:val="0"/>
          <w:color w:val="auto"/>
          <w:sz w:val="32"/>
          <w:szCs w:val="32"/>
          <w:highlight w:val="none"/>
          <w:u w:val="single"/>
        </w:rPr>
        <w:t>优秀</w:t>
      </w:r>
      <w:r>
        <w:rPr>
          <w:rFonts w:hint="eastAsia" w:ascii="仿宋_GB2312" w:hAnsi="仿宋_GB2312" w:eastAsia="仿宋_GB2312" w:cs="仿宋_GB2312"/>
          <w:b w:val="0"/>
          <w:bCs w:val="0"/>
          <w:color w:val="auto"/>
          <w:sz w:val="32"/>
          <w:szCs w:val="32"/>
          <w:highlight w:val="none"/>
          <w:u w:val="single"/>
          <w:lang w:eastAsia="zh-CN"/>
        </w:rPr>
        <w:t>”</w:t>
      </w:r>
      <w:r>
        <w:rPr>
          <w:rFonts w:hint="eastAsia" w:ascii="仿宋_GB2312" w:hAnsi="仿宋_GB2312" w:eastAsia="仿宋_GB2312" w:cs="仿宋_GB2312"/>
          <w:color w:val="auto"/>
          <w:sz w:val="32"/>
          <w:szCs w:val="32"/>
          <w:highlight w:val="none"/>
        </w:rPr>
        <w:t>。</w:t>
      </w:r>
    </w:p>
    <w:p>
      <w:pPr>
        <w:ind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个部门开展整体支出绩效评价试点，涉及一般公共预算支出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6253.75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333333"/>
          <w:spacing w:val="0"/>
          <w:sz w:val="32"/>
          <w:szCs w:val="32"/>
          <w:lang w:eastAsia="zh-CN"/>
        </w:rPr>
        <w:t>本单位</w:t>
      </w:r>
      <w:r>
        <w:rPr>
          <w:rFonts w:hint="eastAsia" w:ascii="仿宋_GB2312" w:hAnsi="仿宋_GB2312" w:eastAsia="仿宋_GB2312" w:cs="仿宋_GB2312"/>
          <w:i w:val="0"/>
          <w:iCs w:val="0"/>
          <w:caps w:val="0"/>
          <w:color w:val="333333"/>
          <w:spacing w:val="0"/>
          <w:sz w:val="32"/>
          <w:szCs w:val="32"/>
        </w:rPr>
        <w:t>年初部预门算</w:t>
      </w:r>
      <w:r>
        <w:rPr>
          <w:rFonts w:hint="eastAsia" w:ascii="仿宋_GB2312" w:hAnsi="仿宋_GB2312" w:eastAsia="仿宋_GB2312" w:cs="仿宋_GB2312"/>
          <w:i w:val="0"/>
          <w:iCs w:val="0"/>
          <w:caps w:val="0"/>
          <w:color w:val="333333"/>
          <w:spacing w:val="0"/>
          <w:sz w:val="32"/>
          <w:szCs w:val="32"/>
          <w:lang w:eastAsia="zh-CN"/>
        </w:rPr>
        <w:t>安排</w:t>
      </w:r>
      <w:r>
        <w:rPr>
          <w:rFonts w:hint="eastAsia" w:ascii="仿宋_GB2312" w:hAnsi="仿宋_GB2312" w:eastAsia="仿宋_GB2312" w:cs="仿宋_GB2312"/>
          <w:i w:val="0"/>
          <w:iCs w:val="0"/>
          <w:caps w:val="0"/>
          <w:color w:val="333333"/>
          <w:spacing w:val="0"/>
          <w:sz w:val="32"/>
          <w:szCs w:val="32"/>
        </w:rPr>
        <w:t>情况</w:t>
      </w:r>
      <w:r>
        <w:rPr>
          <w:rFonts w:hint="eastAsia" w:ascii="仿宋_GB2312" w:hAnsi="仿宋_GB2312" w:eastAsia="仿宋_GB2312" w:cs="仿宋_GB2312"/>
          <w:i w:val="0"/>
          <w:iCs w:val="0"/>
          <w:caps w:val="0"/>
          <w:color w:val="333333"/>
          <w:spacing w:val="0"/>
          <w:sz w:val="32"/>
          <w:szCs w:val="32"/>
          <w:lang w:eastAsia="zh-CN"/>
        </w:rPr>
        <w:t>：预算</w:t>
      </w:r>
      <w:r>
        <w:rPr>
          <w:rFonts w:hint="eastAsia" w:ascii="仿宋_GB2312" w:hAnsi="仿宋_GB2312" w:eastAsia="仿宋_GB2312" w:cs="仿宋_GB2312"/>
          <w:i w:val="0"/>
          <w:iCs w:val="0"/>
          <w:caps w:val="0"/>
          <w:color w:val="333333"/>
          <w:spacing w:val="0"/>
          <w:sz w:val="32"/>
          <w:szCs w:val="32"/>
        </w:rPr>
        <w:t>资金全部来自一般公共预算财政拨款，</w:t>
      </w:r>
    </w:p>
    <w:p>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2022年初预算1261.837万元，年中预算调整6032.999万元，调整后预算7294.836万元，实际支出5771.655万元，预算执行率79.12%。</w:t>
      </w:r>
    </w:p>
    <w:p>
      <w:pPr>
        <w:ind w:firstLine="643" w:firstLineChars="200"/>
        <w:jc w:val="left"/>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2.部门决算中项目绩效自评结果</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p>
    <w:p>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我部门根据年初设定的绩效目标，</w:t>
      </w:r>
      <w:r>
        <w:rPr>
          <w:rFonts w:hint="eastAsia" w:ascii="仿宋_GB2312" w:hAnsi="仿宋_GB2312" w:eastAsia="仿宋_GB2312" w:cs="Times New Roman"/>
          <w:sz w:val="32"/>
          <w:szCs w:val="32"/>
          <w:lang w:val="en-US" w:eastAsia="zh-CN"/>
        </w:rPr>
        <w:t>绩效自评97.91分，其中，指标完成自评90分，预算执行自评7.91分，整体自评结论为一等。2022年度预算绩效自评项目共计22个。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center"/>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lang w:eastAsia="zh-CN"/>
        </w:rPr>
        <w:t>产出指标完成情况分析。</w:t>
      </w:r>
      <w:r>
        <w:rPr>
          <w:rFonts w:hint="eastAsia" w:ascii="仿宋_GB2312" w:hAnsi="仿宋_GB2312" w:eastAsia="仿宋_GB2312" w:cs="Times New Roman"/>
          <w:sz w:val="32"/>
          <w:szCs w:val="32"/>
          <w:lang w:val="en-US" w:eastAsia="zh-CN"/>
        </w:rPr>
        <w:t>2022年初预算1261.837万元，年中预算调整6032.999万元，调整后预算7294.836万元，实际支出5771.655万元，预算执行率79.12%。</w:t>
      </w:r>
      <w:r>
        <w:rPr>
          <w:rFonts w:hint="eastAsia" w:ascii="仿宋_GB2312" w:hAnsi="仿宋_GB2312" w:eastAsia="仿宋_GB2312" w:cs="仿宋_GB2312"/>
          <w:i w:val="0"/>
          <w:iCs w:val="0"/>
          <w:caps w:val="0"/>
          <w:color w:val="333333"/>
          <w:spacing w:val="0"/>
          <w:sz w:val="32"/>
          <w:szCs w:val="32"/>
          <w:lang w:eastAsia="zh-CN"/>
        </w:rPr>
        <w:t>经费支出合规，能按时支付各项款项，确保各项工作顺利开展，推进完成年度目标任务。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效益指标完成情况分析。经济效益</w:t>
      </w:r>
      <w:r>
        <w:rPr>
          <w:rFonts w:hint="eastAsia" w:ascii="仿宋_GB2312" w:hAnsi="仿宋_GB2312" w:eastAsia="仿宋_GB2312" w:cs="仿宋_GB2312"/>
          <w:i w:val="0"/>
          <w:iCs w:val="0"/>
          <w:caps w:val="0"/>
          <w:color w:val="333333"/>
          <w:spacing w:val="0"/>
          <w:sz w:val="32"/>
          <w:szCs w:val="32"/>
          <w:lang w:eastAsia="zh-CN"/>
        </w:rPr>
        <w:t>，各项工作</w:t>
      </w:r>
      <w:r>
        <w:rPr>
          <w:rFonts w:hint="eastAsia" w:ascii="仿宋_GB2312" w:hAnsi="仿宋_GB2312" w:eastAsia="仿宋_GB2312" w:cs="仿宋_GB2312"/>
          <w:i w:val="0"/>
          <w:iCs w:val="0"/>
          <w:caps w:val="0"/>
          <w:color w:val="333333"/>
          <w:spacing w:val="0"/>
          <w:sz w:val="32"/>
          <w:szCs w:val="32"/>
        </w:rPr>
        <w:t>经费保障效果</w:t>
      </w:r>
      <w:r>
        <w:rPr>
          <w:rFonts w:hint="eastAsia" w:ascii="仿宋_GB2312" w:hAnsi="仿宋_GB2312" w:eastAsia="仿宋_GB2312" w:cs="仿宋_GB2312"/>
          <w:i w:val="0"/>
          <w:iCs w:val="0"/>
          <w:caps w:val="0"/>
          <w:color w:val="333333"/>
          <w:spacing w:val="0"/>
          <w:sz w:val="32"/>
          <w:szCs w:val="32"/>
          <w:lang w:eastAsia="zh-CN"/>
        </w:rPr>
        <w:t>显著，推动了业务</w:t>
      </w:r>
      <w:r>
        <w:rPr>
          <w:rFonts w:hint="eastAsia" w:ascii="仿宋_GB2312" w:hAnsi="仿宋_GB2312" w:eastAsia="仿宋_GB2312" w:cs="仿宋_GB2312"/>
          <w:i w:val="0"/>
          <w:iCs w:val="0"/>
          <w:caps w:val="0"/>
          <w:color w:val="333333"/>
          <w:spacing w:val="0"/>
          <w:sz w:val="32"/>
          <w:szCs w:val="32"/>
        </w:rPr>
        <w:t>规范程序</w:t>
      </w:r>
      <w:r>
        <w:rPr>
          <w:rFonts w:hint="eastAsia" w:ascii="仿宋_GB2312" w:hAnsi="仿宋_GB2312" w:eastAsia="仿宋_GB2312" w:cs="仿宋_GB2312"/>
          <w:i w:val="0"/>
          <w:iCs w:val="0"/>
          <w:caps w:val="0"/>
          <w:color w:val="333333"/>
          <w:spacing w:val="0"/>
          <w:sz w:val="32"/>
          <w:szCs w:val="32"/>
          <w:lang w:eastAsia="zh-CN"/>
        </w:rPr>
        <w:t>建设</w:t>
      </w:r>
      <w:r>
        <w:rPr>
          <w:rFonts w:hint="eastAsia" w:ascii="仿宋_GB2312" w:hAnsi="仿宋_GB2312" w:eastAsia="仿宋_GB2312" w:cs="仿宋_GB2312"/>
          <w:i w:val="0"/>
          <w:iCs w:val="0"/>
          <w:caps w:val="0"/>
          <w:color w:val="333333"/>
          <w:spacing w:val="0"/>
          <w:sz w:val="32"/>
          <w:szCs w:val="32"/>
        </w:rPr>
        <w:t>，提高资金使用效率，节约建设资金</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社会效益</w:t>
      </w:r>
      <w:r>
        <w:rPr>
          <w:rFonts w:hint="eastAsia" w:ascii="仿宋_GB2312" w:hAnsi="仿宋_GB2312" w:eastAsia="仿宋_GB2312" w:cs="仿宋_GB2312"/>
          <w:i w:val="0"/>
          <w:iCs w:val="0"/>
          <w:caps w:val="0"/>
          <w:color w:val="333333"/>
          <w:spacing w:val="0"/>
          <w:sz w:val="32"/>
          <w:szCs w:val="32"/>
          <w:lang w:eastAsia="zh-CN"/>
        </w:rPr>
        <w:t>，推进节约型政府建设，政府投资性建设，项目评审环节节约了财政建设资金。</w:t>
      </w:r>
      <w:r>
        <w:rPr>
          <w:rFonts w:hint="eastAsia" w:ascii="仿宋_GB2312" w:hAnsi="仿宋_GB2312" w:eastAsia="仿宋_GB2312" w:cs="仿宋_GB2312"/>
          <w:i w:val="0"/>
          <w:iCs w:val="0"/>
          <w:caps w:val="0"/>
          <w:color w:val="333333"/>
          <w:spacing w:val="0"/>
          <w:sz w:val="32"/>
          <w:szCs w:val="32"/>
        </w:rPr>
        <w:t>生态效益可持续影响都达到预期要求。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（3）</w:t>
      </w:r>
      <w:r>
        <w:rPr>
          <w:rFonts w:hint="eastAsia" w:ascii="仿宋_GB2312" w:hAnsi="仿宋_GB2312" w:eastAsia="仿宋_GB2312" w:cs="仿宋_GB2312"/>
          <w:i w:val="0"/>
          <w:iCs w:val="0"/>
          <w:caps w:val="0"/>
          <w:color w:val="333333"/>
          <w:spacing w:val="0"/>
          <w:sz w:val="32"/>
          <w:szCs w:val="32"/>
        </w:rPr>
        <w:t>满意度指标完成情况分析。服务对象对</w:t>
      </w:r>
      <w:r>
        <w:rPr>
          <w:rFonts w:hint="eastAsia" w:ascii="仿宋_GB2312" w:hAnsi="仿宋_GB2312" w:eastAsia="仿宋_GB2312" w:cs="仿宋_GB2312"/>
          <w:i w:val="0"/>
          <w:iCs w:val="0"/>
          <w:caps w:val="0"/>
          <w:color w:val="333333"/>
          <w:spacing w:val="0"/>
          <w:sz w:val="32"/>
          <w:szCs w:val="32"/>
          <w:lang w:eastAsia="zh-CN"/>
        </w:rPr>
        <w:t>政府</w:t>
      </w:r>
      <w:r>
        <w:rPr>
          <w:rFonts w:hint="eastAsia" w:ascii="仿宋_GB2312" w:hAnsi="仿宋_GB2312" w:eastAsia="仿宋_GB2312" w:cs="仿宋_GB2312"/>
          <w:i w:val="0"/>
          <w:iCs w:val="0"/>
          <w:caps w:val="0"/>
          <w:color w:val="333333"/>
          <w:spacing w:val="0"/>
          <w:sz w:val="32"/>
          <w:szCs w:val="32"/>
        </w:rPr>
        <w:t>工作的满意度达9</w:t>
      </w:r>
      <w:r>
        <w:rPr>
          <w:rFonts w:hint="eastAsia" w:ascii="仿宋_GB2312" w:hAnsi="仿宋_GB2312" w:eastAsia="仿宋_GB2312" w:cs="仿宋_GB2312"/>
          <w:i w:val="0"/>
          <w:iCs w:val="0"/>
          <w:caps w:val="0"/>
          <w:color w:val="333333"/>
          <w:spacing w:val="0"/>
          <w:sz w:val="32"/>
          <w:szCs w:val="32"/>
          <w:lang w:val="en-US" w:eastAsia="zh-CN"/>
        </w:rPr>
        <w:t>0</w:t>
      </w:r>
      <w:r>
        <w:rPr>
          <w:rFonts w:hint="eastAsia" w:ascii="仿宋_GB2312" w:hAnsi="仿宋_GB2312" w:eastAsia="仿宋_GB2312" w:cs="仿宋_GB2312"/>
          <w:i w:val="0"/>
          <w:iCs w:val="0"/>
          <w:caps w:val="0"/>
          <w:color w:val="333333"/>
          <w:spacing w:val="0"/>
          <w:sz w:val="32"/>
          <w:szCs w:val="32"/>
        </w:rPr>
        <w:t>%以上。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发现的主要问题及原因：</w:t>
      </w:r>
      <w:r>
        <w:rPr>
          <w:rFonts w:hint="eastAsia" w:ascii="仿宋_GB2312" w:hAnsi="仿宋_GB2312" w:eastAsia="仿宋_GB2312" w:cs="仿宋_GB2312"/>
          <w:color w:val="auto"/>
          <w:sz w:val="32"/>
          <w:szCs w:val="32"/>
          <w:lang w:val="en-US" w:eastAsia="zh-CN"/>
        </w:rPr>
        <w:t>年初指标设置还不够科学规范。下一步，我们将对照单位年度工作计划合理设置指标，进一步推进项目预算能更好服务政协履职工作，年度预算执行更加规范化。</w:t>
      </w:r>
    </w:p>
    <w:p>
      <w:pPr>
        <w:keepNext w:val="0"/>
        <w:keepLines w:val="0"/>
        <w:widowControl/>
        <w:suppressLineNumbers w:val="0"/>
        <w:jc w:val="left"/>
        <w:rPr>
          <w:rFonts w:hint="eastAsia" w:ascii="仿宋_GB2312" w:hAnsi="仿宋_GB2312" w:eastAsia="仿宋_GB2312" w:cs="仿宋_GB2312"/>
          <w:color w:val="FF0000"/>
          <w:sz w:val="32"/>
          <w:szCs w:val="32"/>
        </w:rPr>
      </w:pPr>
      <w:r>
        <w:rPr>
          <w:rFonts w:ascii="宋体" w:hAnsi="宋体" w:eastAsia="宋体" w:cs="宋体"/>
          <w:kern w:val="0"/>
          <w:sz w:val="24"/>
          <w:szCs w:val="24"/>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0"/>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color w:val="FF0000"/>
          <w:sz w:val="32"/>
          <w:szCs w:val="32"/>
        </w:rPr>
        <w:drawing>
          <wp:inline distT="0" distB="0" distL="114300" distR="114300">
            <wp:extent cx="5271135" cy="6543040"/>
            <wp:effectExtent l="0" t="0" r="5715" b="10160"/>
            <wp:docPr id="5" name="图片 5" descr="9]0SWV{4%28)29{8436%W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0SWV{4%28)29{8436%WES"/>
                    <pic:cNvPicPr>
                      <a:picLocks noChangeAspect="1"/>
                    </pic:cNvPicPr>
                  </pic:nvPicPr>
                  <pic:blipFill>
                    <a:blip r:embed="rId21"/>
                    <a:stretch>
                      <a:fillRect/>
                    </a:stretch>
                  </pic:blipFill>
                  <pic:spPr>
                    <a:xfrm>
                      <a:off x="0" y="0"/>
                      <a:ext cx="5271135" cy="6543040"/>
                    </a:xfrm>
                    <a:prstGeom prst="rect">
                      <a:avLst/>
                    </a:prstGeom>
                  </pic:spPr>
                </pic:pic>
              </a:graphicData>
            </a:graphic>
          </wp:inline>
        </w:drawing>
      </w:r>
      <w:r>
        <w:rPr>
          <w:rFonts w:hint="eastAsia" w:ascii="仿宋_GB2312" w:hAnsi="仿宋_GB2312" w:eastAsia="仿宋_GB2312" w:cs="仿宋_GB2312"/>
          <w:color w:val="FF0000"/>
          <w:sz w:val="32"/>
          <w:szCs w:val="32"/>
        </w:rPr>
        <w:drawing>
          <wp:inline distT="0" distB="0" distL="114300" distR="114300">
            <wp:extent cx="5270500" cy="4033520"/>
            <wp:effectExtent l="0" t="0" r="6350" b="5080"/>
            <wp:docPr id="7" name="图片 7" descr="2HRHIN5WYJDI6[)7O~[2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HRHIN5WYJDI6[)7O~[2L`R"/>
                    <pic:cNvPicPr>
                      <a:picLocks noChangeAspect="1"/>
                    </pic:cNvPicPr>
                  </pic:nvPicPr>
                  <pic:blipFill>
                    <a:blip r:embed="rId22"/>
                    <a:stretch>
                      <a:fillRect/>
                    </a:stretch>
                  </pic:blipFill>
                  <pic:spPr>
                    <a:xfrm>
                      <a:off x="0" y="0"/>
                      <a:ext cx="5270500" cy="4033520"/>
                    </a:xfrm>
                    <a:prstGeom prst="rect">
                      <a:avLst/>
                    </a:prstGeom>
                  </pic:spPr>
                </pic:pic>
              </a:graphicData>
            </a:graphic>
          </wp:inline>
        </w:drawing>
      </w:r>
    </w:p>
    <w:p>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第四部分  名词解释</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一、财政拨款收入：指</w:t>
      </w:r>
      <w:r>
        <w:rPr>
          <w:rFonts w:hint="eastAsia" w:ascii="仿宋_GB2312" w:hAnsi="仿宋_GB2312" w:eastAsia="仿宋_GB2312" w:cs="仿宋_GB2312"/>
          <w:sz w:val="32"/>
          <w:szCs w:val="32"/>
          <w:u w:color="auto"/>
        </w:rPr>
        <w:t>环江毛南族自治县财政部门当年拨付的资金。</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二、事业收入：指事业单位开展专业业务活动及辅助活动所取得的收入。</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三、经营收入：指事业单位在专业业务活动及其辅助活动之外开展非独立核算经营活动取得的收入。</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四、其他收入：指除上述“财政拨款收入”“事业收入”“经营收入”等以外的收入。</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六、年初结转和结余：指以前年度尚未完成、结转到本年 按有关规定继续使用的资金</w:t>
      </w:r>
      <w:r>
        <w:rPr>
          <w:rFonts w:hint="eastAsia" w:ascii="仿宋_GB2312" w:hAnsi="仿宋_GB2312" w:eastAsia="仿宋_GB2312" w:cs="仿宋_GB2312"/>
          <w:sz w:val="32"/>
          <w:szCs w:val="32"/>
          <w:highlight w:val="none"/>
          <w:lang w:eastAsia="zh-CN"/>
        </w:rPr>
        <w:t>。</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九、基本支出：指为保障机构正常运转、完成日常工作任务而发生的人员支出和公用支出。 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十、项目支出：指在基本支出之外为完成特定行政任务和事业发展目标所发生的支出。 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十一、经营支出：指事业单位在专业业务活动及其辅助活动之外开展非独立核算经营活动发生的支出。</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十二、“三公”经费：纳入</w:t>
      </w:r>
      <w:r>
        <w:rPr>
          <w:rFonts w:hint="eastAsia" w:ascii="仿宋_GB2312" w:hAnsi="仿宋_GB2312" w:eastAsia="仿宋_GB2312" w:cs="仿宋_GB2312"/>
          <w:sz w:val="32"/>
          <w:szCs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95FEE"/>
    <w:rsid w:val="003A4973"/>
    <w:rsid w:val="003C1C96"/>
    <w:rsid w:val="003C69F8"/>
    <w:rsid w:val="003E40BA"/>
    <w:rsid w:val="003E7165"/>
    <w:rsid w:val="0041579D"/>
    <w:rsid w:val="00427074"/>
    <w:rsid w:val="00434D04"/>
    <w:rsid w:val="004C4D73"/>
    <w:rsid w:val="004D7D0E"/>
    <w:rsid w:val="005234F5"/>
    <w:rsid w:val="00531745"/>
    <w:rsid w:val="00574196"/>
    <w:rsid w:val="00583020"/>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E3BEC"/>
    <w:rsid w:val="01F77570"/>
    <w:rsid w:val="01FE3350"/>
    <w:rsid w:val="020C171D"/>
    <w:rsid w:val="0216715F"/>
    <w:rsid w:val="02E0291A"/>
    <w:rsid w:val="04E54546"/>
    <w:rsid w:val="0507096B"/>
    <w:rsid w:val="05241B93"/>
    <w:rsid w:val="05631463"/>
    <w:rsid w:val="059454B6"/>
    <w:rsid w:val="05992762"/>
    <w:rsid w:val="05DB36AB"/>
    <w:rsid w:val="066A1827"/>
    <w:rsid w:val="06C64729"/>
    <w:rsid w:val="070F27A4"/>
    <w:rsid w:val="07A11524"/>
    <w:rsid w:val="07B0770E"/>
    <w:rsid w:val="07C531CC"/>
    <w:rsid w:val="08352586"/>
    <w:rsid w:val="087D297A"/>
    <w:rsid w:val="0942143F"/>
    <w:rsid w:val="09FE75F3"/>
    <w:rsid w:val="0A136F96"/>
    <w:rsid w:val="0BCB0E68"/>
    <w:rsid w:val="0BE72997"/>
    <w:rsid w:val="0D100297"/>
    <w:rsid w:val="0D202B45"/>
    <w:rsid w:val="0DCC18B3"/>
    <w:rsid w:val="0E33255C"/>
    <w:rsid w:val="0E4B7C02"/>
    <w:rsid w:val="0E604325"/>
    <w:rsid w:val="0F8D4C87"/>
    <w:rsid w:val="0FA57681"/>
    <w:rsid w:val="0FB87ABA"/>
    <w:rsid w:val="10505FAA"/>
    <w:rsid w:val="105F7E7E"/>
    <w:rsid w:val="109542C4"/>
    <w:rsid w:val="111C4301"/>
    <w:rsid w:val="11E56B5B"/>
    <w:rsid w:val="125C77AB"/>
    <w:rsid w:val="12F02E1F"/>
    <w:rsid w:val="137A2D83"/>
    <w:rsid w:val="142E658A"/>
    <w:rsid w:val="149A53D9"/>
    <w:rsid w:val="14CB726E"/>
    <w:rsid w:val="156328A3"/>
    <w:rsid w:val="15640325"/>
    <w:rsid w:val="15AB651B"/>
    <w:rsid w:val="16301FF7"/>
    <w:rsid w:val="17A440D7"/>
    <w:rsid w:val="17E92249"/>
    <w:rsid w:val="18D304F1"/>
    <w:rsid w:val="19F32577"/>
    <w:rsid w:val="19F45B80"/>
    <w:rsid w:val="1B0C078D"/>
    <w:rsid w:val="1B2B31E2"/>
    <w:rsid w:val="1B4C295A"/>
    <w:rsid w:val="1B973C63"/>
    <w:rsid w:val="1BA1001E"/>
    <w:rsid w:val="1D317259"/>
    <w:rsid w:val="1E664F5B"/>
    <w:rsid w:val="1EA75ED9"/>
    <w:rsid w:val="1EB34BE1"/>
    <w:rsid w:val="1FDA4FD1"/>
    <w:rsid w:val="203A62EF"/>
    <w:rsid w:val="215E639F"/>
    <w:rsid w:val="21893A13"/>
    <w:rsid w:val="21EC3183"/>
    <w:rsid w:val="2233335D"/>
    <w:rsid w:val="225E72CD"/>
    <w:rsid w:val="22A31EF1"/>
    <w:rsid w:val="243E030D"/>
    <w:rsid w:val="246E2F77"/>
    <w:rsid w:val="24D021B3"/>
    <w:rsid w:val="254B4E2B"/>
    <w:rsid w:val="263B17C8"/>
    <w:rsid w:val="27C47FCA"/>
    <w:rsid w:val="283D7C94"/>
    <w:rsid w:val="28BD5FE3"/>
    <w:rsid w:val="28EC32AF"/>
    <w:rsid w:val="28F92530"/>
    <w:rsid w:val="29480E03"/>
    <w:rsid w:val="2983634D"/>
    <w:rsid w:val="29E84CF0"/>
    <w:rsid w:val="2BAC2E33"/>
    <w:rsid w:val="2BB02055"/>
    <w:rsid w:val="2C575A56"/>
    <w:rsid w:val="2CB76337"/>
    <w:rsid w:val="2E267CD1"/>
    <w:rsid w:val="2E280FC9"/>
    <w:rsid w:val="2EF20488"/>
    <w:rsid w:val="2F257714"/>
    <w:rsid w:val="2F3275E5"/>
    <w:rsid w:val="305D17F6"/>
    <w:rsid w:val="30AA08EF"/>
    <w:rsid w:val="30D23D1C"/>
    <w:rsid w:val="31221CF5"/>
    <w:rsid w:val="31400178"/>
    <w:rsid w:val="31622A14"/>
    <w:rsid w:val="321E3342"/>
    <w:rsid w:val="327759C8"/>
    <w:rsid w:val="32BE3907"/>
    <w:rsid w:val="33185FE3"/>
    <w:rsid w:val="332D3A29"/>
    <w:rsid w:val="34BB3BE7"/>
    <w:rsid w:val="34EE2E36"/>
    <w:rsid w:val="35C773D6"/>
    <w:rsid w:val="36777241"/>
    <w:rsid w:val="371E78D5"/>
    <w:rsid w:val="38A951DB"/>
    <w:rsid w:val="38B31605"/>
    <w:rsid w:val="39003F4F"/>
    <w:rsid w:val="39515718"/>
    <w:rsid w:val="399F7A16"/>
    <w:rsid w:val="39A139C2"/>
    <w:rsid w:val="39D46BEB"/>
    <w:rsid w:val="39F95ACD"/>
    <w:rsid w:val="3A070042"/>
    <w:rsid w:val="3BAB4D14"/>
    <w:rsid w:val="3C07002B"/>
    <w:rsid w:val="3C6D68AF"/>
    <w:rsid w:val="3D0D152A"/>
    <w:rsid w:val="3DF62756"/>
    <w:rsid w:val="3E006BD7"/>
    <w:rsid w:val="3EF25354"/>
    <w:rsid w:val="3F1B7587"/>
    <w:rsid w:val="3FE5266D"/>
    <w:rsid w:val="40962182"/>
    <w:rsid w:val="40BE1148"/>
    <w:rsid w:val="415B4202"/>
    <w:rsid w:val="41643AD4"/>
    <w:rsid w:val="41E57B4F"/>
    <w:rsid w:val="42EE6E5E"/>
    <w:rsid w:val="432F26F6"/>
    <w:rsid w:val="43880F63"/>
    <w:rsid w:val="4413593C"/>
    <w:rsid w:val="44166243"/>
    <w:rsid w:val="441C5A6F"/>
    <w:rsid w:val="44C44FCC"/>
    <w:rsid w:val="44CC7369"/>
    <w:rsid w:val="44EA0679"/>
    <w:rsid w:val="453D4124"/>
    <w:rsid w:val="45516648"/>
    <w:rsid w:val="457F5108"/>
    <w:rsid w:val="4627618F"/>
    <w:rsid w:val="46840182"/>
    <w:rsid w:val="46951B6B"/>
    <w:rsid w:val="46FA5CA9"/>
    <w:rsid w:val="47CF1EDB"/>
    <w:rsid w:val="48E66F9D"/>
    <w:rsid w:val="491621F6"/>
    <w:rsid w:val="49870082"/>
    <w:rsid w:val="498A7FB7"/>
    <w:rsid w:val="49A34401"/>
    <w:rsid w:val="4A3E30AB"/>
    <w:rsid w:val="4AC14DAC"/>
    <w:rsid w:val="4B303B6B"/>
    <w:rsid w:val="4C9C37CD"/>
    <w:rsid w:val="4D154C85"/>
    <w:rsid w:val="4D4D0662"/>
    <w:rsid w:val="4D665E71"/>
    <w:rsid w:val="4E140649"/>
    <w:rsid w:val="4EB35ECE"/>
    <w:rsid w:val="50716C05"/>
    <w:rsid w:val="508F4E24"/>
    <w:rsid w:val="51461E90"/>
    <w:rsid w:val="51463753"/>
    <w:rsid w:val="52553A93"/>
    <w:rsid w:val="52716848"/>
    <w:rsid w:val="52877104"/>
    <w:rsid w:val="532219F2"/>
    <w:rsid w:val="53521F8B"/>
    <w:rsid w:val="53E22F47"/>
    <w:rsid w:val="54522FF8"/>
    <w:rsid w:val="55450629"/>
    <w:rsid w:val="56501831"/>
    <w:rsid w:val="56692963"/>
    <w:rsid w:val="568B0F48"/>
    <w:rsid w:val="5786217B"/>
    <w:rsid w:val="58104109"/>
    <w:rsid w:val="59337A15"/>
    <w:rsid w:val="59810274"/>
    <w:rsid w:val="59F66527"/>
    <w:rsid w:val="5A131CE8"/>
    <w:rsid w:val="5AD671E0"/>
    <w:rsid w:val="5B5B3870"/>
    <w:rsid w:val="5BA6536C"/>
    <w:rsid w:val="5CA96A00"/>
    <w:rsid w:val="5CF730BC"/>
    <w:rsid w:val="5D3024F2"/>
    <w:rsid w:val="5DC60467"/>
    <w:rsid w:val="5E5F0DCE"/>
    <w:rsid w:val="5F276DA9"/>
    <w:rsid w:val="5FA40A7B"/>
    <w:rsid w:val="5FAF21C4"/>
    <w:rsid w:val="5FB70224"/>
    <w:rsid w:val="5FD56D29"/>
    <w:rsid w:val="5FE96E67"/>
    <w:rsid w:val="5FEC7F3F"/>
    <w:rsid w:val="60111977"/>
    <w:rsid w:val="604B33D6"/>
    <w:rsid w:val="60EC3212"/>
    <w:rsid w:val="60F74BC3"/>
    <w:rsid w:val="617D3BF8"/>
    <w:rsid w:val="61841F6A"/>
    <w:rsid w:val="61BD2427"/>
    <w:rsid w:val="623007A9"/>
    <w:rsid w:val="62592BD8"/>
    <w:rsid w:val="637D7558"/>
    <w:rsid w:val="644F19AC"/>
    <w:rsid w:val="657B681A"/>
    <w:rsid w:val="657E2C91"/>
    <w:rsid w:val="65AA4920"/>
    <w:rsid w:val="65E31D0B"/>
    <w:rsid w:val="6717752F"/>
    <w:rsid w:val="67694F1E"/>
    <w:rsid w:val="67B870B8"/>
    <w:rsid w:val="69597934"/>
    <w:rsid w:val="6A942CE9"/>
    <w:rsid w:val="6B2111EB"/>
    <w:rsid w:val="6B8B1F7C"/>
    <w:rsid w:val="6B964DDC"/>
    <w:rsid w:val="6C783074"/>
    <w:rsid w:val="6C78592B"/>
    <w:rsid w:val="6C8E6023"/>
    <w:rsid w:val="6D9E65C6"/>
    <w:rsid w:val="6DA81947"/>
    <w:rsid w:val="6EB66DE2"/>
    <w:rsid w:val="6ED3075F"/>
    <w:rsid w:val="6F2A2D4B"/>
    <w:rsid w:val="6F374B04"/>
    <w:rsid w:val="6F8A0C1E"/>
    <w:rsid w:val="703F45D4"/>
    <w:rsid w:val="715D6546"/>
    <w:rsid w:val="71974AEA"/>
    <w:rsid w:val="71BE069E"/>
    <w:rsid w:val="71CF667C"/>
    <w:rsid w:val="71FC2290"/>
    <w:rsid w:val="7334523E"/>
    <w:rsid w:val="73953409"/>
    <w:rsid w:val="73C4767E"/>
    <w:rsid w:val="73E069A3"/>
    <w:rsid w:val="76616386"/>
    <w:rsid w:val="76787B6C"/>
    <w:rsid w:val="76C57C6B"/>
    <w:rsid w:val="76F73CBD"/>
    <w:rsid w:val="775C5BE0"/>
    <w:rsid w:val="77F708C1"/>
    <w:rsid w:val="78104AA8"/>
    <w:rsid w:val="78291AB0"/>
    <w:rsid w:val="78DD2859"/>
    <w:rsid w:val="78E257C5"/>
    <w:rsid w:val="794B35BE"/>
    <w:rsid w:val="7A5101BC"/>
    <w:rsid w:val="7B0A3A31"/>
    <w:rsid w:val="7B3360ED"/>
    <w:rsid w:val="7B8E776C"/>
    <w:rsid w:val="7BC053F6"/>
    <w:rsid w:val="7BDF037E"/>
    <w:rsid w:val="7BF50948"/>
    <w:rsid w:val="7C793044"/>
    <w:rsid w:val="7C7F12D0"/>
    <w:rsid w:val="7CCE35F1"/>
    <w:rsid w:val="7CE66A78"/>
    <w:rsid w:val="7D004222"/>
    <w:rsid w:val="7D23564C"/>
    <w:rsid w:val="7D5E062D"/>
    <w:rsid w:val="7DF76CD8"/>
    <w:rsid w:val="7E233080"/>
    <w:rsid w:val="7F695C26"/>
    <w:rsid w:val="7F7A1433"/>
    <w:rsid w:val="7F942D35"/>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60" w:after="120" w:line="560" w:lineRule="exact"/>
      <w:jc w:val="center"/>
      <w:outlineLvl w:val="0"/>
    </w:pPr>
    <w:rPr>
      <w:rFonts w:eastAsia="方正小标宋简体"/>
      <w:bCs/>
      <w:sz w:val="44"/>
    </w:rPr>
  </w:style>
  <w:style w:type="character" w:styleId="10">
    <w:name w:val="Strong"/>
    <w:basedOn w:val="9"/>
    <w:qFormat/>
    <w:uiPriority w:val="0"/>
    <w:rPr>
      <w:sz w:val="24"/>
      <w:szCs w:val="24"/>
    </w:rPr>
  </w:style>
  <w:style w:type="character" w:styleId="11">
    <w:name w:val="Emphasis"/>
    <w:basedOn w:val="9"/>
    <w:qFormat/>
    <w:uiPriority w:val="0"/>
    <w:rPr>
      <w:i/>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NUL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6882.33</c:v>
                </c:pt>
                <c:pt idx="1">
                  <c:v>8.66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0.94</c:v>
                </c:pt>
                <c:pt idx="5">
                  <c:v>4.09</c:v>
                </c:pt>
                <c:pt idx="6">
                  <c:v>21.65</c:v>
                </c:pt>
                <c:pt idx="7">
                  <c:v>0</c:v>
                </c:pt>
                <c:pt idx="8">
                  <c:v>0</c:v>
                </c:pt>
                <c:pt idx="9">
                  <c:v>0</c:v>
                </c:pt>
                <c:pt idx="10">
                  <c:v>0</c:v>
                </c:pt>
                <c:pt idx="11">
                  <c:v>0.06</c:v>
                </c:pt>
                <c:pt idx="12">
                  <c:v>0</c:v>
                </c:pt>
                <c:pt idx="13">
                  <c:v>0</c:v>
                </c:pt>
                <c:pt idx="14">
                  <c:v>0</c:v>
                </c:pt>
                <c:pt idx="15">
                  <c:v>0</c:v>
                </c:pt>
                <c:pt idx="16">
                  <c:v>0</c:v>
                </c:pt>
                <c:pt idx="17">
                  <c:v>0</c:v>
                </c:pt>
                <c:pt idx="18">
                  <c:v>0</c:v>
                </c:pt>
                <c:pt idx="19">
                  <c:v>0</c:v>
                </c:pt>
                <c:pt idx="20">
                  <c:v>0</c:v>
                </c:pt>
                <c:pt idx="21">
                  <c:v>12.15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11.01</c:v>
                </c:pt>
                <c:pt idx="1">
                  <c:v>0</c:v>
                </c:pt>
                <c:pt idx="2">
                  <c:v>0</c:v>
                </c:pt>
                <c:pt idx="3">
                  <c:v>27.71</c:v>
                </c:pt>
                <c:pt idx="4">
                  <c:v>24.04</c:v>
                </c:pt>
                <c:pt idx="5">
                  <c:v>0</c:v>
                </c:pt>
                <c:pt idx="6">
                  <c:v>0</c:v>
                </c:pt>
                <c:pt idx="7">
                  <c:v>0</c:v>
                </c:pt>
                <c:pt idx="8">
                  <c:v>0</c:v>
                </c:pt>
                <c:pt idx="9">
                  <c:v>0</c:v>
                </c:pt>
                <c:pt idx="10">
                  <c:v>0</c:v>
                </c:pt>
                <c:pt idx="11">
                  <c:v>12.6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Sheet1!$A$2:$A$7</c:f>
              <c:strCache>
                <c:ptCount val="6"/>
                <c:pt idx="0">
                  <c:v>一般公共服务支出</c:v>
                </c:pt>
                <c:pt idx="1">
                  <c:v>公共安全支出</c:v>
                </c:pt>
                <c:pt idx="2">
                  <c:v>社会保障和就业支出</c:v>
                </c:pt>
                <c:pt idx="3">
                  <c:v>农林水支出</c:v>
                </c:pt>
                <c:pt idx="4">
                  <c:v>住房保障支出</c:v>
                </c:pt>
                <c:pt idx="5">
                  <c:v>其他支出</c:v>
                </c:pt>
              </c:strCache>
            </c:strRef>
          </c:cat>
          <c:val>
            <c:numRef>
              <c:f>Sheet1!$B$2:$B$7</c:f>
              <c:numCache>
                <c:formatCode>General</c:formatCode>
                <c:ptCount val="6"/>
                <c:pt idx="0">
                  <c:v>1221.58</c:v>
                </c:pt>
                <c:pt idx="1">
                  <c:v>0</c:v>
                </c:pt>
                <c:pt idx="2">
                  <c:v>102.23</c:v>
                </c:pt>
                <c:pt idx="3">
                  <c:v>0</c:v>
                </c:pt>
                <c:pt idx="4">
                  <c:v>71.86</c:v>
                </c:pt>
                <c:pt idx="5">
                  <c:v>248.65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一般公共服务支出</c:v>
                </c:pt>
                <c:pt idx="1">
                  <c:v>公共安全支出</c:v>
                </c:pt>
                <c:pt idx="2">
                  <c:v>社会保障和就业支出</c:v>
                </c:pt>
                <c:pt idx="3">
                  <c:v>农林水支出</c:v>
                </c:pt>
                <c:pt idx="4">
                  <c:v>住房保障支出</c:v>
                </c:pt>
                <c:pt idx="5">
                  <c:v>其他支出</c:v>
                </c:pt>
              </c:strCache>
            </c:strRef>
          </c:cat>
          <c:val>
            <c:numRef>
              <c:f>Sheet1!$C$2:$C$7</c:f>
              <c:numCache>
                <c:formatCode>General</c:formatCode>
                <c:ptCount val="6"/>
                <c:pt idx="0">
                  <c:v>1437.91</c:v>
                </c:pt>
                <c:pt idx="1">
                  <c:v>0.6</c:v>
                </c:pt>
                <c:pt idx="2">
                  <c:v>103.35</c:v>
                </c:pt>
                <c:pt idx="3">
                  <c:v>5026.01</c:v>
                </c:pt>
                <c:pt idx="4">
                  <c:v>77.71</c:v>
                </c:pt>
                <c:pt idx="5">
                  <c:v>244.51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2010301</c:v>
                </c:pt>
                <c:pt idx="1">
                  <c:v>2010601</c:v>
                </c:pt>
                <c:pt idx="2">
                  <c:v>2010604</c:v>
                </c:pt>
                <c:pt idx="3">
                  <c:v>2010605</c:v>
                </c:pt>
                <c:pt idx="4">
                  <c:v>2010606</c:v>
                </c:pt>
                <c:pt idx="5">
                  <c:v>2010608</c:v>
                </c:pt>
                <c:pt idx="6">
                  <c:v>2010699</c:v>
                </c:pt>
                <c:pt idx="7">
                  <c:v>2012999</c:v>
                </c:pt>
                <c:pt idx="8">
                  <c:v>201x</c:v>
                </c:pt>
              </c:strCache>
            </c:strRef>
          </c:cat>
          <c:val>
            <c:numRef>
              <c:f>Sheet1!$B$2:$B$10</c:f>
              <c:numCache>
                <c:formatCode>General</c:formatCode>
                <c:ptCount val="9"/>
                <c:pt idx="0">
                  <c:v>2.23</c:v>
                </c:pt>
                <c:pt idx="1">
                  <c:v>735</c:v>
                </c:pt>
                <c:pt idx="2">
                  <c:v>10.8</c:v>
                </c:pt>
                <c:pt idx="3">
                  <c:v>36</c:v>
                </c:pt>
                <c:pt idx="4">
                  <c:v>5.2</c:v>
                </c:pt>
                <c:pt idx="5">
                  <c:v>340.37</c:v>
                </c:pt>
                <c:pt idx="6">
                  <c:v>288.4</c:v>
                </c:pt>
                <c:pt idx="7">
                  <c:v>12.15</c:v>
                </c:pt>
                <c:pt idx="8">
                  <c:v>1430.15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公共安全支出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2040201</c:v>
                </c:pt>
                <c:pt idx="1">
                  <c:v>204x</c:v>
                </c:pt>
              </c:strCache>
            </c:strRef>
          </c:cat>
          <c:val>
            <c:numRef>
              <c:f>Sheet1!$B$2:$B$3</c:f>
              <c:numCache>
                <c:formatCode>General</c:formatCode>
                <c:ptCount val="2"/>
                <c:pt idx="0">
                  <c:v>0.6</c:v>
                </c:pt>
                <c:pt idx="1">
                  <c:v>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103.35</c:v>
                </c:pt>
                <c:pt idx="1">
                  <c:v>103.35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2130142</c:v>
                </c:pt>
                <c:pt idx="1">
                  <c:v>2130199</c:v>
                </c:pt>
                <c:pt idx="2">
                  <c:v>2130504</c:v>
                </c:pt>
                <c:pt idx="3">
                  <c:v>2130599</c:v>
                </c:pt>
                <c:pt idx="4">
                  <c:v>2130701</c:v>
                </c:pt>
                <c:pt idx="5">
                  <c:v>2130707</c:v>
                </c:pt>
                <c:pt idx="6">
                  <c:v>2130799</c:v>
                </c:pt>
                <c:pt idx="7">
                  <c:v>2139999</c:v>
                </c:pt>
                <c:pt idx="8">
                  <c:v>213x</c:v>
                </c:pt>
              </c:strCache>
            </c:strRef>
          </c:cat>
          <c:val>
            <c:numRef>
              <c:f>Sheet1!$B$2:$B$10</c:f>
              <c:numCache>
                <c:formatCode>General</c:formatCode>
                <c:ptCount val="9"/>
                <c:pt idx="0">
                  <c:v>451.99</c:v>
                </c:pt>
                <c:pt idx="1">
                  <c:v>7.78</c:v>
                </c:pt>
                <c:pt idx="2">
                  <c:v>2042.24</c:v>
                </c:pt>
                <c:pt idx="3">
                  <c:v>94.31</c:v>
                </c:pt>
                <c:pt idx="4">
                  <c:v>437.94</c:v>
                </c:pt>
                <c:pt idx="5">
                  <c:v>1245.56</c:v>
                </c:pt>
                <c:pt idx="6">
                  <c:v>647.31</c:v>
                </c:pt>
                <c:pt idx="7">
                  <c:v>98.88</c:v>
                </c:pt>
                <c:pt idx="8">
                  <c:v>5026.01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77.71</c:v>
                </c:pt>
                <c:pt idx="1">
                  <c:v>77.71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244.51</c:v>
                </c:pt>
                <c:pt idx="1">
                  <c:v>244.51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276.82</c:v>
                </c:pt>
                <c:pt idx="1">
                  <c:v>189.43</c:v>
                </c:pt>
                <c:pt idx="2">
                  <c:v>323.38</c:v>
                </c:pt>
                <c:pt idx="3">
                  <c:v>0</c:v>
                </c:pt>
                <c:pt idx="4">
                  <c:v>8.77</c:v>
                </c:pt>
                <c:pt idx="5">
                  <c:v>105.06</c:v>
                </c:pt>
                <c:pt idx="6">
                  <c:v>0</c:v>
                </c:pt>
                <c:pt idx="7">
                  <c:v>40.65</c:v>
                </c:pt>
                <c:pt idx="8">
                  <c:v>0</c:v>
                </c:pt>
                <c:pt idx="9">
                  <c:v>10.04</c:v>
                </c:pt>
                <c:pt idx="10">
                  <c:v>78.46</c:v>
                </c:pt>
                <c:pt idx="11">
                  <c:v>0</c:v>
                </c:pt>
                <c:pt idx="12">
                  <c:v>9.96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4</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2023-11-22T10:35:00Z</cp:lastPrinted>
  <dcterms:modified xsi:type="dcterms:W3CDTF">2023-11-29T07:27:39Z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