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环江毛南族自治县审计局2022年度部门决算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环江毛南族自治县审计局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环江毛南族自治县审计局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环江毛南族自治县审计局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环江毛南族自治县审计局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主管全县审计工作。负责对国家财政收支和法律法规规定属于审计监督范围的财政财务收支的真实、合法和效益进行审计监督，维护国家财政经济秩序，提高财政资金使用效益，促进廉政建设，保障国民经济和社会健康发展。</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审计局内设四个机构、一个分局和一个中心，即办公室、综合股、财政金融审计股、行政事业审计股、经济责任分局和政府投资审计中心（二者属单位二层机构）。</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（二）人员构成情况。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人员编制总数为16人，其中行政编制9人，参公编制7人。实有财政供养人数1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人，其中行政在职</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人，参公在职5人，退休人员</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人；编外在职实有人数5人，其中：政府购买人员</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人，外聘人员</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环江毛南族自治县审计局</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广西河池市环江毛南族自治县审计局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338.25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267.95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338.25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338.25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338.25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338.25</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广西河池市环江毛南族自治县审计局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338.25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338.25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审计事务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265.23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265.23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审计业务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审计管理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信息化建设</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2010850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其他审计事务支出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广西河池市环江毛南族自治县审计局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338.25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233.99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104.27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163.68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审计事务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265.23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审计业务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76.48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审计管理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6.31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信息化建设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2010850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2010899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其他审计事务支出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广西河池市环江毛南族自治县审计局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338.25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267.95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267.95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22.73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31.50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31.50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338.25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338.25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338.25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338.25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338.25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338.25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广西河池市环江毛南族自治县审计局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338.25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233.99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104.27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267.95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163.68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审计事务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265.23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2010801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2010804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审计业务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76.48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审计管理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2010806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信息化建设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2010850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2010899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其他审计事务支出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广西河池市环江毛南族自治县审计局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205.62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23.50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广西河池市环江毛南族自治县审计局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广西河池市环江毛南族自治县审计局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广西河池市环江毛南族自治县审计局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1.42</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1.42</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1.42</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1.42</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环江毛南族自治县审计局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338.25</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20.9</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5.82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338.25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338.25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19.95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5.57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主要原因：一是两人退休，工资开支减少；二是</w:t>
      </w:r>
      <w:r>
        <w:rPr>
          <w:rFonts w:hint="eastAsia" w:ascii="仿宋" w:hAnsi="仿宋" w:eastAsia="仿宋" w:cs="仿宋"/>
          <w:color w:val="auto"/>
          <w:kern w:val="2"/>
          <w:sz w:val="32"/>
          <w:szCs w:val="32"/>
          <w:highlight w:val="none"/>
          <w:lang w:val="en-US" w:eastAsia="zh-CN" w:bidi="ar"/>
        </w:rPr>
        <w:t>委托审计项目减少，所需费用也减少。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项目已在本年执行完毕，不需要结转至下年继续执行。</w:t>
      </w: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338.25</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338.25</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20.9</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5.82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一般公共服务支出（201类）267.95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职工工资、办公费用及审计业务经费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3.24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1.19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主要原因是：一是两人退休，工资开支减少；二是</w:t>
      </w:r>
      <w:r>
        <w:rPr>
          <w:rFonts w:hint="eastAsia" w:ascii="仿宋" w:hAnsi="仿宋" w:eastAsia="仿宋" w:cs="仿宋"/>
          <w:color w:val="auto"/>
          <w:kern w:val="2"/>
          <w:sz w:val="32"/>
          <w:szCs w:val="32"/>
          <w:highlight w:val="none"/>
          <w:lang w:val="en-US" w:eastAsia="zh-CN" w:bidi="ar"/>
        </w:rPr>
        <w:t>委托审计项目减少，所需费用也减少。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208类</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rPr>
        <w:t>22.73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w:t>
      </w:r>
      <w:r>
        <w:rPr>
          <w:rFonts w:hint="eastAsia" w:ascii="仿宋" w:hAnsi="仿宋" w:eastAsia="仿宋" w:cs="仿宋"/>
          <w:color w:val="auto"/>
          <w:sz w:val="32"/>
          <w:szCs w:val="32"/>
          <w:highlight w:val="none"/>
          <w:lang w:val="en-US" w:eastAsia="zh-CN"/>
        </w:rPr>
        <w:t>职工社保费用</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增加1.27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增长5.92</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主要原因是：社保基数调增，应缴数额增多。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lang w:eastAsia="zh-CN" w:bidi="ar"/>
        </w:rPr>
        <w:t>（</w:t>
      </w:r>
      <w:r>
        <w:rPr>
          <w:rFonts w:hint="eastAsia" w:ascii="仿宋" w:hAnsi="仿宋" w:eastAsia="仿宋" w:cs="仿宋"/>
          <w:color w:val="auto"/>
          <w:sz w:val="32"/>
          <w:szCs w:val="32"/>
          <w:highlight w:val="none"/>
          <w:lang w:val="en-US" w:eastAsia="zh-CN" w:bidi="ar"/>
        </w:rPr>
        <w:t>221类</w:t>
      </w:r>
      <w:r>
        <w:rPr>
          <w:rFonts w:hint="eastAsia" w:ascii="仿宋" w:hAnsi="仿宋" w:eastAsia="仿宋" w:cs="仿宋"/>
          <w:color w:val="auto"/>
          <w:sz w:val="32"/>
          <w:szCs w:val="32"/>
          <w:highlight w:val="none"/>
          <w:lang w:eastAsia="zh-CN" w:bidi="ar"/>
        </w:rPr>
        <w:t>）</w:t>
      </w:r>
      <w:r>
        <w:rPr>
          <w:rFonts w:hint="eastAsia" w:ascii="仿宋" w:hAnsi="仿宋" w:eastAsia="仿宋" w:cs="仿宋"/>
          <w:color w:val="auto"/>
          <w:sz w:val="32"/>
          <w:szCs w:val="32"/>
          <w:highlight w:val="none"/>
          <w:lang w:val="en-US" w:eastAsia="zh-CN" w:bidi="ar"/>
        </w:rPr>
        <w:t>16.07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缴纳职工住房公积金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0.03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0.19</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主要原因是：缴费基数变化引起的差异。</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4.其他支出（229类）31.5万元：主要用于奖励性补贴发放。较2021年度决算数减少18.91万元，下降37.51%，主要原因是：一是按“过紧日子”要求缩减开支，二是自治县财政资金紧张，部分款项未能支付。</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：本年度无结余分配。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0.00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主要原因是：本年度无</w:t>
      </w: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szCs w:val="32"/>
          <w:highlight w:val="none"/>
          <w:lang w:val="en-US" w:eastAsia="zh-CN"/>
        </w:rPr>
        <w:t>资金</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环江毛南族自治县审计局2022年度一般公共预算财政拨款支出</w:t>
      </w:r>
      <w:r>
        <w:rPr>
          <w:rFonts w:ascii="仿宋" w:hAnsi="仿宋" w:eastAsia="仿宋" w:cs="仿宋"/>
          <w:sz w:val="32"/>
          <w:u w:color="auto"/>
        </w:rPr>
        <w:t>338.25</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减少20.90</w:t>
      </w:r>
      <w:r>
        <w:rPr>
          <w:rFonts w:hint="eastAsia" w:ascii="仿宋" w:hAnsi="仿宋" w:eastAsia="仿宋" w:cs="仿宋"/>
          <w:sz w:val="32"/>
          <w:szCs w:val="32"/>
          <w:highlight w:val="none"/>
        </w:rPr>
        <w:t>万元，</w:t>
      </w:r>
      <w:r>
        <w:rPr>
          <w:rFonts w:ascii="仿宋" w:hAnsi="仿宋" w:eastAsia="仿宋" w:cs="仿宋"/>
          <w:sz w:val="32"/>
          <w:u w:color="auto"/>
        </w:rPr>
        <w:t>下降5.82%</w:t>
      </w:r>
      <w:r>
        <w:rPr>
          <w:rFonts w:hint="eastAsia" w:ascii="仿宋" w:hAnsi="仿宋" w:eastAsia="仿宋" w:cs="仿宋"/>
          <w:sz w:val="32"/>
          <w:szCs w:val="32"/>
          <w:highlight w:val="none"/>
        </w:rPr>
        <w:t>。其中：基本支出</w:t>
      </w:r>
      <w:r>
        <w:rPr>
          <w:rFonts w:ascii="仿宋" w:hAnsi="仿宋" w:eastAsia="仿宋" w:cs="仿宋"/>
          <w:sz w:val="32"/>
          <w:u w:color="auto"/>
        </w:rPr>
        <w:t>233.99</w:t>
      </w:r>
      <w:r>
        <w:rPr>
          <w:rFonts w:hint="eastAsia" w:ascii="仿宋" w:hAnsi="仿宋" w:eastAsia="仿宋" w:cs="仿宋"/>
          <w:sz w:val="32"/>
          <w:szCs w:val="32"/>
          <w:highlight w:val="none"/>
        </w:rPr>
        <w:t>万元，项目支出</w:t>
      </w:r>
      <w:r>
        <w:rPr>
          <w:rFonts w:ascii="仿宋" w:hAnsi="仿宋" w:eastAsia="仿宋" w:cs="仿宋"/>
          <w:sz w:val="32"/>
          <w:u w:color="auto"/>
        </w:rPr>
        <w:t>104.27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环江毛南族自治县审计局2022 年度一般公共预算财政拨款支出年初预算为</w:t>
      </w:r>
      <w:r>
        <w:rPr>
          <w:rFonts w:ascii="仿宋" w:hAnsi="仿宋" w:eastAsia="仿宋" w:cs="仿宋"/>
          <w:sz w:val="32"/>
          <w:u w:color="auto"/>
        </w:rPr>
        <w:t>319.41</w:t>
      </w:r>
      <w:r>
        <w:rPr>
          <w:rFonts w:hint="eastAsia" w:ascii="仿宋" w:hAnsi="仿宋" w:eastAsia="仿宋" w:cs="仿宋"/>
          <w:sz w:val="32"/>
          <w:szCs w:val="32"/>
          <w:highlight w:val="none"/>
        </w:rPr>
        <w:t>万元，支出决算为</w:t>
      </w:r>
      <w:r>
        <w:rPr>
          <w:rFonts w:ascii="仿宋" w:hAnsi="仿宋" w:eastAsia="仿宋" w:cs="仿宋"/>
          <w:sz w:val="32"/>
          <w:u w:color="auto"/>
        </w:rPr>
        <w:t>338.25</w:t>
      </w:r>
      <w:r>
        <w:rPr>
          <w:rFonts w:hint="eastAsia" w:ascii="仿宋" w:hAnsi="仿宋" w:eastAsia="仿宋" w:cs="仿宋"/>
          <w:sz w:val="32"/>
          <w:szCs w:val="32"/>
          <w:highlight w:val="none"/>
        </w:rPr>
        <w:t>万元，完成年初预算的</w:t>
      </w:r>
      <w:r>
        <w:rPr>
          <w:rFonts w:ascii="仿宋" w:hAnsi="仿宋" w:eastAsia="仿宋" w:cs="仿宋"/>
          <w:sz w:val="32"/>
          <w:u w:color="auto"/>
        </w:rPr>
        <w:t>105.90%</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279.84</w:t>
      </w:r>
      <w:r>
        <w:rPr>
          <w:rFonts w:hint="eastAsia" w:ascii="仿宋" w:hAnsi="仿宋" w:eastAsia="仿宋"/>
          <w:sz w:val="32"/>
          <w:szCs w:val="32"/>
          <w:highlight w:val="none"/>
        </w:rPr>
        <w:t>万元，支出决算为</w:t>
      </w:r>
      <w:r>
        <w:rPr>
          <w:rFonts w:ascii="仿宋" w:hAnsi="仿宋" w:eastAsia="仿宋"/>
          <w:sz w:val="32"/>
          <w:szCs w:val="32"/>
          <w:highlight w:val="none"/>
        </w:rPr>
        <w:t>267.95</w:t>
      </w:r>
      <w:r>
        <w:rPr>
          <w:rFonts w:hint="eastAsia" w:ascii="仿宋" w:hAnsi="仿宋" w:eastAsia="仿宋"/>
          <w:sz w:val="32"/>
          <w:szCs w:val="32"/>
          <w:highlight w:val="none"/>
        </w:rPr>
        <w:t>万元，完成年初预算的</w:t>
      </w:r>
      <w:r>
        <w:rPr>
          <w:rFonts w:ascii="仿宋" w:hAnsi="仿宋" w:eastAsia="仿宋"/>
          <w:sz w:val="32"/>
          <w:szCs w:val="32"/>
          <w:highlight w:val="none"/>
        </w:rPr>
        <w:t>95.75%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一是有职工退休，工资支出减少；二是财政资金紧张部分资金暂未支付。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162.68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160.96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职工工资等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职工退休，工资支出减少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2010804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审计业务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90.84%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水电等费用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财政资金紧张部分资金无法支付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2010805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审计管理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98.59%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职工差旅、培训等费用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剩余少量指标无法支付大笔费用，等下年统一支付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2010806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信息化建设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购买电脑、软件维护等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剩余少量指标无法支付大笔费用，等下年统一支付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2010850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聘用保安工资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已按预算数执行，无偏差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2010899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其他审计事务支出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79.61%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用于乡村振兴、及清洁区卫生费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财政资金紧张部分资金无法支付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已按预算数执行，无偏差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279.84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267.95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职工工资、水电费等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u w:val="none"/>
                <w:lang w:val="en-US" w:eastAsia="zh-CN" w:bidi="ar"/>
              </w:rPr>
              <w:t>工资支出减少、财政资金紧张部分资金无法支付等</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23.21</w:t>
      </w:r>
      <w:r>
        <w:rPr>
          <w:rFonts w:hint="eastAsia" w:ascii="仿宋" w:hAnsi="仿宋" w:eastAsia="仿宋"/>
          <w:sz w:val="32"/>
          <w:szCs w:val="32"/>
          <w:highlight w:val="none"/>
        </w:rPr>
        <w:t>万元，支出决算为</w:t>
      </w:r>
      <w:r>
        <w:rPr>
          <w:rFonts w:ascii="仿宋" w:hAnsi="仿宋" w:eastAsia="仿宋"/>
          <w:sz w:val="32"/>
          <w:szCs w:val="32"/>
          <w:highlight w:val="none"/>
        </w:rPr>
        <w:t>22.73</w:t>
      </w:r>
      <w:r>
        <w:rPr>
          <w:rFonts w:hint="eastAsia" w:ascii="仿宋" w:hAnsi="仿宋" w:eastAsia="仿宋"/>
          <w:sz w:val="32"/>
          <w:szCs w:val="32"/>
          <w:highlight w:val="none"/>
        </w:rPr>
        <w:t>万元，完成年初预算的</w:t>
      </w:r>
      <w:r>
        <w:rPr>
          <w:rFonts w:ascii="仿宋" w:hAnsi="仿宋" w:eastAsia="仿宋"/>
          <w:sz w:val="32"/>
          <w:szCs w:val="32"/>
          <w:highlight w:val="none"/>
        </w:rPr>
        <w:t>97.93%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缴费基数有所调整及有职工退休。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22.73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缴费基数有所调整及有职工退休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22.73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缴费基数有所调整及有职工退休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16.36</w:t>
      </w:r>
      <w:r>
        <w:rPr>
          <w:rFonts w:hint="eastAsia" w:ascii="仿宋" w:hAnsi="仿宋" w:eastAsia="仿宋"/>
          <w:sz w:val="32"/>
          <w:szCs w:val="32"/>
          <w:highlight w:val="none"/>
        </w:rPr>
        <w:t>万元，支出决算为</w:t>
      </w:r>
      <w:r>
        <w:rPr>
          <w:rFonts w:ascii="仿宋" w:hAnsi="仿宋" w:eastAsia="仿宋"/>
          <w:sz w:val="32"/>
          <w:szCs w:val="32"/>
          <w:highlight w:val="none"/>
        </w:rPr>
        <w:t>16.07</w:t>
      </w:r>
      <w:r>
        <w:rPr>
          <w:rFonts w:hint="eastAsia" w:ascii="仿宋" w:hAnsi="仿宋" w:eastAsia="仿宋"/>
          <w:sz w:val="32"/>
          <w:szCs w:val="32"/>
          <w:highlight w:val="none"/>
        </w:rPr>
        <w:t>万元，完成年初预算的</w:t>
      </w:r>
      <w:r>
        <w:rPr>
          <w:rFonts w:ascii="仿宋" w:hAnsi="仿宋" w:eastAsia="仿宋"/>
          <w:sz w:val="32"/>
          <w:szCs w:val="32"/>
          <w:highlight w:val="none"/>
        </w:rPr>
        <w:t>98.23%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缴费基数有所调整及有职工退休。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缴纳职工住房公积金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缴费基数有所调整及有职工退休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缴纳职工住房公积金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缴费基数有所调整及有职工退休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48915"/>
            <wp:effectExtent l="4445" t="4445" r="16510"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31.50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预决算无差异。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环江毛南族自治县审计局2022年度一般公共预算财政拨款基本支出</w:t>
      </w:r>
      <w:r>
        <w:rPr>
          <w:rFonts w:ascii="仿宋" w:hAnsi="仿宋" w:eastAsia="仿宋" w:cs="仿宋"/>
          <w:sz w:val="32"/>
          <w:u w:color="auto"/>
        </w:rPr>
        <w:t>233.99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210.49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23.50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205.62万元，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113.87%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奖励性补贴单位年初不做预算，按实际支出调整预算。</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53.77万元，30102津贴补贴30.24万元，30103奖金47.18万元，30106伙食补助费2.50万元，30107绩效工资1.41万元，30108机关事业单位基本养老保险缴费19.74万元，30110职工基本医疗保险缴费8.00万元，30112其他社会保障缴费0.25万元，30113住房公积金16.07万元，30199其他工资福利支出26.46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02585"/>
            <wp:effectExtent l="4445" t="4445" r="16510" b="7620"/>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23.50万元，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110.85%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办公费超预算支出较多。</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30201办公费5.72万元，30205水费0.02万元，30206电费0.21万元，30207邮电费1.87万元，30218专用材料费0.06万元，30228工会经费2.73万元，30239其他交通费用10.43万元，30299其他商品和服务支出2.46万元。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01265"/>
            <wp:effectExtent l="4445" t="4445" r="1651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4.86万元，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151.4%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退休人员增加。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30305生活补助4.86万元。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30475"/>
            <wp:effectExtent l="4445" t="4445" r="16510"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预决算无差异。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预决算无差异。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2097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预决算无差异。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环江毛南族自治县审计局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环江毛南族自治县审计局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1.42</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56.8%</w:t>
      </w:r>
      <w:r>
        <w:rPr>
          <w:rFonts w:hint="eastAsia" w:ascii="仿宋" w:hAnsi="仿宋" w:eastAsia="仿宋" w:cs="仿宋"/>
          <w:sz w:val="32"/>
          <w:szCs w:val="32"/>
          <w:highlight w:val="none"/>
        </w:rPr>
        <w:t>，比上年</w:t>
      </w:r>
      <w:r>
        <w:rPr>
          <w:rFonts w:ascii="仿宋" w:hAnsi="仿宋" w:eastAsia="仿宋" w:cs="仿宋"/>
          <w:sz w:val="32"/>
          <w:szCs w:val="32"/>
          <w:highlight w:val="none"/>
        </w:rPr>
        <w:t>增加1.42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一是疫情影响，只能开展少量接待活动；二是部分接待为上年发生今年才得以支付。</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1.42</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（一）因公出国（境）费支出0.00万元，完成年初预算的0%，比上年增加0.00 万元。主要原因是</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本年度无</w:t>
      </w:r>
      <w:r>
        <w:rPr>
          <w:rFonts w:hint="eastAsia" w:ascii="仿宋" w:hAnsi="仿宋" w:eastAsia="仿宋" w:cs="仿宋"/>
          <w:sz w:val="32"/>
          <w:szCs w:val="32"/>
          <w:highlight w:val="none"/>
        </w:rPr>
        <w:t>因公出国（境）费。</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（二）公务用车购置及运行维护费0.00万元。其中：公务用车购置支出0.00万元，完成年初预算的0%，比上年增加0.00 万元。主要原因是</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本部门无公务用车购置。</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公务用车运行维护支出0.00万元，完成年初预算的0%，比上年增加0.00万元。主要原因是：本部门无公务用车。</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（三）公务接待费支出1.42万元，完成年初预算的56.8%， 比上年增加1.42万元，主要原因是：一是疫情影响，只能开展少量接待活动；二是部分接待为上年发生今年才得以支付。国内公务接待批次13次，人次118次，国（境）外公务接待批次0次，人次0次。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23.50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增加2.3</w:t>
      </w:r>
      <w:r>
        <w:rPr>
          <w:rFonts w:hint="eastAsia" w:ascii="仿宋" w:hAnsi="仿宋" w:eastAsia="仿宋" w:cs="仿宋"/>
          <w:sz w:val="32"/>
          <w:szCs w:val="32"/>
          <w:highlight w:val="none"/>
        </w:rPr>
        <w:t>万元，</w:t>
      </w:r>
      <w:r>
        <w:rPr>
          <w:rFonts w:ascii="仿宋" w:hAnsi="仿宋" w:eastAsia="仿宋" w:cs="仿宋"/>
          <w:sz w:val="32"/>
          <w:szCs w:val="32"/>
          <w:highlight w:val="none"/>
        </w:rPr>
        <w:t>增长10.85%</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减少0.88</w:t>
      </w:r>
      <w:r>
        <w:rPr>
          <w:rFonts w:hint="eastAsia" w:ascii="仿宋" w:hAnsi="仿宋" w:eastAsia="仿宋" w:cs="仿宋"/>
          <w:sz w:val="32"/>
          <w:szCs w:val="32"/>
          <w:highlight w:val="none"/>
        </w:rPr>
        <w:t>万元，</w:t>
      </w:r>
      <w:r>
        <w:rPr>
          <w:rFonts w:ascii="仿宋" w:hAnsi="仿宋" w:eastAsia="仿宋" w:cs="仿宋"/>
          <w:sz w:val="32"/>
          <w:szCs w:val="32"/>
          <w:highlight w:val="none"/>
        </w:rPr>
        <w:t>下降3.61%</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原因是：办公设施设备购置经费增加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比上年决算数减少的主要原因是：培训费和差旅费减少</w:t>
      </w:r>
      <w:r>
        <w:rPr>
          <w:rFonts w:hint="eastAsia" w:ascii="仿宋" w:hAnsi="仿宋" w:eastAsia="仿宋" w:cs="仿宋"/>
          <w:color w:val="auto"/>
          <w:sz w:val="32"/>
          <w:szCs w:val="32"/>
          <w:highlight w:val="none"/>
        </w:rPr>
        <w:t>。</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68.08</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7.79</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60.29</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2022年度一般公共预算项目支出全面开展绩效自评。其中，一等项目8个，二等项目0个，共涉及资金117.98万元，占一般公共预算项目支出总额的34.88%。组织对2022年度0个政府性基金预算项目支出开展绩效自评，共涉及资金0万元，占政府性基金预算项目支出总额的0%。组织对2022年度0个国有资本经营预算项目支出开展绩效自评，共涉及资金0万元，占国有资本经营预算项目支出总额的0%。</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审计管理费”等8个项目进行了部门评价，涉及一般公共预算支出117.98万元，政府性基金预算支出0万元，国有资本经营预算支出0万元。从评价情况来看，各个项目日常管理工作均按照我单位相关管理制度执行,建立了工作有计划、实施有方案、日常有监督的管理机制，资金使用合规、财务监控有效。</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1个部门（单位）开展整体支出绩效评价试点，涉及一般公共预算支出338.25万元，政府性基金预算支出0万元。从评价情况来看，一年来，本部门各股室能认真履行职责，做好统筹协调、各类重要工作文稿起草、重要会议服务、保密、信息、审计业务、后勤服务等工作；工作经费及时落实到位，保证了各项工作的按时、有序开展；审计业务管理和财务管理制度比较健全，并能得到贯彻执行，整体支出绩效评价效果较好，达到了预期目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审计管理费项目自评得分为99.87分。发现的主要问题及原因：编制预算时不够细致导致执行数与预算数不一致。下一步改进措施：一是加强预算管理，更加细化支出项目；二是加强支出监控，及时支付相应款项。其他审计事务支出（政府中心工作）项目自评得分为100分。发现的主要问题及原因：无。下一步改进措施：无。审计业务-委托审计费项目自评得分为99.73分。发现的主要问题及原因：编制预算时不够细致导致执行数与预算数不一致。下一步改进措施：一是加强预算管理，更加细化支出项目；二是加强支出监控，及时支付相应款项。其他审计事务支出（党支部费用）项目自评得分为91.29分。发现的主要问题及原因：未及时支付款项预算执行数过低。下一步改进措施：加强项目跟踪监控，及时支付相应款项。事业运行项目自评得分为100分。发现的主要问题及原因：无。下一步改进措施：无。奖励性补贴项目自评得分为100分。发现的主要问题及原因：无。下一步改进措施：无。信息化建设项目自评得分为98.91分。发现的主要问题及原因：编制预算时不够细致导致执行数与预算数不一致。下一步改进措施：加强项目跟踪监控，及时支付相应款项。审计业务费项目自评得分为99.61分。发现的主要问题及原因：编制预算时不够细致导致执行数与预算数不一致。下一步改进措施：加强项目跟踪监控，及时支付相应款项。</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lang w:eastAsia="zh-CN"/>
        </w:rPr>
      </w:pPr>
      <w:bookmarkStart w:id="5" w:name="_GoBack"/>
      <w:bookmarkEnd w:id="5"/>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N2Q1MzI3YWIxNDZmMGI4YjVjMjkxYTAzYjFjYm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C1318C"/>
    <w:rsid w:val="04E54546"/>
    <w:rsid w:val="053E4653"/>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AF8749C"/>
    <w:rsid w:val="1B0C078D"/>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1F275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6BC30B6"/>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332CE4"/>
    <w:rsid w:val="78E257C5"/>
    <w:rsid w:val="7918348A"/>
    <w:rsid w:val="794B35BE"/>
    <w:rsid w:val="7B0A3A31"/>
    <w:rsid w:val="7B3360ED"/>
    <w:rsid w:val="7BDF037E"/>
    <w:rsid w:val="7BF50948"/>
    <w:rsid w:val="7CE66A78"/>
    <w:rsid w:val="7D23564C"/>
    <w:rsid w:val="7D5E062D"/>
    <w:rsid w:val="7DF76CD8"/>
    <w:rsid w:val="7E466F92"/>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338.25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271.19</c:v>
                </c:pt>
                <c:pt idx="1">
                  <c:v>21.46</c:v>
                </c:pt>
                <c:pt idx="2">
                  <c:v>16.1</c:v>
                </c:pt>
                <c:pt idx="3">
                  <c:v>50.41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267.95</c:v>
                </c:pt>
                <c:pt idx="1">
                  <c:v>22.73</c:v>
                </c:pt>
                <c:pt idx="2">
                  <c:v>16.07</c:v>
                </c:pt>
                <c:pt idx="3">
                  <c:v>31.5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Sheet1!$A$2:$A$9</c:f>
              <c:strCache>
                <c:ptCount val="8"/>
                <c:pt idx="0">
                  <c:v>2010801</c:v>
                </c:pt>
                <c:pt idx="1">
                  <c:v>2010804</c:v>
                </c:pt>
                <c:pt idx="2">
                  <c:v>2010805</c:v>
                </c:pt>
                <c:pt idx="3">
                  <c:v>2010806</c:v>
                </c:pt>
                <c:pt idx="4">
                  <c:v>2010850</c:v>
                </c:pt>
                <c:pt idx="5">
                  <c:v>2010899</c:v>
                </c:pt>
                <c:pt idx="6">
                  <c:v>2012999</c:v>
                </c:pt>
                <c:pt idx="7">
                  <c:v>201x</c:v>
                </c:pt>
              </c:strCache>
            </c:strRef>
          </c:cat>
          <c:val>
            <c:numRef>
              <c:f>Sheet1!$B$2:$B$9</c:f>
              <c:numCache>
                <c:formatCode>General</c:formatCode>
                <c:ptCount val="8"/>
                <c:pt idx="0">
                  <c:v>160.96</c:v>
                </c:pt>
                <c:pt idx="1">
                  <c:v>76.48</c:v>
                </c:pt>
                <c:pt idx="2">
                  <c:v>6.31</c:v>
                </c:pt>
                <c:pt idx="3">
                  <c:v>14.25</c:v>
                </c:pt>
                <c:pt idx="4">
                  <c:v>4.8</c:v>
                </c:pt>
                <c:pt idx="5">
                  <c:v>2.42</c:v>
                </c:pt>
                <c:pt idx="6">
                  <c:v>2.73</c:v>
                </c:pt>
                <c:pt idx="7">
                  <c:v>267.95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22.73</c:v>
                </c:pt>
                <c:pt idx="1">
                  <c:v>22.73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16.07</c:v>
                </c:pt>
                <c:pt idx="1">
                  <c:v>16.07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31.5</c:v>
                </c:pt>
                <c:pt idx="1">
                  <c:v>31.5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53.77</c:v>
                </c:pt>
                <c:pt idx="1">
                  <c:v>30.24</c:v>
                </c:pt>
                <c:pt idx="2">
                  <c:v>47.18</c:v>
                </c:pt>
                <c:pt idx="3">
                  <c:v>2.5</c:v>
                </c:pt>
                <c:pt idx="4">
                  <c:v>1.41</c:v>
                </c:pt>
                <c:pt idx="5">
                  <c:v>19.74</c:v>
                </c:pt>
                <c:pt idx="6">
                  <c:v>0</c:v>
                </c:pt>
                <c:pt idx="7">
                  <c:v>8</c:v>
                </c:pt>
                <c:pt idx="8">
                  <c:v>0</c:v>
                </c:pt>
                <c:pt idx="9">
                  <c:v>0.25</c:v>
                </c:pt>
                <c:pt idx="10">
                  <c:v>16.07</c:v>
                </c:pt>
                <c:pt idx="11">
                  <c:v>0</c:v>
                </c:pt>
                <c:pt idx="12">
                  <c:v>26.46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5.72</c:v>
                </c:pt>
                <c:pt idx="1">
                  <c:v>0</c:v>
                </c:pt>
                <c:pt idx="2">
                  <c:v>0</c:v>
                </c:pt>
                <c:pt idx="3">
                  <c:v>0</c:v>
                </c:pt>
                <c:pt idx="4">
                  <c:v>0.02</c:v>
                </c:pt>
                <c:pt idx="5">
                  <c:v>0.21</c:v>
                </c:pt>
                <c:pt idx="6">
                  <c:v>1.87</c:v>
                </c:pt>
                <c:pt idx="7">
                  <c:v>0</c:v>
                </c:pt>
                <c:pt idx="8">
                  <c:v>0</c:v>
                </c:pt>
                <c:pt idx="9">
                  <c:v>0</c:v>
                </c:pt>
                <c:pt idx="10">
                  <c:v>0</c:v>
                </c:pt>
                <c:pt idx="11">
                  <c:v>0</c:v>
                </c:pt>
                <c:pt idx="12">
                  <c:v>0</c:v>
                </c:pt>
                <c:pt idx="13">
                  <c:v>0</c:v>
                </c:pt>
                <c:pt idx="14">
                  <c:v>0</c:v>
                </c:pt>
                <c:pt idx="15">
                  <c:v>0</c:v>
                </c:pt>
                <c:pt idx="16">
                  <c:v>0.06</c:v>
                </c:pt>
                <c:pt idx="17">
                  <c:v>0</c:v>
                </c:pt>
                <c:pt idx="18">
                  <c:v>0</c:v>
                </c:pt>
                <c:pt idx="19">
                  <c:v>0</c:v>
                </c:pt>
                <c:pt idx="20">
                  <c:v>0</c:v>
                </c:pt>
                <c:pt idx="21">
                  <c:v>2.73</c:v>
                </c:pt>
                <c:pt idx="22">
                  <c:v>0</c:v>
                </c:pt>
                <c:pt idx="23">
                  <c:v>0</c:v>
                </c:pt>
                <c:pt idx="24">
                  <c:v>10.43</c:v>
                </c:pt>
                <c:pt idx="25">
                  <c:v>0</c:v>
                </c:pt>
                <c:pt idx="26">
                  <c:v>2.46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4.86</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4</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2023-11-29T07:33:53Z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