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环江毛南族自治县机关事务服务中心2022年度部门决算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环江毛南族自治县机关事务服务中心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环江毛南族自治县机关事务服务中心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环江毛南族自治县机关事务服务中心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环江毛南族自治县机关事务服务中心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1、贯彻党和国家有关方针政策，研究制定县府机关后勤管理工作的制度和规定，并负责组织实施。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2、负责对县府机关房地产的统一建设、调配、管理及维修、改造经费的申报和安排使用。</w:t>
      </w:r>
    </w:p>
    <w:p>
      <w:pPr>
        <w:spacing w:line="520" w:lineRule="exact"/>
        <w:ind w:firstLine="465"/>
        <w:rPr>
          <w:rFonts w:hint="eastAsia" w:ascii="仿宋_GB2312" w:eastAsia="仿宋_GB2312"/>
          <w:color w:val="000000"/>
          <w:sz w:val="32"/>
          <w:szCs w:val="32"/>
        </w:rPr>
      </w:pPr>
      <w:r>
        <w:rPr>
          <w:rFonts w:hint="eastAsia" w:ascii="仿宋_GB2312" w:hAnsi="宋体" w:eastAsia="仿宋_GB2312" w:cs="宋体"/>
          <w:kern w:val="0"/>
          <w:sz w:val="32"/>
          <w:szCs w:val="32"/>
        </w:rPr>
        <w:t>3、</w:t>
      </w:r>
      <w:r>
        <w:rPr>
          <w:rFonts w:hint="eastAsia" w:ascii="仿宋_GB2312" w:eastAsia="仿宋_GB2312"/>
          <w:color w:val="000000"/>
          <w:sz w:val="32"/>
          <w:szCs w:val="32"/>
        </w:rPr>
        <w:t>负责县级公共机构能源节能管理工作，会同有关部门制定公共机构节能规划、计划、规章制度并组织实施，组织开展能耗统计、检测和监督评价考核工作。</w:t>
      </w:r>
    </w:p>
    <w:p>
      <w:pPr>
        <w:spacing w:line="520" w:lineRule="exact"/>
        <w:ind w:firstLine="465"/>
        <w:rPr>
          <w:rFonts w:hint="eastAsia" w:ascii="仿宋_GB2312" w:hAnsi="宋体" w:eastAsia="仿宋_GB2312" w:cs="宋体"/>
          <w:kern w:val="0"/>
          <w:sz w:val="32"/>
          <w:szCs w:val="32"/>
        </w:rPr>
      </w:pPr>
      <w:r>
        <w:rPr>
          <w:rFonts w:hint="eastAsia" w:ascii="仿宋_GB2312" w:eastAsia="仿宋_GB2312"/>
          <w:color w:val="000000"/>
          <w:sz w:val="32"/>
          <w:szCs w:val="32"/>
        </w:rPr>
        <w:t>4、</w:t>
      </w:r>
      <w:r>
        <w:rPr>
          <w:rFonts w:hint="eastAsia" w:ascii="仿宋_GB2312" w:hAnsi="宋体" w:eastAsia="仿宋_GB2312" w:cs="宋体"/>
          <w:kern w:val="0"/>
          <w:sz w:val="32"/>
          <w:szCs w:val="32"/>
        </w:rPr>
        <w:t>负责县府机关管辖内房改工作的组织实施。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5、负责县府机关内的消防、安全保卫、车辆停放、综合治理的日常管理工作。</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6、负责县府机关的环境卫生管理、绿化美化管理、水电设备管理、行政会议中心的管理工作。</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7、承办县委、县人大、县政府、县政协大型会务的保障工作。</w:t>
      </w:r>
    </w:p>
    <w:p>
      <w:pPr>
        <w:spacing w:line="520" w:lineRule="exact"/>
        <w:ind w:firstLine="465"/>
        <w:rPr>
          <w:rFonts w:hint="eastAsia" w:ascii="仿宋" w:hAnsi="仿宋" w:eastAsia="仿宋" w:cs="仿宋"/>
          <w:color w:val="FF0000"/>
          <w:sz w:val="32"/>
          <w:szCs w:val="32"/>
          <w:lang w:val="en-US" w:eastAsia="zh-CN"/>
        </w:rPr>
      </w:pPr>
      <w:r>
        <w:rPr>
          <w:rFonts w:hint="eastAsia" w:ascii="仿宋_GB2312" w:hAnsi="宋体" w:eastAsia="仿宋_GB2312" w:cs="宋体"/>
          <w:kern w:val="0"/>
          <w:sz w:val="32"/>
          <w:szCs w:val="32"/>
        </w:rPr>
        <w:t>8、承办县委、县政府交办的其他工作。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（一）机构设置情况。</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县机关事务服务中心</w:t>
      </w:r>
      <w:r>
        <w:rPr>
          <w:rFonts w:hint="eastAsia" w:ascii="仿宋_GB2312" w:eastAsia="仿宋_GB2312"/>
          <w:sz w:val="32"/>
          <w:szCs w:val="32"/>
        </w:rPr>
        <w:t>为县政府直属管理的财政全额拨款参照公务员法管理事业单位，赋予行政管理职能，机构规格为正科级，</w:t>
      </w:r>
      <w:r>
        <w:rPr>
          <w:rFonts w:hint="eastAsia" w:ascii="仿宋_GB2312" w:hAnsi="ˎ̥" w:eastAsia="仿宋_GB2312"/>
          <w:sz w:val="32"/>
          <w:szCs w:val="32"/>
        </w:rPr>
        <w:t>内设5个职能股室，即办公室、保卫股、综合股、绿化保洁股、公共机构节能监督管理股。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（二）人员构成情况。</w:t>
      </w:r>
    </w:p>
    <w:p>
      <w:pPr>
        <w:ind w:firstLine="640" w:firstLineChars="200"/>
        <w:jc w:val="left"/>
        <w:rPr>
          <w:rFonts w:hint="eastAsia" w:ascii="方正小标宋简体" w:eastAsia="仿宋_GB2312"/>
          <w:b/>
          <w:sz w:val="44"/>
          <w:szCs w:val="44"/>
          <w:lang w:eastAsia="zh-CN"/>
        </w:rPr>
      </w:pPr>
      <w:r>
        <w:rPr>
          <w:rFonts w:hint="eastAsia" w:ascii="仿宋_GB2312" w:eastAsia="仿宋_GB2312"/>
          <w:sz w:val="32"/>
          <w:szCs w:val="32"/>
        </w:rPr>
        <w:t>人员编制总数为19人。实有财政供养人数</w:t>
      </w:r>
      <w:r>
        <w:rPr>
          <w:rFonts w:hint="eastAsia" w:ascii="仿宋_GB2312" w:eastAsia="仿宋_GB2312"/>
          <w:sz w:val="32"/>
          <w:szCs w:val="32"/>
          <w:lang w:val="en-US" w:eastAsia="zh-CN"/>
        </w:rPr>
        <w:t>80</w:t>
      </w:r>
      <w:r>
        <w:rPr>
          <w:rFonts w:hint="eastAsia" w:ascii="仿宋_GB2312" w:eastAsia="仿宋_GB2312"/>
          <w:sz w:val="32"/>
          <w:szCs w:val="32"/>
        </w:rPr>
        <w:t>人，其中在编在职1</w:t>
      </w:r>
      <w:r>
        <w:rPr>
          <w:rFonts w:hint="eastAsia" w:ascii="仿宋_GB2312" w:eastAsia="仿宋_GB2312"/>
          <w:sz w:val="32"/>
          <w:szCs w:val="32"/>
          <w:lang w:val="en-US" w:eastAsia="zh-CN"/>
        </w:rPr>
        <w:t>6</w:t>
      </w:r>
      <w:r>
        <w:rPr>
          <w:rFonts w:hint="eastAsia" w:ascii="仿宋_GB2312" w:eastAsia="仿宋_GB2312"/>
          <w:sz w:val="32"/>
          <w:szCs w:val="32"/>
        </w:rPr>
        <w:t>人(其中</w:t>
      </w:r>
      <w:r>
        <w:rPr>
          <w:rFonts w:hint="eastAsia" w:ascii="仿宋_GB2312" w:eastAsia="仿宋_GB2312"/>
          <w:sz w:val="32"/>
          <w:szCs w:val="32"/>
          <w:lang w:val="en-US" w:eastAsia="zh-CN"/>
        </w:rPr>
        <w:t>中心主任</w:t>
      </w:r>
      <w:r>
        <w:rPr>
          <w:rFonts w:hint="eastAsia" w:ascii="仿宋_GB2312" w:eastAsia="仿宋_GB2312"/>
          <w:sz w:val="32"/>
          <w:szCs w:val="32"/>
        </w:rPr>
        <w:t>1名，</w:t>
      </w:r>
      <w:r>
        <w:rPr>
          <w:rFonts w:hint="eastAsia" w:ascii="仿宋_GB2312" w:eastAsia="仿宋_GB2312"/>
          <w:sz w:val="32"/>
          <w:szCs w:val="32"/>
          <w:lang w:val="en-US" w:eastAsia="zh-CN"/>
        </w:rPr>
        <w:t>中心副主任</w:t>
      </w:r>
      <w:r>
        <w:rPr>
          <w:rFonts w:hint="eastAsia" w:ascii="仿宋_GB2312" w:eastAsia="仿宋_GB2312"/>
          <w:sz w:val="32"/>
          <w:szCs w:val="32"/>
        </w:rPr>
        <w:t>2名、其他人员1</w:t>
      </w:r>
      <w:r>
        <w:rPr>
          <w:rFonts w:hint="eastAsia" w:ascii="仿宋_GB2312" w:eastAsia="仿宋_GB2312"/>
          <w:sz w:val="32"/>
          <w:szCs w:val="32"/>
          <w:lang w:val="en-US" w:eastAsia="zh-CN"/>
        </w:rPr>
        <w:t>3</w:t>
      </w:r>
      <w:r>
        <w:rPr>
          <w:rFonts w:hint="eastAsia" w:ascii="仿宋_GB2312" w:eastAsia="仿宋_GB2312"/>
          <w:sz w:val="32"/>
          <w:szCs w:val="32"/>
        </w:rPr>
        <w:t>名)、</w:t>
      </w:r>
      <w:r>
        <w:rPr>
          <w:rFonts w:hint="eastAsia" w:ascii="仿宋_GB2312" w:eastAsia="仿宋_GB2312"/>
          <w:sz w:val="32"/>
          <w:szCs w:val="32"/>
          <w:lang w:val="en-US" w:eastAsia="zh-CN"/>
        </w:rPr>
        <w:t>后勤控制数4人、</w:t>
      </w:r>
      <w:r>
        <w:rPr>
          <w:rFonts w:hint="eastAsia" w:ascii="仿宋_GB2312" w:eastAsia="仿宋_GB2312"/>
          <w:sz w:val="32"/>
          <w:szCs w:val="32"/>
        </w:rPr>
        <w:t>政府购买1人，临时聘用人员</w:t>
      </w:r>
      <w:r>
        <w:rPr>
          <w:rFonts w:hint="eastAsia" w:ascii="仿宋_GB2312" w:eastAsia="仿宋_GB2312"/>
          <w:sz w:val="32"/>
          <w:szCs w:val="32"/>
          <w:lang w:val="en-US" w:eastAsia="zh-CN"/>
        </w:rPr>
        <w:t>35</w:t>
      </w:r>
      <w:r>
        <w:rPr>
          <w:rFonts w:hint="eastAsia" w:ascii="仿宋_GB2312" w:eastAsia="仿宋_GB2312"/>
          <w:sz w:val="32"/>
          <w:szCs w:val="32"/>
        </w:rPr>
        <w:t>人，退休人员2</w:t>
      </w:r>
      <w:r>
        <w:rPr>
          <w:rFonts w:hint="eastAsia" w:ascii="仿宋_GB2312" w:eastAsia="仿宋_GB2312"/>
          <w:sz w:val="32"/>
          <w:szCs w:val="32"/>
          <w:lang w:val="en-US" w:eastAsia="zh-CN"/>
        </w:rPr>
        <w:t>4</w:t>
      </w:r>
      <w:r>
        <w:rPr>
          <w:rFonts w:hint="eastAsia" w:ascii="仿宋_GB2312" w:eastAsia="仿宋_GB2312"/>
          <w:sz w:val="32"/>
          <w:szCs w:val="32"/>
        </w:rPr>
        <w:t>人</w:t>
      </w:r>
      <w:r>
        <w:rPr>
          <w:rFonts w:hint="eastAsia" w:ascii="仿宋_GB2312" w:eastAsia="仿宋_GB2312"/>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环江毛南族自治县机关事务服务中心</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1066.92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1066.92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1066.92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459.48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607.43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607.43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326.04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607.43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936.29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1066.92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1066.92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1066.92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1066.92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607.43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607.43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933.47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326.04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607.43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531.13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302.57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304.87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6.56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lang w:val="en-US"/>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广西河池市环江毛南族自治县机关事务服务中心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246.24</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244.46</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244.46</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1.78</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246.00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244.46</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244.46</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1.54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环江毛南族自治县机关事务服务中心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1066.92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减少521.46</w:t>
      </w:r>
      <w:r>
        <w:rPr>
          <w:rFonts w:hint="eastAsia" w:ascii="仿宋" w:hAnsi="仿宋" w:eastAsia="仿宋" w:cs="仿宋"/>
          <w:sz w:val="32"/>
          <w:szCs w:val="32"/>
          <w:highlight w:val="none"/>
        </w:rPr>
        <w:t>万元，</w:t>
      </w:r>
      <w:r>
        <w:rPr>
          <w:rFonts w:ascii="仿宋" w:hAnsi="仿宋" w:eastAsia="仿宋" w:cs="仿宋"/>
          <w:sz w:val="32"/>
          <w:u w:color="auto"/>
        </w:rPr>
        <w:t>下降32.83%</w:t>
      </w:r>
      <w:r>
        <w:rPr>
          <w:rFonts w:hint="eastAsia" w:ascii="仿宋" w:hAnsi="仿宋" w:eastAsia="仿宋" w:cs="仿宋"/>
          <w:sz w:val="32"/>
          <w:szCs w:val="32"/>
          <w:highlight w:val="none"/>
        </w:rPr>
        <w:t>，其中本年收入</w:t>
      </w:r>
      <w:r>
        <w:rPr>
          <w:rFonts w:ascii="仿宋" w:hAnsi="仿宋" w:eastAsia="仿宋" w:cs="仿宋"/>
          <w:sz w:val="32"/>
          <w:u w:color="auto"/>
        </w:rPr>
        <w:t>1066.92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1066.92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减少520.90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下降32.81%</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本年度我单位没有政府性基金预算财政拨款收入。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本年度我单位没有国有资本经营预算财政拨款收入。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减少0.55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4861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1066.92</w:t>
      </w:r>
      <w:r>
        <w:rPr>
          <w:rFonts w:hint="eastAsia" w:ascii="仿宋" w:hAnsi="仿宋" w:eastAsia="仿宋" w:cs="仿宋"/>
          <w:sz w:val="32"/>
          <w:szCs w:val="32"/>
          <w:highlight w:val="none"/>
        </w:rPr>
        <w:t>万元，其中本年支出</w:t>
      </w:r>
      <w:r>
        <w:rPr>
          <w:rFonts w:ascii="仿宋" w:hAnsi="仿宋" w:eastAsia="仿宋" w:cs="仿宋"/>
          <w:sz w:val="32"/>
          <w:u w:color="auto"/>
        </w:rPr>
        <w:t>1066.92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减少521.46</w:t>
      </w:r>
      <w:r>
        <w:rPr>
          <w:rFonts w:hint="eastAsia" w:ascii="仿宋" w:hAnsi="仿宋" w:eastAsia="仿宋" w:cs="仿宋"/>
          <w:sz w:val="32"/>
          <w:szCs w:val="32"/>
          <w:highlight w:val="none"/>
        </w:rPr>
        <w:t>万元，</w:t>
      </w:r>
      <w:r>
        <w:rPr>
          <w:rFonts w:ascii="仿宋" w:hAnsi="仿宋" w:eastAsia="仿宋" w:cs="仿宋"/>
          <w:sz w:val="32"/>
          <w:u w:color="auto"/>
        </w:rPr>
        <w:t>下降32.83%</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936.29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sz w:val="32"/>
          <w:szCs w:val="32"/>
        </w:rPr>
        <w:t>主要用于本部门为保证日常运转发生的基本支出和为完成各项工作任务、保障</w:t>
      </w:r>
      <w:r>
        <w:rPr>
          <w:rFonts w:hint="eastAsia" w:ascii="仿宋" w:hAnsi="仿宋" w:eastAsia="仿宋" w:cs="仿宋_GB2312"/>
          <w:kern w:val="0"/>
          <w:sz w:val="32"/>
          <w:szCs w:val="32"/>
        </w:rPr>
        <w:t>单位事业</w:t>
      </w:r>
      <w:r>
        <w:rPr>
          <w:rFonts w:hint="eastAsia" w:ascii="仿宋" w:hAnsi="仿宋" w:eastAsia="仿宋"/>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减少535.29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下降36.38%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项目支出减少。</w:t>
      </w:r>
    </w:p>
    <w:p>
      <w:pPr>
        <w:autoSpaceDE w:val="0"/>
        <w:autoSpaceDN w:val="0"/>
        <w:adjustRightInd w:val="0"/>
        <w:spacing w:line="560" w:lineRule="exact"/>
        <w:ind w:firstLine="627" w:firstLineChars="196"/>
        <w:jc w:val="left"/>
        <w:rPr>
          <w:rFonts w:hint="eastAsia" w:ascii="仿宋" w:hAnsi="仿宋" w:eastAsia="仿宋" w:cs="仿宋"/>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_GB2312"/>
          <w:kern w:val="0"/>
          <w:sz w:val="32"/>
          <w:szCs w:val="32"/>
        </w:rPr>
        <w:t>按照国家政策规定</w:t>
      </w:r>
      <w:r>
        <w:rPr>
          <w:rFonts w:hint="eastAsia" w:ascii="仿宋" w:hAnsi="仿宋" w:eastAsia="仿宋" w:cs="仿宋_GB2312"/>
          <w:kern w:val="0"/>
          <w:sz w:val="32"/>
          <w:szCs w:val="32"/>
          <w:lang w:val="en-US" w:eastAsia="zh-CN"/>
        </w:rPr>
        <w:t>为职工缴纳的基本养老保险缴费</w:t>
      </w:r>
      <w:r>
        <w:rPr>
          <w:rFonts w:hint="eastAsia" w:ascii="仿宋" w:hAnsi="仿宋" w:eastAsia="仿宋" w:cs="仿宋_GB2312"/>
          <w:spacing w:val="-3"/>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增长122.29%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主要原因</w:t>
      </w:r>
      <w:r>
        <w:rPr>
          <w:rFonts w:hint="eastAsia" w:ascii="仿宋" w:hAnsi="仿宋" w:eastAsia="仿宋" w:cs="仿宋"/>
          <w:kern w:val="0"/>
          <w:sz w:val="32"/>
          <w:szCs w:val="32"/>
          <w:lang w:val="en-US" w:eastAsia="zh-CN"/>
        </w:rPr>
        <w:t>是人员调入及聘用人员养老保险基数的增高。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p>
    <w:p>
      <w:pPr>
        <w:autoSpaceDE w:val="0"/>
        <w:autoSpaceDN w:val="0"/>
        <w:adjustRightInd w:val="0"/>
        <w:spacing w:line="60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31.30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_GB2312"/>
          <w:kern w:val="0"/>
          <w:sz w:val="32"/>
          <w:szCs w:val="32"/>
        </w:rPr>
        <w:t>按照国家政策规定向职工发放的住房公积金、提租补贴、购房补贴等住房改革方</w:t>
      </w:r>
      <w:r>
        <w:rPr>
          <w:rFonts w:hint="eastAsia" w:ascii="仿宋" w:hAnsi="仿宋" w:eastAsia="仿宋" w:cs="仿宋_GB2312"/>
          <w:spacing w:val="-3"/>
          <w:kern w:val="0"/>
          <w:sz w:val="32"/>
          <w:szCs w:val="32"/>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增长11.99%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主要原因是</w:t>
      </w:r>
      <w:r>
        <w:rPr>
          <w:rFonts w:hint="eastAsia" w:ascii="仿宋" w:hAnsi="仿宋" w:eastAsia="仿宋" w:cs="仿宋"/>
          <w:kern w:val="0"/>
          <w:sz w:val="32"/>
          <w:szCs w:val="32"/>
          <w:lang w:val="en-US" w:eastAsia="zh-CN"/>
        </w:rPr>
        <w:t>在职人员增加2人，导致住房公积金的增加。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年度绩效考评支出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减少17.01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下降25.63%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本年度绩效考评支出减少及疫情防控经费支出减少。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我单位无此项经费收入。</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我单位资金无结余。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环江毛南族自治县机关事务服务中心2022年度一般公共预算财政拨款支出</w:t>
      </w:r>
      <w:r>
        <w:rPr>
          <w:rFonts w:ascii="仿宋" w:hAnsi="仿宋" w:eastAsia="仿宋" w:cs="仿宋"/>
          <w:sz w:val="32"/>
          <w:u w:color="auto"/>
        </w:rPr>
        <w:t>1066.92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减少521.46</w:t>
      </w:r>
      <w:r>
        <w:rPr>
          <w:rFonts w:hint="eastAsia" w:ascii="仿宋" w:hAnsi="仿宋" w:eastAsia="仿宋" w:cs="仿宋"/>
          <w:sz w:val="32"/>
          <w:szCs w:val="32"/>
          <w:highlight w:val="none"/>
        </w:rPr>
        <w:t>万元，</w:t>
      </w:r>
      <w:r>
        <w:rPr>
          <w:rFonts w:ascii="仿宋" w:hAnsi="仿宋" w:eastAsia="仿宋" w:cs="仿宋"/>
          <w:sz w:val="32"/>
          <w:u w:color="auto"/>
        </w:rPr>
        <w:t>下降32.83%</w:t>
      </w:r>
      <w:r>
        <w:rPr>
          <w:rFonts w:hint="eastAsia" w:ascii="仿宋" w:hAnsi="仿宋" w:eastAsia="仿宋" w:cs="仿宋"/>
          <w:sz w:val="32"/>
          <w:szCs w:val="32"/>
          <w:highlight w:val="none"/>
        </w:rPr>
        <w:t>。其中：基本支出</w:t>
      </w:r>
      <w:r>
        <w:rPr>
          <w:rFonts w:ascii="仿宋" w:hAnsi="仿宋" w:eastAsia="仿宋" w:cs="仿宋"/>
          <w:sz w:val="32"/>
          <w:u w:color="auto"/>
        </w:rPr>
        <w:t>459.48</w:t>
      </w:r>
      <w:r>
        <w:rPr>
          <w:rFonts w:hint="eastAsia" w:ascii="仿宋" w:hAnsi="仿宋" w:eastAsia="仿宋" w:cs="仿宋"/>
          <w:sz w:val="32"/>
          <w:szCs w:val="32"/>
          <w:highlight w:val="none"/>
        </w:rPr>
        <w:t>万元，项目支出</w:t>
      </w:r>
      <w:r>
        <w:rPr>
          <w:rFonts w:ascii="仿宋" w:hAnsi="仿宋" w:eastAsia="仿宋" w:cs="仿宋"/>
          <w:sz w:val="32"/>
          <w:u w:color="auto"/>
        </w:rPr>
        <w:t>607.43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环江毛南族自治县机关事务服务中心2022 年度一般公共预算财政拨款支出年初预算为</w:t>
      </w:r>
      <w:r>
        <w:rPr>
          <w:rFonts w:ascii="仿宋" w:hAnsi="仿宋" w:eastAsia="仿宋" w:cs="仿宋"/>
          <w:sz w:val="32"/>
          <w:u w:color="auto"/>
        </w:rPr>
        <w:t>666.72</w:t>
      </w:r>
      <w:r>
        <w:rPr>
          <w:rFonts w:hint="eastAsia" w:ascii="仿宋" w:hAnsi="仿宋" w:eastAsia="仿宋" w:cs="仿宋"/>
          <w:sz w:val="32"/>
          <w:szCs w:val="32"/>
          <w:highlight w:val="none"/>
        </w:rPr>
        <w:t>万元，支出决算为</w:t>
      </w:r>
      <w:r>
        <w:rPr>
          <w:rFonts w:ascii="仿宋" w:hAnsi="仿宋" w:eastAsia="仿宋" w:cs="仿宋"/>
          <w:sz w:val="32"/>
          <w:u w:color="auto"/>
        </w:rPr>
        <w:t>1066.92</w:t>
      </w:r>
      <w:r>
        <w:rPr>
          <w:rFonts w:hint="eastAsia" w:ascii="仿宋" w:hAnsi="仿宋" w:eastAsia="仿宋" w:cs="仿宋"/>
          <w:sz w:val="32"/>
          <w:szCs w:val="32"/>
          <w:highlight w:val="none"/>
        </w:rPr>
        <w:t>万元，完成年初预算的</w:t>
      </w:r>
      <w:r>
        <w:rPr>
          <w:rFonts w:ascii="仿宋" w:hAnsi="仿宋" w:eastAsia="仿宋" w:cs="仿宋"/>
          <w:sz w:val="32"/>
          <w:u w:color="auto"/>
        </w:rPr>
        <w:t>160.03%</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594.53</w:t>
      </w:r>
      <w:r>
        <w:rPr>
          <w:rFonts w:hint="eastAsia" w:ascii="仿宋" w:hAnsi="仿宋" w:eastAsia="仿宋"/>
          <w:sz w:val="32"/>
          <w:szCs w:val="32"/>
          <w:highlight w:val="none"/>
        </w:rPr>
        <w:t>万元，支出决算为</w:t>
      </w:r>
      <w:r>
        <w:rPr>
          <w:rFonts w:ascii="仿宋" w:hAnsi="仿宋" w:eastAsia="仿宋"/>
          <w:sz w:val="32"/>
          <w:szCs w:val="32"/>
          <w:highlight w:val="none"/>
        </w:rPr>
        <w:t>936.29</w:t>
      </w:r>
      <w:r>
        <w:rPr>
          <w:rFonts w:hint="eastAsia" w:ascii="仿宋" w:hAnsi="仿宋" w:eastAsia="仿宋"/>
          <w:sz w:val="32"/>
          <w:szCs w:val="32"/>
          <w:highlight w:val="none"/>
        </w:rPr>
        <w:t>万元，完成年初预算的</w:t>
      </w:r>
      <w:r>
        <w:rPr>
          <w:rFonts w:ascii="仿宋" w:hAnsi="仿宋" w:eastAsia="仿宋"/>
          <w:sz w:val="32"/>
          <w:szCs w:val="32"/>
          <w:highlight w:val="none"/>
        </w:rPr>
        <w:t>157.48%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人员增加及</w:t>
      </w:r>
      <w:r>
        <w:rPr>
          <w:rFonts w:hint="eastAsia" w:ascii="仿宋" w:hAnsi="仿宋" w:eastAsia="仿宋" w:cs="仿宋"/>
          <w:color w:val="auto"/>
          <w:kern w:val="2"/>
          <w:sz w:val="32"/>
          <w:szCs w:val="32"/>
          <w:highlight w:val="none"/>
          <w:lang w:val="en-US" w:eastAsia="zh-CN" w:bidi="ar"/>
        </w:rPr>
        <w:t>项目经费的增加。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336.94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531.13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157.63%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rPr>
              <w:t>主要用于本部门为保证日常运转发生的基本支出，如根据国家及自治区规定</w:t>
            </w:r>
            <w:r>
              <w:rPr>
                <w:rFonts w:hint="eastAsia" w:ascii="仿宋" w:hAnsi="仿宋" w:eastAsia="仿宋" w:cs="仿宋"/>
                <w:bCs/>
                <w:spacing w:val="-3"/>
                <w:kern w:val="0"/>
                <w:sz w:val="24"/>
                <w:szCs w:val="24"/>
              </w:rPr>
              <w:t>的基本工资和津补贴标准等安排的人员经费支出和日常公用经</w:t>
            </w:r>
            <w:r>
              <w:rPr>
                <w:rFonts w:hint="eastAsia" w:ascii="仿宋" w:hAnsi="仿宋" w:eastAsia="仿宋" w:cs="仿宋"/>
                <w:bCs/>
                <w:kern w:val="0"/>
                <w:sz w:val="24"/>
                <w:szCs w:val="24"/>
              </w:rPr>
              <w:t>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由于人员的增加导致人员经费增加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254.77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lang w:val="en-US" w:eastAsia="zh-CN"/>
              </w:rPr>
              <w:t>主要是用于保障政府大院正常运行项目支出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项目经费增加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594.53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936.29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51.45</w:t>
      </w:r>
      <w:r>
        <w:rPr>
          <w:rFonts w:hint="eastAsia" w:ascii="仿宋" w:hAnsi="仿宋" w:eastAsia="仿宋"/>
          <w:sz w:val="32"/>
          <w:szCs w:val="32"/>
          <w:highlight w:val="none"/>
        </w:rPr>
        <w:t>万元，支出决算为</w:t>
      </w:r>
      <w:r>
        <w:rPr>
          <w:rFonts w:ascii="仿宋" w:hAnsi="仿宋" w:eastAsia="仿宋"/>
          <w:sz w:val="32"/>
          <w:szCs w:val="32"/>
          <w:highlight w:val="none"/>
        </w:rPr>
        <w:t>49.97</w:t>
      </w:r>
      <w:r>
        <w:rPr>
          <w:rFonts w:hint="eastAsia" w:ascii="仿宋" w:hAnsi="仿宋" w:eastAsia="仿宋"/>
          <w:sz w:val="32"/>
          <w:szCs w:val="32"/>
          <w:highlight w:val="none"/>
        </w:rPr>
        <w:t>万元，完成年初预算的</w:t>
      </w:r>
      <w:r>
        <w:rPr>
          <w:rFonts w:ascii="仿宋" w:hAnsi="仿宋" w:eastAsia="仿宋"/>
          <w:sz w:val="32"/>
          <w:szCs w:val="32"/>
          <w:highlight w:val="none"/>
        </w:rPr>
        <w:t>97.12%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Cs/>
          <w:kern w:val="0"/>
          <w:sz w:val="32"/>
          <w:szCs w:val="32"/>
          <w:highlight w:val="none"/>
        </w:rPr>
        <w:t>要用于本部门所属事业单位按规定的比例计缴的</w:t>
      </w:r>
      <w:r>
        <w:rPr>
          <w:rFonts w:hint="eastAsia" w:ascii="仿宋_GB2312" w:hAnsi="仿宋_GB2312" w:eastAsia="仿宋_GB2312" w:cs="仿宋_GB2312"/>
          <w:bCs/>
          <w:kern w:val="0"/>
          <w:sz w:val="32"/>
          <w:szCs w:val="32"/>
          <w:highlight w:val="none"/>
          <w:lang w:val="en-US" w:eastAsia="zh-CN"/>
        </w:rPr>
        <w:t>社会</w:t>
      </w:r>
      <w:r>
        <w:rPr>
          <w:rFonts w:hint="eastAsia" w:ascii="仿宋_GB2312" w:hAnsi="仿宋_GB2312" w:eastAsia="仿宋_GB2312" w:cs="仿宋_GB2312"/>
          <w:bCs/>
          <w:kern w:val="0"/>
          <w:sz w:val="32"/>
          <w:szCs w:val="32"/>
          <w:highlight w:val="none"/>
        </w:rPr>
        <w:t>保险</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本年度有人员变动。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bCs/>
                <w:kern w:val="0"/>
                <w:sz w:val="24"/>
                <w:szCs w:val="24"/>
                <w:highlight w:val="none"/>
              </w:rPr>
              <w:t>本部门所属事业单位按规定的比例计缴的</w:t>
            </w:r>
            <w:r>
              <w:rPr>
                <w:rFonts w:hint="eastAsia" w:ascii="仿宋_GB2312" w:hAnsi="仿宋_GB2312" w:eastAsia="仿宋_GB2312" w:cs="仿宋_GB2312"/>
                <w:bCs/>
                <w:kern w:val="0"/>
                <w:sz w:val="24"/>
                <w:szCs w:val="24"/>
                <w:highlight w:val="none"/>
                <w:lang w:val="en-US" w:eastAsia="zh-CN"/>
              </w:rPr>
              <w:t>社会</w:t>
            </w:r>
            <w:r>
              <w:rPr>
                <w:rFonts w:hint="eastAsia" w:ascii="仿宋_GB2312" w:hAnsi="仿宋_GB2312" w:eastAsia="仿宋_GB2312" w:cs="仿宋_GB2312"/>
                <w:bCs/>
                <w:kern w:val="0"/>
                <w:sz w:val="24"/>
                <w:szCs w:val="24"/>
                <w:highlight w:val="none"/>
              </w:rPr>
              <w:t>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20.74</w:t>
      </w:r>
      <w:r>
        <w:rPr>
          <w:rFonts w:hint="eastAsia" w:ascii="仿宋" w:hAnsi="仿宋" w:eastAsia="仿宋"/>
          <w:sz w:val="32"/>
          <w:szCs w:val="32"/>
          <w:highlight w:val="none"/>
        </w:rPr>
        <w:t>万元，支出决算为</w:t>
      </w:r>
      <w:r>
        <w:rPr>
          <w:rFonts w:ascii="仿宋" w:hAnsi="仿宋" w:eastAsia="仿宋"/>
          <w:sz w:val="32"/>
          <w:szCs w:val="32"/>
          <w:highlight w:val="none"/>
        </w:rPr>
        <w:t>31.30</w:t>
      </w:r>
      <w:r>
        <w:rPr>
          <w:rFonts w:hint="eastAsia" w:ascii="仿宋" w:hAnsi="仿宋" w:eastAsia="仿宋"/>
          <w:sz w:val="32"/>
          <w:szCs w:val="32"/>
          <w:highlight w:val="none"/>
        </w:rPr>
        <w:t>万元，完成年初预算的</w:t>
      </w:r>
      <w:r>
        <w:rPr>
          <w:rFonts w:ascii="仿宋" w:hAnsi="仿宋" w:eastAsia="仿宋"/>
          <w:sz w:val="32"/>
          <w:szCs w:val="32"/>
          <w:highlight w:val="none"/>
        </w:rPr>
        <w:t>150.92%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聘用人员住房公积金增加。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rPr>
              <w:t>本部门及所属事业单位按规定的比例计缴的住房公积金</w:t>
            </w:r>
            <w:r>
              <w:rPr>
                <w:rFonts w:hint="eastAsia" w:ascii="仿宋" w:hAnsi="仿宋" w:eastAsia="仿宋" w:cs="仿宋"/>
                <w:bCs/>
                <w:kern w:val="0"/>
                <w:sz w:val="32"/>
                <w:szCs w:val="32"/>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聘用人员住房公积金的增加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49.35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14:textFill>
            <w14:solidFill>
              <w14:schemeClr w14:val="tx1"/>
            </w14:solidFill>
          </w14:textFill>
        </w:rPr>
        <w:t>绩效考评奖的支出年初未列入预算，主要用于绩效考评奖的支出。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绩效考评奖支出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环江毛南族自治县机关事务服务中心2022年度一般公共预算财政拨款基本支出</w:t>
      </w:r>
      <w:r>
        <w:rPr>
          <w:rFonts w:ascii="仿宋" w:hAnsi="仿宋" w:eastAsia="仿宋" w:cs="仿宋"/>
          <w:sz w:val="32"/>
          <w:u w:color="auto"/>
        </w:rPr>
        <w:t>459.48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452.93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ascii="仿宋" w:hAnsi="仿宋" w:eastAsia="仿宋" w:cs="仿宋"/>
          <w:sz w:val="32"/>
          <w:u w:color="auto"/>
        </w:rPr>
        <w:t>390.93万元，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125.37%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聘用人员工资增加及社保及公积金基数提高。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71.14万元，30102津贴补贴36.27万元，30103奖金76.02万元，30106伙食补助费3.80万元，30108机关事业单位基本养老保险缴费47.65万元，30110职工基本医疗保险缴费21.69万元，30112其他社会保障缴费1.10万元，30113住房公积金31.30万元，30199其他工资福利支出101.96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78150"/>
            <wp:effectExtent l="4445" t="4445" r="16510" b="825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6.56万元，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3.85%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公务用车运行维护费年初预算列入商品和服务支出，决算列入项目支出。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30201办公费1.52万元，30207邮电费2.12万元，30209物业管理费0.11万元，30228工会经费2.82万元。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ascii="仿宋" w:hAnsi="仿宋" w:eastAsia="仿宋" w:cs="仿宋"/>
          <w:sz w:val="32"/>
          <w:u w:color="auto"/>
        </w:rPr>
        <w:t>61.99万元，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354.23%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本年度有两位退休人员过世，导致抚恤金增多。</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30304抚恤金44.70万元，30305生活补助17.18万元，30309奖励金0.10万元，30399其他对个人和家庭的补助0.02万元。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875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280"/>
            <wp:effectExtent l="4445" t="4445" r="16510" b="952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5846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环江毛南族自治县机关事务服务中心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环江毛南族自治县机关事务服务中心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246.00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163.46%</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增加1.14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公务接待费比上年增加1.04万元，其原因是2021年发生是公务接待费在2022年结算。</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244.46</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1.54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shd w:val="clear" w:color="auto" w:fill="auto"/>
          <w:lang w:val="en-US" w:eastAsia="zh-CN"/>
        </w:rPr>
        <w:t>（请根实际情况自行补充原因）。</w:t>
      </w:r>
      <w:r>
        <w:rPr>
          <w:rFonts w:hint="eastAsia" w:ascii="仿宋_GB2312" w:hAnsi="Times New Roman" w:eastAsia="仿宋_GB2312" w:cs="Times New Roman"/>
          <w:color w:val="auto"/>
          <w:sz w:val="32"/>
          <w:szCs w:val="32"/>
          <w:shd w:val="clear" w:color="auto" w:fill="auto"/>
        </w:rPr>
        <w:t>全年使用财政拨款安排</w:t>
      </w:r>
      <w:r>
        <w:rPr>
          <w:rFonts w:hint="eastAsia" w:ascii="仿宋_GB2312" w:hAnsi="Times New Roman" w:eastAsia="仿宋_GB2312" w:cs="Times New Roman"/>
          <w:color w:val="auto"/>
          <w:sz w:val="32"/>
          <w:szCs w:val="32"/>
          <w:u w:val="single"/>
          <w:shd w:val="clear" w:color="auto" w:fill="auto"/>
          <w:lang w:val="en-US" w:eastAsia="zh-CN"/>
        </w:rPr>
        <w:t>0</w:t>
      </w:r>
      <w:r>
        <w:rPr>
          <w:rFonts w:hint="eastAsia" w:ascii="仿宋_GB2312" w:hAnsi="Times New Roman" w:eastAsia="仿宋_GB2312" w:cs="Times New Roman"/>
          <w:color w:val="auto"/>
          <w:sz w:val="32"/>
          <w:szCs w:val="32"/>
          <w:shd w:val="clear" w:color="auto" w:fill="auto"/>
        </w:rPr>
        <w:t>（局、办、镇）机关、</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u w:val="single"/>
          <w:shd w:val="clear" w:color="auto" w:fill="auto"/>
          <w:lang w:val="en-US" w:eastAsia="zh-CN"/>
        </w:rPr>
        <w:t>0</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shd w:val="clear" w:color="auto" w:fill="auto"/>
        </w:rPr>
        <w:t>个所属单位出国团组</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u w:val="single"/>
          <w:shd w:val="clear" w:color="auto" w:fill="auto"/>
          <w:lang w:val="en-US" w:eastAsia="zh-CN"/>
        </w:rPr>
        <w:t>0</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shd w:val="clear" w:color="auto" w:fill="auto"/>
        </w:rPr>
        <w:t>个，参加其他单位组织的出国团组</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u w:val="single"/>
          <w:shd w:val="clear" w:color="auto" w:fill="auto"/>
          <w:lang w:val="en-US" w:eastAsia="zh-CN"/>
        </w:rPr>
        <w:t>0</w:t>
      </w:r>
      <w:r>
        <w:rPr>
          <w:rFonts w:hint="eastAsia" w:ascii="仿宋_GB2312" w:hAnsi="Times New Roman" w:eastAsia="仿宋_GB2312" w:cs="Times New Roman"/>
          <w:color w:val="auto"/>
          <w:sz w:val="32"/>
          <w:szCs w:val="32"/>
          <w:u w:val="single"/>
          <w:shd w:val="clear" w:color="auto" w:fill="auto"/>
        </w:rPr>
        <w:t xml:space="preserve"> </w:t>
      </w:r>
      <w:r>
        <w:rPr>
          <w:rFonts w:hint="eastAsia" w:ascii="仿宋_GB2312" w:hAnsi="Times New Roman" w:eastAsia="仿宋_GB2312" w:cs="Times New Roman"/>
          <w:color w:val="auto"/>
          <w:sz w:val="32"/>
          <w:szCs w:val="32"/>
          <w:shd w:val="clear" w:color="auto" w:fill="auto"/>
        </w:rPr>
        <w:t>个</w:t>
      </w:r>
      <w:r>
        <w:rPr>
          <w:rFonts w:hint="eastAsia" w:ascii="仿宋" w:hAnsi="仿宋" w:eastAsia="仿宋" w:cs="仿宋"/>
          <w:color w:val="auto"/>
          <w:sz w:val="32"/>
          <w:szCs w:val="32"/>
          <w:highlight w:val="none"/>
          <w:shd w:val="clear" w:color="auto" w:fill="auto"/>
        </w:rPr>
        <w:t>，全年因公出国（境）团组共计</w:t>
      </w:r>
      <w:r>
        <w:rPr>
          <w:rFonts w:ascii="仿宋" w:hAnsi="仿宋" w:eastAsia="仿宋" w:cs="仿宋"/>
          <w:color w:val="auto"/>
          <w:sz w:val="32"/>
          <w:szCs w:val="32"/>
          <w:highlight w:val="none"/>
          <w:shd w:val="clear" w:color="auto" w:fill="auto"/>
        </w:rPr>
        <w:t>0</w:t>
      </w:r>
      <w:r>
        <w:rPr>
          <w:rFonts w:hint="eastAsia" w:ascii="仿宋" w:hAnsi="仿宋" w:eastAsia="仿宋" w:cs="仿宋"/>
          <w:color w:val="auto"/>
          <w:sz w:val="32"/>
          <w:szCs w:val="32"/>
          <w:highlight w:val="none"/>
          <w:shd w:val="clear" w:color="auto" w:fill="auto"/>
        </w:rPr>
        <w:t>个</w:t>
      </w:r>
      <w:r>
        <w:rPr>
          <w:rFonts w:hint="eastAsia" w:ascii="仿宋" w:hAnsi="仿宋" w:eastAsia="仿宋" w:cs="仿宋"/>
          <w:sz w:val="32"/>
          <w:szCs w:val="32"/>
          <w:highlight w:val="none"/>
        </w:rPr>
        <w:t>，累计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244.46</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244.46</w:t>
      </w:r>
      <w:r>
        <w:rPr>
          <w:rFonts w:hint="eastAsia" w:ascii="仿宋" w:hAnsi="仿宋" w:eastAsia="仿宋" w:cs="仿宋"/>
          <w:sz w:val="32"/>
          <w:szCs w:val="32"/>
          <w:highlight w:val="none"/>
        </w:rPr>
        <w:t>万元，完成年初预算的</w:t>
      </w:r>
      <w:r>
        <w:rPr>
          <w:rFonts w:ascii="仿宋" w:hAnsi="仿宋" w:eastAsia="仿宋" w:cs="仿宋"/>
          <w:sz w:val="32"/>
          <w:u w:color="auto"/>
        </w:rPr>
        <w:t>163.52%</w:t>
      </w:r>
      <w:r>
        <w:rPr>
          <w:rFonts w:hint="eastAsia" w:ascii="仿宋" w:hAnsi="仿宋" w:eastAsia="仿宋" w:cs="仿宋"/>
          <w:sz w:val="32"/>
          <w:szCs w:val="32"/>
          <w:highlight w:val="none"/>
        </w:rPr>
        <w:t>，比上年</w:t>
      </w:r>
      <w:r>
        <w:rPr>
          <w:rFonts w:ascii="仿宋" w:hAnsi="仿宋" w:eastAsia="仿宋" w:cs="仿宋"/>
          <w:sz w:val="32"/>
          <w:u w:color="auto"/>
        </w:rPr>
        <w:t>增加0.10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bCs/>
          <w:spacing w:val="6"/>
          <w:kern w:val="0"/>
          <w:sz w:val="32"/>
          <w:szCs w:val="32"/>
          <w:highlight w:val="none"/>
          <w:lang w:val="en-US" w:eastAsia="zh-CN"/>
        </w:rPr>
        <w:t>我县公务车辆使用年限长、维修成本高以及2020年由于财政经费紧张的原因，有部分公务车辆维修维护费未能及时结算，到时堆积到20212年初结算，所以导致公务车辆运行维护费支出数超预算支出。</w:t>
      </w:r>
      <w:r>
        <w:rPr>
          <w:rFonts w:hint="eastAsia" w:ascii="仿宋" w:hAnsi="仿宋" w:eastAsia="仿宋" w:cs="仿宋"/>
          <w:sz w:val="32"/>
          <w:szCs w:val="32"/>
          <w:highlight w:val="none"/>
        </w:rPr>
        <w:t>2022年，</w:t>
      </w:r>
      <w:r>
        <w:rPr>
          <w:rFonts w:ascii="仿宋" w:hAnsi="仿宋" w:eastAsia="仿宋" w:cs="仿宋"/>
          <w:sz w:val="32"/>
          <w:u w:color="auto"/>
        </w:rPr>
        <w:t>环江毛南族自治县机关事务服务中心</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65</w:t>
      </w:r>
      <w:r>
        <w:rPr>
          <w:rFonts w:hint="eastAsia" w:ascii="仿宋" w:hAnsi="仿宋" w:eastAsia="仿宋" w:cs="仿宋"/>
          <w:sz w:val="32"/>
          <w:szCs w:val="32"/>
          <w:highlight w:val="none"/>
        </w:rPr>
        <w:t>辆，全年运行费支出</w:t>
      </w:r>
      <w:r>
        <w:rPr>
          <w:rFonts w:ascii="仿宋" w:hAnsi="仿宋" w:eastAsia="仿宋" w:cs="仿宋"/>
          <w:sz w:val="32"/>
          <w:u w:color="auto"/>
        </w:rPr>
        <w:t>244.46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3.76</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1.54</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154%</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增加1.04</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主要原因是：2021年发生是公务接待费在2022年结算.</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10</w:t>
      </w:r>
      <w:r>
        <w:rPr>
          <w:rFonts w:hint="eastAsia" w:ascii="仿宋" w:hAnsi="仿宋" w:eastAsia="仿宋" w:cs="仿宋"/>
          <w:sz w:val="32"/>
          <w:szCs w:val="32"/>
          <w:highlight w:val="none"/>
        </w:rPr>
        <w:t>次，人次</w:t>
      </w:r>
      <w:r>
        <w:rPr>
          <w:rFonts w:ascii="仿宋" w:hAnsi="仿宋" w:eastAsia="仿宋" w:cs="仿宋"/>
          <w:sz w:val="32"/>
          <w:szCs w:val="32"/>
          <w:highlight w:val="none"/>
        </w:rPr>
        <w:t>119</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val="en-US" w:eastAsia="zh-CN"/>
        </w:rPr>
      </w:pPr>
      <w:bookmarkStart w:id="6" w:name="_GoBack"/>
      <w:bookmarkEnd w:id="6"/>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6.56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减少163.9</w:t>
      </w:r>
      <w:r>
        <w:rPr>
          <w:rFonts w:hint="eastAsia" w:ascii="仿宋" w:hAnsi="仿宋" w:eastAsia="仿宋" w:cs="仿宋"/>
          <w:sz w:val="32"/>
          <w:szCs w:val="32"/>
          <w:highlight w:val="none"/>
        </w:rPr>
        <w:t>万元，</w:t>
      </w:r>
      <w:r>
        <w:rPr>
          <w:rFonts w:ascii="仿宋" w:hAnsi="仿宋" w:eastAsia="仿宋" w:cs="仿宋"/>
          <w:sz w:val="32"/>
          <w:szCs w:val="32"/>
          <w:highlight w:val="none"/>
        </w:rPr>
        <w:t>下降96.15%</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减少7.94</w:t>
      </w:r>
      <w:r>
        <w:rPr>
          <w:rFonts w:hint="eastAsia" w:ascii="仿宋" w:hAnsi="仿宋" w:eastAsia="仿宋" w:cs="仿宋"/>
          <w:sz w:val="32"/>
          <w:szCs w:val="32"/>
          <w:highlight w:val="none"/>
        </w:rPr>
        <w:t>万元，</w:t>
      </w:r>
      <w:r>
        <w:rPr>
          <w:rFonts w:ascii="仿宋" w:hAnsi="仿宋" w:eastAsia="仿宋" w:cs="仿宋"/>
          <w:sz w:val="32"/>
          <w:szCs w:val="32"/>
          <w:highlight w:val="none"/>
        </w:rPr>
        <w:t>下降54.76%</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由于人员变动，各项经费支出减少。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65</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65</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w:t>
      </w:r>
      <w:r>
        <w:rPr>
          <w:rFonts w:hint="eastAsia" w:ascii="仿宋" w:hAnsi="仿宋" w:eastAsia="仿宋" w:cs="仿宋"/>
          <w:color w:val="000000" w:themeColor="text1"/>
          <w:sz w:val="32"/>
          <w:szCs w:val="32"/>
          <w:lang w:val="en-US" w:eastAsia="zh-CN"/>
          <w14:textFill>
            <w14:solidFill>
              <w14:schemeClr w14:val="tx1"/>
            </w14:solidFill>
          </w14:textFill>
        </w:rPr>
        <w:t>共涉及24个项目，全部为</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项目共涉及资金</w:t>
      </w:r>
      <w:r>
        <w:rPr>
          <w:rFonts w:hint="eastAsia" w:ascii="仿宋" w:hAnsi="仿宋" w:eastAsia="仿宋" w:cs="仿宋"/>
          <w:color w:val="000000" w:themeColor="text1"/>
          <w:sz w:val="32"/>
          <w:szCs w:val="32"/>
          <w:lang w:val="en-US" w:eastAsia="zh-CN"/>
          <w14:textFill>
            <w14:solidFill>
              <w14:schemeClr w14:val="tx1"/>
            </w14:solidFill>
          </w14:textFill>
        </w:rPr>
        <w:t>401.66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66.12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公共机构节能经费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401.66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166.93</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401.66</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368.16</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91.66</w:t>
      </w:r>
      <w:r>
        <w:rPr>
          <w:rFonts w:hint="eastAsia" w:ascii="仿宋" w:hAnsi="仿宋" w:eastAsia="仿宋" w:cs="仿宋"/>
          <w:color w:val="000000" w:themeColor="text1"/>
          <w:sz w:val="32"/>
          <w:szCs w:val="32"/>
          <w14:textFill>
            <w14:solidFill>
              <w14:schemeClr w14:val="tx1"/>
            </w14:solidFill>
          </w14:textFill>
        </w:rPr>
        <w:t>%，自评结论：一等。</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1066.92</w:t>
      </w:r>
      <w:r>
        <w:rPr>
          <w:rFonts w:hint="eastAsia" w:ascii="仿宋" w:hAnsi="仿宋" w:eastAsia="仿宋" w:cs="仿宋"/>
          <w:color w:val="000000" w:themeColor="text1"/>
          <w:sz w:val="32"/>
          <w:szCs w:val="32"/>
          <w14:textFill>
            <w14:solidFill>
              <w14:schemeClr w14:val="tx1"/>
            </w14:solidFill>
          </w14:textFill>
        </w:rPr>
        <w:t>元，政府性基金预算支出0万元。从评价情况来看，年初预算数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666.72</w:t>
      </w:r>
      <w:r>
        <w:rPr>
          <w:rFonts w:hint="eastAsia" w:ascii="仿宋" w:hAnsi="仿宋" w:eastAsia="仿宋" w:cs="仿宋"/>
          <w:color w:val="000000" w:themeColor="text1"/>
          <w:sz w:val="32"/>
          <w:szCs w:val="32"/>
          <w14:textFill>
            <w14:solidFill>
              <w14:schemeClr w14:val="tx1"/>
            </w14:solidFill>
          </w14:textFill>
        </w:rPr>
        <w:t>万元，年中预算调整数</w:t>
      </w:r>
      <w:r>
        <w:rPr>
          <w:rFonts w:hint="eastAsia" w:ascii="仿宋" w:hAnsi="仿宋" w:eastAsia="仿宋" w:cs="仿宋"/>
          <w:color w:val="000000" w:themeColor="text1"/>
          <w:sz w:val="32"/>
          <w:szCs w:val="32"/>
          <w:lang w:val="en-US" w:eastAsia="zh-CN"/>
          <w14:textFill>
            <w14:solidFill>
              <w14:schemeClr w14:val="tx1"/>
            </w14:solidFill>
          </w14:textFill>
        </w:rPr>
        <w:t>488.56</w:t>
      </w:r>
      <w:r>
        <w:rPr>
          <w:rFonts w:hint="eastAsia" w:ascii="仿宋" w:hAnsi="仿宋" w:eastAsia="仿宋" w:cs="仿宋"/>
          <w:color w:val="000000" w:themeColor="text1"/>
          <w:sz w:val="32"/>
          <w:szCs w:val="32"/>
          <w14:textFill>
            <w14:solidFill>
              <w14:schemeClr w14:val="tx1"/>
            </w14:solidFill>
          </w14:textFill>
        </w:rPr>
        <w:t>万元，调整后预算数</w:t>
      </w:r>
      <w:r>
        <w:rPr>
          <w:rFonts w:hint="eastAsia" w:ascii="仿宋" w:hAnsi="仿宋" w:eastAsia="仿宋" w:cs="仿宋"/>
          <w:color w:val="000000" w:themeColor="text1"/>
          <w:sz w:val="32"/>
          <w:szCs w:val="32"/>
          <w:lang w:val="en-US" w:eastAsia="zh-CN"/>
          <w14:textFill>
            <w14:solidFill>
              <w14:schemeClr w14:val="tx1"/>
            </w14:solidFill>
          </w14:textFill>
        </w:rPr>
        <w:t>1155.27</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1066.92</w:t>
      </w:r>
      <w:r>
        <w:rPr>
          <w:rFonts w:hint="eastAsia" w:ascii="仿宋" w:hAnsi="仿宋" w:eastAsia="仿宋" w:cs="仿宋"/>
          <w:color w:val="000000" w:themeColor="text1"/>
          <w:sz w:val="32"/>
          <w:szCs w:val="32"/>
          <w14:textFill>
            <w14:solidFill>
              <w14:schemeClr w14:val="tx1"/>
            </w14:solidFill>
          </w14:textFill>
        </w:rPr>
        <w:t>万元，预算执行率</w:t>
      </w:r>
      <w:r>
        <w:rPr>
          <w:rFonts w:hint="eastAsia" w:ascii="仿宋" w:hAnsi="仿宋" w:eastAsia="仿宋" w:cs="仿宋"/>
          <w:color w:val="000000" w:themeColor="text1"/>
          <w:sz w:val="32"/>
          <w:szCs w:val="32"/>
          <w:lang w:val="en-US" w:eastAsia="zh-CN"/>
          <w14:textFill>
            <w14:solidFill>
              <w14:schemeClr w14:val="tx1"/>
            </w14:solidFill>
          </w14:textFill>
        </w:rPr>
        <w:t>92.35</w:t>
      </w:r>
      <w:r>
        <w:rPr>
          <w:rFonts w:hint="eastAsia" w:ascii="仿宋" w:hAnsi="仿宋" w:eastAsia="仿宋" w:cs="仿宋"/>
          <w:color w:val="000000" w:themeColor="text1"/>
          <w:sz w:val="32"/>
          <w:szCs w:val="32"/>
          <w14:textFill>
            <w14:solidFill>
              <w14:schemeClr w14:val="tx1"/>
            </w14:solidFill>
          </w14:textFill>
        </w:rPr>
        <w:t>%。自评结论：一等。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对24个项目进行了自评，自评情况如下：</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1、水电费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自评等级一等。</w:t>
      </w:r>
      <w:r>
        <w:rPr>
          <w:rFonts w:hint="eastAsia" w:ascii="仿宋" w:hAnsi="仿宋" w:eastAsia="仿宋" w:cs="仿宋"/>
          <w:color w:val="000000" w:themeColor="text1"/>
          <w:sz w:val="32"/>
          <w:szCs w:val="32"/>
          <w14:textFill>
            <w14:solidFill>
              <w14:schemeClr w14:val="tx1"/>
            </w14:solidFill>
          </w14:textFill>
        </w:rPr>
        <w:t>发现的主要问题及原因：经费未支付完全。下一步改进措施：要按规定按时支付。</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2、县政府大院日常保洁服务费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自评等级一等</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按年初计划完成工作任务并支付完成。</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3、县公务用车管理中心驾驶员出车差旅费项目自评得分90.06分，自评等级一等。发现的主要问题及原因：因财政资金困难，未能形成支付。下一步改进措施：</w:t>
      </w:r>
      <w:r>
        <w:rPr>
          <w:rFonts w:hint="eastAsia" w:ascii="仿宋" w:hAnsi="仿宋" w:eastAsia="仿宋" w:cs="仿宋"/>
          <w:color w:val="000000" w:themeColor="text1"/>
          <w:sz w:val="32"/>
          <w:szCs w:val="32"/>
          <w14:textFill>
            <w14:solidFill>
              <w14:schemeClr w14:val="tx1"/>
            </w14:solidFill>
          </w14:textFill>
        </w:rPr>
        <w:t>要按规定按时支付。</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4、大院零星费用项目自评得分99.8分，自评等级一等。按年初计划完成工作任务并支付完成。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5、大院日常维修维护费项目自评得分100分，自评等级一等。按年初计划完成工作任务并支付完成。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6、党组织生活经费项目自评得分100分，自评等级一等。按年初计划完成工作任务并支付完成。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7、机关公共机构节能经费项目自评得分100分按年初计划完成工作任务并支付完成。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8、县府大院绿化美化费项目自评得分99.97分，自评等级一等。按年初计划完成工作任务并支付完成。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9、行政会议中心日常用品购置费项目自评得分100分，自评等级一等。按年初计划完成工作任务并支付完成。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10、交流挂职领导基本生活用具购置费项目自评得分100分，自评等级一等。按年初计划完成工作任务并支付完成。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11、公务车辆监控系统网络费项目自评得分100分，自评等级一等。按年初计划完成工作任务并支付完成。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12、公务车辆管理平台建设费项目自评得分100分，自评等级一等。按年初计划完成工作任务并支付完成。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13、公车平台司机差旅费项目自评得分100分，自评等级一等。按年初计划完成工作任务并支付完成。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14、被装购置费项目自评得分100分，自评等级一等。按年初计划完成工作任务并支付完成。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15、拨韦礼一次性抚恤金项目自评得分100分，自评等级一等。按时发放抚恤金。</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16、保卫、行政会议聘用人员加班费项目自评得分99.14分，自评等级一等。</w:t>
      </w:r>
      <w:r>
        <w:rPr>
          <w:rFonts w:hint="eastAsia" w:ascii="仿宋" w:hAnsi="仿宋" w:eastAsia="仿宋" w:cs="仿宋"/>
          <w:color w:val="000000" w:themeColor="text1"/>
          <w:sz w:val="32"/>
          <w:szCs w:val="32"/>
          <w14:textFill>
            <w14:solidFill>
              <w14:schemeClr w14:val="tx1"/>
            </w14:solidFill>
          </w14:textFill>
        </w:rPr>
        <w:t>发现的主要问题及原因：经费未支付完全。下一步改进措施：要按规定按时支付。</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17、保安人员服务费项目自评得分100分，自评等级一等。按年初计划完成工作任务并支付完成。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18、改造经费项目自评得分99.9分，自评等级一等。按年初计划完成工作任务并支付完成。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19、红外线体温测温仪款项目自评分100分，自评等级一等。按计划完成工作任务并支付完成。</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20、更换县行政会议中心中央空调主机经费项目自评分100分，按计划完成工作任务并完成支付。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21、2022年度后勤服务保障工作经费项目自评分99.96分，自评等级一等。</w:t>
      </w:r>
      <w:r>
        <w:rPr>
          <w:rFonts w:hint="eastAsia" w:ascii="仿宋" w:hAnsi="仿宋" w:eastAsia="仿宋" w:cs="仿宋"/>
          <w:color w:val="000000" w:themeColor="text1"/>
          <w:sz w:val="32"/>
          <w:szCs w:val="32"/>
          <w14:textFill>
            <w14:solidFill>
              <w14:schemeClr w14:val="tx1"/>
            </w14:solidFill>
          </w14:textFill>
        </w:rPr>
        <w:t>发现的主要问题及原因：经费未支付完全。下一步改进措施：要按规定按时支付。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奖励性补贴项目自评分100分，自评等级一等。按照发放奖励性补贴。</w:t>
      </w:r>
    </w:p>
    <w:p>
      <w:pPr>
        <w:numPr>
          <w:ilvl w:val="0"/>
          <w:numId w:val="3"/>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韦美春一次性抚恤金项目自评分100分，自评等级一等。按时发放抚恤金。</w:t>
      </w:r>
    </w:p>
    <w:p>
      <w:pPr>
        <w:numPr>
          <w:ilvl w:val="0"/>
          <w:numId w:val="3"/>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新能源汽车租赁费项目自评分100分，自评等级一等。按年初计划完成工作任务并支付完成。</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F1AA92E3"/>
    <w:multiLevelType w:val="singleLevel"/>
    <w:tmpl w:val="F1AA92E3"/>
    <w:lvl w:ilvl="0" w:tentative="0">
      <w:start w:val="2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2EE1FD9"/>
    <w:rsid w:val="04E54546"/>
    <w:rsid w:val="05992762"/>
    <w:rsid w:val="07B0770E"/>
    <w:rsid w:val="07F87D1A"/>
    <w:rsid w:val="0942143F"/>
    <w:rsid w:val="0BEF083C"/>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034446"/>
    <w:rsid w:val="24294263"/>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4F840EFA"/>
    <w:rsid w:val="508F4E24"/>
    <w:rsid w:val="51461E90"/>
    <w:rsid w:val="51463753"/>
    <w:rsid w:val="52553A93"/>
    <w:rsid w:val="53521F8B"/>
    <w:rsid w:val="53E22F47"/>
    <w:rsid w:val="54522FF8"/>
    <w:rsid w:val="55450629"/>
    <w:rsid w:val="56692963"/>
    <w:rsid w:val="568B0F48"/>
    <w:rsid w:val="5786217B"/>
    <w:rsid w:val="57D70AA8"/>
    <w:rsid w:val="57EB212A"/>
    <w:rsid w:val="59337A15"/>
    <w:rsid w:val="59810274"/>
    <w:rsid w:val="5CA96A00"/>
    <w:rsid w:val="5CF730BC"/>
    <w:rsid w:val="5E042EE0"/>
    <w:rsid w:val="5E5F0DCE"/>
    <w:rsid w:val="5FA40A7B"/>
    <w:rsid w:val="5FD56D29"/>
    <w:rsid w:val="5FEC7F3F"/>
    <w:rsid w:val="60F74BC3"/>
    <w:rsid w:val="617D3BF8"/>
    <w:rsid w:val="61841F6A"/>
    <w:rsid w:val="622C29F4"/>
    <w:rsid w:val="623007A9"/>
    <w:rsid w:val="637D7558"/>
    <w:rsid w:val="644F19AC"/>
    <w:rsid w:val="65AA4920"/>
    <w:rsid w:val="65E31D0B"/>
    <w:rsid w:val="671A04B3"/>
    <w:rsid w:val="67694F1E"/>
    <w:rsid w:val="69597934"/>
    <w:rsid w:val="6B964DDC"/>
    <w:rsid w:val="6C783074"/>
    <w:rsid w:val="6D9E65C6"/>
    <w:rsid w:val="6DA81947"/>
    <w:rsid w:val="6EB66DE2"/>
    <w:rsid w:val="6ED3075F"/>
    <w:rsid w:val="6F2A2D4B"/>
    <w:rsid w:val="6F8A0C1E"/>
    <w:rsid w:val="703F45D4"/>
    <w:rsid w:val="715D6546"/>
    <w:rsid w:val="71BE069E"/>
    <w:rsid w:val="72525BB3"/>
    <w:rsid w:val="73953409"/>
    <w:rsid w:val="73E069A3"/>
    <w:rsid w:val="78104AA8"/>
    <w:rsid w:val="78137FC6"/>
    <w:rsid w:val="78E257C5"/>
    <w:rsid w:val="794B35BE"/>
    <w:rsid w:val="7B0A3A31"/>
    <w:rsid w:val="7B3360ED"/>
    <w:rsid w:val="7BDF037E"/>
    <w:rsid w:val="7BF50948"/>
    <w:rsid w:val="7CE66A78"/>
    <w:rsid w:val="7D23564C"/>
    <w:rsid w:val="7D5E062D"/>
    <w:rsid w:val="7DF76CD8"/>
    <w:rsid w:val="7E7360FC"/>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1066.92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1471.58</c:v>
                </c:pt>
                <c:pt idx="1">
                  <c:v>22.48</c:v>
                </c:pt>
                <c:pt idx="2">
                  <c:v>27.95</c:v>
                </c:pt>
                <c:pt idx="3">
                  <c:v>66.36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936.29</c:v>
                </c:pt>
                <c:pt idx="1">
                  <c:v>49.97</c:v>
                </c:pt>
                <c:pt idx="2">
                  <c:v>31.3</c:v>
                </c:pt>
                <c:pt idx="3">
                  <c:v>49.35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2010301</c:v>
                </c:pt>
                <c:pt idx="1">
                  <c:v>2010303</c:v>
                </c:pt>
                <c:pt idx="2">
                  <c:v>2012999</c:v>
                </c:pt>
                <c:pt idx="3">
                  <c:v>201x</c:v>
                </c:pt>
              </c:strCache>
            </c:strRef>
          </c:cat>
          <c:val>
            <c:numRef>
              <c:f>Sheet1!$B$2:$B$5</c:f>
              <c:numCache>
                <c:formatCode>General</c:formatCode>
                <c:ptCount val="4"/>
                <c:pt idx="0">
                  <c:v>531.13</c:v>
                </c:pt>
                <c:pt idx="1">
                  <c:v>402.34</c:v>
                </c:pt>
                <c:pt idx="2">
                  <c:v>2.82</c:v>
                </c:pt>
                <c:pt idx="3">
                  <c:v>936.29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49.97</c:v>
                </c:pt>
                <c:pt idx="1">
                  <c:v>49.97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31.3</c:v>
                </c:pt>
                <c:pt idx="1">
                  <c:v>31.3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49.35</c:v>
                </c:pt>
                <c:pt idx="1">
                  <c:v>49.35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71.14</c:v>
                </c:pt>
                <c:pt idx="1">
                  <c:v>36.27</c:v>
                </c:pt>
                <c:pt idx="2">
                  <c:v>76.02</c:v>
                </c:pt>
                <c:pt idx="3">
                  <c:v>3.8</c:v>
                </c:pt>
                <c:pt idx="4">
                  <c:v>0</c:v>
                </c:pt>
                <c:pt idx="5">
                  <c:v>47.65</c:v>
                </c:pt>
                <c:pt idx="6">
                  <c:v>0</c:v>
                </c:pt>
                <c:pt idx="7">
                  <c:v>21.69</c:v>
                </c:pt>
                <c:pt idx="8">
                  <c:v>0</c:v>
                </c:pt>
                <c:pt idx="9">
                  <c:v>1.1</c:v>
                </c:pt>
                <c:pt idx="10">
                  <c:v>31.3</c:v>
                </c:pt>
                <c:pt idx="11">
                  <c:v>0</c:v>
                </c:pt>
                <c:pt idx="12">
                  <c:v>101.96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1.52</c:v>
                </c:pt>
                <c:pt idx="1">
                  <c:v>0</c:v>
                </c:pt>
                <c:pt idx="2">
                  <c:v>0</c:v>
                </c:pt>
                <c:pt idx="3">
                  <c:v>0</c:v>
                </c:pt>
                <c:pt idx="4">
                  <c:v>0</c:v>
                </c:pt>
                <c:pt idx="5">
                  <c:v>0</c:v>
                </c:pt>
                <c:pt idx="6">
                  <c:v>2.12</c:v>
                </c:pt>
                <c:pt idx="7">
                  <c:v>0</c:v>
                </c:pt>
                <c:pt idx="8">
                  <c:v>0.11</c:v>
                </c:pt>
                <c:pt idx="9">
                  <c:v>0</c:v>
                </c:pt>
                <c:pt idx="10">
                  <c:v>0</c:v>
                </c:pt>
                <c:pt idx="11">
                  <c:v>0</c:v>
                </c:pt>
                <c:pt idx="12">
                  <c:v>0</c:v>
                </c:pt>
                <c:pt idx="13">
                  <c:v>0</c:v>
                </c:pt>
                <c:pt idx="14">
                  <c:v>0</c:v>
                </c:pt>
                <c:pt idx="15">
                  <c:v>0</c:v>
                </c:pt>
                <c:pt idx="16">
                  <c:v>0</c:v>
                </c:pt>
                <c:pt idx="17">
                  <c:v>0</c:v>
                </c:pt>
                <c:pt idx="18">
                  <c:v>0</c:v>
                </c:pt>
                <c:pt idx="19">
                  <c:v>0</c:v>
                </c:pt>
                <c:pt idx="20">
                  <c:v>0</c:v>
                </c:pt>
                <c:pt idx="21">
                  <c:v>2.82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44.7</c:v>
                </c:pt>
                <c:pt idx="4">
                  <c:v>17.18</c:v>
                </c:pt>
                <c:pt idx="5">
                  <c:v>0</c:v>
                </c:pt>
                <c:pt idx="6">
                  <c:v>0</c:v>
                </c:pt>
                <c:pt idx="7">
                  <c:v>0</c:v>
                </c:pt>
                <c:pt idx="8">
                  <c:v>0.1</c:v>
                </c:pt>
                <c:pt idx="9">
                  <c:v>0</c:v>
                </c:pt>
                <c:pt idx="10">
                  <c:v>0</c:v>
                </c:pt>
                <c:pt idx="11">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5</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2023-11-29T07:54:08Z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