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3" w:name="_GoBack"/>
      <w:r>
        <w:rPr>
          <w:rFonts w:hint="eastAsia" w:ascii="方正小标宋简体" w:eastAsia="方正小标宋简体" w:cs="ArialUnicodeMS"/>
          <w:b/>
          <w:bCs/>
          <w:kern w:val="0"/>
          <w:sz w:val="52"/>
          <w:szCs w:val="52"/>
          <w:lang w:eastAsia="zh-CN"/>
        </w:rPr>
        <w:t>环江毛南族自治县</w:t>
      </w:r>
      <w:r>
        <w:rPr>
          <w:rFonts w:hint="eastAsia" w:ascii="方正小标宋简体" w:hAnsi="黑体" w:eastAsia="方正小标宋简体"/>
          <w:b/>
          <w:bCs/>
          <w:color w:val="000000"/>
          <w:sz w:val="52"/>
          <w:szCs w:val="52"/>
          <w:u w:val="none"/>
          <w:lang w:eastAsia="zh-CN"/>
        </w:rPr>
        <w:t>工商业联合会</w:t>
      </w:r>
      <w:bookmarkEnd w:id="3"/>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环江毛南族自治县工商业联合会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环江毛南族自治县工商业联合会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ind w:left="960" w:hanging="960" w:hangingChars="300"/>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环江毛南族自治县工商业联合会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环江毛南族自治县工商业联合会</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Verdana" w:eastAsia="仿宋_GB2312"/>
          <w:color w:val="000000"/>
          <w:sz w:val="32"/>
          <w:szCs w:val="32"/>
          <w:shd w:val="clear" w:color="auto" w:fill="FFFFFF"/>
        </w:rPr>
      </w:pPr>
      <w:r>
        <w:rPr>
          <w:rFonts w:hint="eastAsia" w:ascii="仿宋_GB2312" w:hAnsi="Verdana" w:eastAsia="仿宋_GB2312"/>
          <w:color w:val="000000"/>
          <w:sz w:val="32"/>
          <w:szCs w:val="32"/>
          <w:shd w:val="clear" w:color="auto" w:fill="FFFFFF"/>
          <w:lang w:eastAsia="zh-CN"/>
        </w:rPr>
        <w:t>环江毛南族自治县工商业联合会</w:t>
      </w:r>
      <w:r>
        <w:rPr>
          <w:rFonts w:hint="eastAsia" w:ascii="仿宋_GB2312" w:hAnsi="Verdana" w:eastAsia="仿宋_GB2312"/>
          <w:color w:val="000000"/>
          <w:sz w:val="32"/>
          <w:szCs w:val="32"/>
          <w:shd w:val="clear" w:color="auto" w:fill="FFFFFF"/>
        </w:rPr>
        <w:t>是中国共产党领导的面向工商界、以非公有制企业和非公有制经济人士为主体的人民团体和商会组织，是党和政府联系非公有制经济人士的桥梁 和纽带，是政府管理和服务非公有制经济的助手。工商联的主要工作内容有：</w:t>
      </w:r>
    </w:p>
    <w:p>
      <w:pPr>
        <w:pStyle w:val="5"/>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ascii="Verdana" w:hAnsi="Verdana" w:eastAsia="微软雅黑"/>
          <w:color w:val="000000"/>
          <w:sz w:val="32"/>
          <w:szCs w:val="32"/>
        </w:rPr>
      </w:pPr>
      <w:r>
        <w:rPr>
          <w:rFonts w:hint="eastAsia" w:ascii="仿宋_GB2312" w:hAnsi="Verdana" w:eastAsia="仿宋_GB2312"/>
          <w:color w:val="000000"/>
          <w:sz w:val="32"/>
          <w:szCs w:val="32"/>
        </w:rPr>
        <w:t>1.参政议政，民主监督；</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2.引导会员积极参加国家经济建设，推动社会主义市场经济体制逐步完善，促进社会全面进步；</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3.做工商界代表人士政治安排的推荐工作；</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4.在非公有制经济人士中，宣传、贯彻党和国家的方针政策，加强思想政治工作，推动企业文化建设，引导会员做中国特色社会主义事业的建设者；</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5.代表并维护会员的合法权益，反映会员的意见、要求和建议；引导会员积极参与“光彩事业”；</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6.为会员提供信息和科技、管理、法律、会计、审计、融资、咨询等服务；</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7.开展工商专业培训，帮助会员改进经营管理，完善财会管理，提高生产技术和产品质量。</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eastAsia="仿宋_GB2312"/>
          <w:sz w:val="32"/>
          <w:szCs w:val="32"/>
          <w:lang w:eastAsia="zh-CN"/>
        </w:rPr>
        <w:t>环江毛南族自治县工商业联合会设</w:t>
      </w:r>
      <w:r>
        <w:rPr>
          <w:rFonts w:hint="eastAsia" w:ascii="仿宋_GB2312" w:hAnsi="仿宋_GB2312" w:eastAsia="仿宋_GB2312" w:cs="仿宋_GB2312"/>
          <w:color w:val="000000"/>
          <w:sz w:val="32"/>
          <w:szCs w:val="32"/>
          <w:lang w:eastAsia="zh-CN"/>
        </w:rPr>
        <w:t>设有一个办事机构——办公室。</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人员编制总数为</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人，其中</w:t>
      </w:r>
      <w:r>
        <w:rPr>
          <w:rFonts w:hint="eastAsia" w:ascii="仿宋_GB2312" w:eastAsia="仿宋_GB2312" w:cs="仿宋_GB2312"/>
          <w:kern w:val="0"/>
          <w:sz w:val="32"/>
          <w:szCs w:val="32"/>
          <w:lang w:eastAsia="zh-CN"/>
        </w:rPr>
        <w:t>：行政编制</w:t>
      </w:r>
      <w:r>
        <w:rPr>
          <w:rFonts w:hint="eastAsia" w:ascii="仿宋_GB2312" w:eastAsia="仿宋_GB2312" w:cs="仿宋_GB2312"/>
          <w:kern w:val="0"/>
          <w:sz w:val="32"/>
          <w:szCs w:val="32"/>
          <w:lang w:val="en-US" w:eastAsia="zh-CN"/>
        </w:rPr>
        <w:t>3人，</w:t>
      </w:r>
      <w:r>
        <w:rPr>
          <w:rFonts w:hint="eastAsia" w:ascii="仿宋_GB2312" w:eastAsia="仿宋_GB2312"/>
          <w:color w:val="000000"/>
          <w:sz w:val="32"/>
          <w:szCs w:val="32"/>
        </w:rPr>
        <w:t>事业编制</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人，机关后勤服务中心聘用人员控制数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人。实有财政供养人数</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人，其中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行政在职</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人，事业在职</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人，离退休人员</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人（其中离休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人）。编外在职实有人数</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w:t>
      </w:r>
      <w:r>
        <w:rPr>
          <w:rFonts w:hint="eastAsia" w:ascii="仿宋_GB2312" w:eastAsia="仿宋_GB2312"/>
          <w:color w:val="000000"/>
          <w:sz w:val="32"/>
          <w:szCs w:val="32"/>
          <w:lang w:eastAsia="zh-CN"/>
        </w:rPr>
        <w:t>具体情况如下：三个行政编制分别为主席、专职副主席、办公室人员各一名，编外人员为政府购买人员。</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w:t>
      </w:r>
      <w:r>
        <w:rPr>
          <w:rFonts w:hint="eastAsia" w:ascii="黑体" w:hAnsi="黑体" w:eastAsia="黑体" w:cs="黑体"/>
          <w:sz w:val="32"/>
          <w:szCs w:val="32"/>
          <w:highlight w:val="none"/>
          <w:lang w:eastAsia="zh-CN"/>
        </w:rPr>
        <w:t>江毛南族自治县工商业联合会</w:t>
      </w:r>
      <w:r>
        <w:rPr>
          <w:rFonts w:hint="eastAsia" w:ascii="黑体" w:hAnsi="黑体" w:eastAsia="黑体" w:cs="黑体"/>
          <w:sz w:val="32"/>
          <w:szCs w:val="32"/>
          <w:highlight w:val="none"/>
        </w:rPr>
        <w:t>2022年度部门决算报表</w:t>
      </w:r>
    </w:p>
    <w:p>
      <w:pPr>
        <w:jc w:val="center"/>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2"/>
        <w:gridCol w:w="780"/>
        <w:gridCol w:w="911"/>
        <w:gridCol w:w="4183"/>
        <w:gridCol w:w="780"/>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center"/>
        <w:rPr>
          <w:rFonts w:hint="eastAsia" w:ascii="黑体" w:hAnsi="黑体" w:eastAsia="黑体" w:cs="黑体"/>
          <w:sz w:val="32"/>
          <w:szCs w:val="32"/>
          <w:highlight w:val="none"/>
        </w:rPr>
      </w:pPr>
    </w:p>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jc w:val="left"/>
        <w:rPr>
          <w:rFonts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收入决算表</w:t>
      </w:r>
    </w:p>
    <w:p>
      <w:pPr>
        <w:rPr>
          <w:rFonts w:ascii="仿宋" w:hAnsi="仿宋" w:eastAsia="仿宋" w:cs="仿宋"/>
          <w:sz w:val="24"/>
          <w:highlight w:val="none"/>
        </w:rPr>
      </w:pPr>
    </w:p>
    <w:tbl>
      <w:tblPr>
        <w:tblStyle w:val="6"/>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6"/>
        <w:gridCol w:w="222"/>
        <w:gridCol w:w="222"/>
        <w:gridCol w:w="3736"/>
        <w:gridCol w:w="738"/>
        <w:gridCol w:w="738"/>
        <w:gridCol w:w="634"/>
        <w:gridCol w:w="634"/>
        <w:gridCol w:w="634"/>
        <w:gridCol w:w="634"/>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3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9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3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1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8"/>
        <w:gridCol w:w="222"/>
        <w:gridCol w:w="222"/>
        <w:gridCol w:w="3899"/>
        <w:gridCol w:w="763"/>
        <w:gridCol w:w="763"/>
        <w:gridCol w:w="763"/>
        <w:gridCol w:w="653"/>
        <w:gridCol w:w="653"/>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445"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3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4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1"/>
        <w:gridCol w:w="571"/>
        <w:gridCol w:w="1052"/>
        <w:gridCol w:w="3566"/>
        <w:gridCol w:w="571"/>
        <w:gridCol w:w="766"/>
        <w:gridCol w:w="1530"/>
        <w:gridCol w:w="120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3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3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3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750" w:type="dxa"/>
            <w:gridSpan w:val="8"/>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3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222"/>
        <w:gridCol w:w="222"/>
        <w:gridCol w:w="3956"/>
        <w:gridCol w:w="1022"/>
        <w:gridCol w:w="1021"/>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1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26"/>
        <w:gridCol w:w="1725"/>
        <w:gridCol w:w="962"/>
        <w:gridCol w:w="889"/>
        <w:gridCol w:w="1457"/>
        <w:gridCol w:w="750"/>
        <w:gridCol w:w="923"/>
        <w:gridCol w:w="2943"/>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7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9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2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17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9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068"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8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5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2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4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4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48.69</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4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1"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48.69</w:t>
            </w:r>
          </w:p>
        </w:tc>
        <w:tc>
          <w:tcPr>
            <w:tcW w:w="696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50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222"/>
        <w:gridCol w:w="222"/>
        <w:gridCol w:w="1096"/>
        <w:gridCol w:w="1433"/>
        <w:gridCol w:w="1433"/>
        <w:gridCol w:w="1433"/>
        <w:gridCol w:w="1433"/>
        <w:gridCol w:w="1433"/>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29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2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222"/>
        <w:gridCol w:w="222"/>
        <w:gridCol w:w="1096"/>
        <w:gridCol w:w="1997"/>
        <w:gridCol w:w="2047"/>
        <w:gridCol w:w="2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45"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8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9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4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9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4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9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4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九</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财政拨款“三公”经费支出决算表</w:t>
      </w:r>
    </w:p>
    <w:tbl>
      <w:tblPr>
        <w:tblStyle w:val="6"/>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912"/>
        <w:gridCol w:w="687"/>
        <w:gridCol w:w="693"/>
        <w:gridCol w:w="687"/>
        <w:gridCol w:w="693"/>
        <w:gridCol w:w="687"/>
        <w:gridCol w:w="912"/>
        <w:gridCol w:w="689"/>
        <w:gridCol w:w="684"/>
        <w:gridCol w:w="68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6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部门：广西河池市环江毛南族自治县工商业联合会</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27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4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5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60"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u w:color="auto"/>
          <w:lang w:val="en-US" w:eastAsia="zh-CN"/>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环江毛南族自治县工商业联合会</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67.34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3.14</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4.46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67.34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67.34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3.14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4.46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主要原因：严格控制成本支出。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w:t>
      </w:r>
      <w:r>
        <w:rPr>
          <w:rFonts w:hint="eastAsia" w:ascii="仿宋" w:hAnsi="仿宋" w:eastAsia="仿宋" w:cs="仿宋"/>
          <w:kern w:val="2"/>
          <w:sz w:val="32"/>
          <w:szCs w:val="32"/>
          <w:highlight w:val="none"/>
          <w:lang w:val="en-US" w:eastAsia="zh-CN" w:bidi="ar"/>
        </w:rPr>
        <w:t>政府性基金预算财政拨款，且年初无预算。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国有资本经营预算财政拨款收入，且年初无预算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67.34</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67.34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3.14</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4.46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49.13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bCs/>
          <w:kern w:val="0"/>
          <w:sz w:val="32"/>
          <w:szCs w:val="32"/>
          <w:lang w:eastAsia="zh-CN"/>
        </w:rPr>
        <w:t>在职</w:t>
      </w:r>
      <w:r>
        <w:rPr>
          <w:rFonts w:hint="eastAsia" w:ascii="仿宋" w:hAnsi="仿宋" w:eastAsia="仿宋" w:cs="仿宋"/>
          <w:bCs/>
          <w:kern w:val="0"/>
          <w:sz w:val="32"/>
          <w:szCs w:val="32"/>
        </w:rPr>
        <w:t>职工</w:t>
      </w:r>
      <w:r>
        <w:rPr>
          <w:rFonts w:hint="eastAsia" w:ascii="仿宋" w:hAnsi="仿宋" w:eastAsia="仿宋" w:cs="仿宋"/>
          <w:bCs/>
          <w:kern w:val="0"/>
          <w:sz w:val="32"/>
          <w:szCs w:val="32"/>
          <w:lang w:eastAsia="zh-CN"/>
        </w:rPr>
        <w:t>工资</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政府购买人员工资及其社会保障费、日常公用经费</w:t>
      </w:r>
      <w:r>
        <w:rPr>
          <w:rFonts w:hint="eastAsia" w:ascii="仿宋" w:hAnsi="仿宋" w:eastAsia="仿宋" w:cs="仿宋"/>
          <w:bCs/>
          <w:kern w:val="0"/>
          <w:sz w:val="32"/>
          <w:szCs w:val="32"/>
        </w:rPr>
        <w:t>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1.76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主要原因是：严格控制开支。</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在职人员社保费用缴纳</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增加了0.98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增长了23.28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主要原因是：在职人员社保缴费基数调整。</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color w:val="000000" w:themeColor="text1"/>
          <w:sz w:val="32"/>
          <w:szCs w:val="32"/>
          <w:highlight w:val="none"/>
          <w:lang w:bidi="ar"/>
          <w14:textFill>
            <w14:solidFill>
              <w14:schemeClr w14:val="tx1"/>
            </w14:solidFill>
          </w14:textFill>
        </w:rPr>
        <w:t>卫生健</w:t>
      </w:r>
      <w:r>
        <w:rPr>
          <w:rFonts w:hint="eastAsia" w:ascii="仿宋" w:hAnsi="仿宋" w:eastAsia="仿宋" w:cs="仿宋"/>
          <w:sz w:val="32"/>
          <w:szCs w:val="32"/>
          <w:highlight w:val="none"/>
          <w:lang w:bidi="ar"/>
        </w:rPr>
        <w:t>康支出</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且年初无预算。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农林水</w:t>
      </w:r>
      <w:r>
        <w:rPr>
          <w:rFonts w:hint="eastAsia" w:ascii="仿宋" w:hAnsi="仿宋" w:eastAsia="仿宋" w:cs="仿宋"/>
          <w:color w:val="000000" w:themeColor="text1"/>
          <w:sz w:val="32"/>
          <w:szCs w:val="32"/>
          <w:highlight w:val="none"/>
          <w:lang w:bidi="ar"/>
          <w14:textFill>
            <w14:solidFill>
              <w14:schemeClr w14:val="tx1"/>
            </w14:solidFill>
          </w14:textFill>
        </w:rPr>
        <w:t>支出</w:t>
      </w:r>
      <w:r>
        <w:rPr>
          <w:rFonts w:hint="eastAsia" w:ascii="仿宋" w:hAnsi="仿宋" w:eastAsia="仿宋" w:cs="仿宋"/>
          <w:color w:val="000000" w:themeColor="text1"/>
          <w:sz w:val="32"/>
          <w:szCs w:val="32"/>
          <w:highlight w:val="none"/>
          <w:lang w:eastAsia="zh-CN" w:bidi="ar"/>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且年初无预算。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3.5</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在职人员住房公积金单位部分缴纳</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无增减</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下降</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主要原因是：与2021年决算数无差异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u w:color="auto"/>
          <w:lang w:val="en-US" w:eastAsia="zh-CN"/>
          <w14:textFill>
            <w14:solidFill>
              <w14:schemeClr w14:val="tx1"/>
            </w14:solidFill>
          </w14:textFill>
        </w:rPr>
        <w:t>6</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其他支出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9.53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w:t>
      </w:r>
      <w:r>
        <w:rPr>
          <w:rFonts w:hint="eastAsia" w:ascii="仿宋" w:hAnsi="仿宋" w:eastAsia="仿宋" w:cs="仿宋"/>
          <w:color w:val="000000" w:themeColor="text1"/>
          <w:sz w:val="32"/>
          <w:szCs w:val="32"/>
          <w:highlight w:val="none"/>
          <w14:textFill>
            <w14:solidFill>
              <w14:schemeClr w14:val="tx1"/>
            </w14:solidFill>
          </w14:textFill>
        </w:rPr>
        <w:t>发放的绩效考评奖、伙食补助费。较2021年度决算数</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减少3.22</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下降</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25.25</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主要原因是：绩效和奖金金额减少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default" w:ascii="仿宋" w:hAnsi="仿宋" w:eastAsia="仿宋" w:cs="仿宋"/>
          <w:color w:val="000000" w:themeColor="text1"/>
          <w:sz w:val="32"/>
          <w:szCs w:val="32"/>
          <w:highlight w:val="none"/>
          <w14:textFill>
            <w14:solidFill>
              <w14:schemeClr w14:val="tx1"/>
            </w14:solidFill>
          </w14:textFill>
        </w:rPr>
        <w:t>结余分配</w:t>
      </w:r>
      <w:r>
        <w:rPr>
          <w:rFonts w:hint="eastAsia" w:ascii="仿宋" w:hAnsi="仿宋" w:eastAsia="仿宋" w:cs="仿宋"/>
          <w:color w:val="000000" w:themeColor="text1"/>
          <w:sz w:val="32"/>
          <w:szCs w:val="32"/>
          <w:highlight w:val="none"/>
          <w14:textFill>
            <w14:solidFill>
              <w14:schemeClr w14:val="tx1"/>
            </w14:solidFill>
          </w14:textFill>
        </w:rPr>
        <w:t>0.00</w:t>
      </w:r>
      <w:r>
        <w:rPr>
          <w:rFonts w:hint="default" w:ascii="仿宋" w:hAnsi="仿宋" w:eastAsia="仿宋" w:cs="仿宋"/>
          <w:color w:val="000000" w:themeColor="text1"/>
          <w:sz w:val="32"/>
          <w:szCs w:val="32"/>
          <w:highlight w:val="none"/>
          <w14:textFill>
            <w14:solidFill>
              <w14:schemeClr w14:val="tx1"/>
            </w14:solidFill>
          </w14:textFill>
        </w:rPr>
        <w:t>万元，为事业单位按规定提取的专用结余、缴纳所得税和转入非财政拨款结余等。较202</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default" w:ascii="仿宋" w:hAnsi="仿宋" w:eastAsia="仿宋" w:cs="仿宋"/>
          <w:color w:val="000000" w:themeColor="text1"/>
          <w:sz w:val="32"/>
          <w:szCs w:val="32"/>
          <w:highlight w:val="none"/>
          <w14:textFill>
            <w14:solidFill>
              <w14:schemeClr w14:val="tx1"/>
            </w14:solidFill>
          </w14:textFill>
        </w:rPr>
        <w:t>年决算</w:t>
      </w:r>
      <w:r>
        <w:rPr>
          <w:rFonts w:hint="eastAsia" w:ascii="仿宋" w:hAnsi="仿宋" w:eastAsia="仿宋" w:cs="仿宋"/>
          <w:color w:val="000000" w:themeColor="text1"/>
          <w:sz w:val="32"/>
          <w:szCs w:val="32"/>
          <w:highlight w:val="none"/>
          <w14:textFill>
            <w14:solidFill>
              <w14:schemeClr w14:val="tx1"/>
            </w14:solidFill>
          </w14:textFill>
        </w:rPr>
        <w:t>0.00</w:t>
      </w:r>
      <w:r>
        <w:rPr>
          <w:rFonts w:hint="default"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增加0.00</w:t>
      </w:r>
      <w:r>
        <w:rPr>
          <w:rFonts w:hint="default"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14:textFill>
            <w14:solidFill>
              <w14:schemeClr w14:val="tx1"/>
            </w14:solidFill>
          </w14:textFill>
        </w:rPr>
        <w:t>增长0%</w:t>
      </w:r>
      <w:r>
        <w:rPr>
          <w:rFonts w:hint="default"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：本单位2022年及2021年均无结余分配金额。</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年末结转和结余</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万元，为本年度或以前年度预算安排、因客观条件发生变化无法按原计划实施，需要延迟到以后年度按有关规定继续使用的资金。较2021年度决算数</w:t>
      </w:r>
      <w:r>
        <w:rPr>
          <w:rFonts w:ascii="仿宋" w:hAnsi="仿宋" w:eastAsia="仿宋" w:cs="仿宋"/>
          <w:color w:val="000000" w:themeColor="text1"/>
          <w:sz w:val="32"/>
          <w:u w:color="auto"/>
          <w14:textFill>
            <w14:solidFill>
              <w14:schemeClr w14:val="tx1"/>
            </w14:solidFill>
          </w14:textFill>
        </w:rPr>
        <w:t>增加</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主要原因是：本单位2022年及2021年均无结余分配金额。</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67.34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3.14</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4.46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53.17</w:t>
      </w:r>
      <w:r>
        <w:rPr>
          <w:rFonts w:hint="eastAsia" w:ascii="仿宋" w:hAnsi="仿宋" w:eastAsia="仿宋" w:cs="仿宋"/>
          <w:sz w:val="32"/>
          <w:szCs w:val="32"/>
          <w:highlight w:val="none"/>
        </w:rPr>
        <w:t>万元，项目支出</w:t>
      </w:r>
      <w:r>
        <w:rPr>
          <w:rFonts w:hint="eastAsia" w:ascii="仿宋" w:hAnsi="仿宋" w:eastAsia="仿宋" w:cs="仿宋"/>
          <w:sz w:val="32"/>
          <w:u w:color="auto"/>
        </w:rPr>
        <w:t>14.17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49.99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67.34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134.71</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41.11</w:t>
      </w:r>
      <w:r>
        <w:rPr>
          <w:rFonts w:hint="eastAsia" w:ascii="仿宋" w:hAnsi="仿宋" w:eastAsia="仿宋"/>
          <w:sz w:val="32"/>
          <w:szCs w:val="32"/>
          <w:highlight w:val="none"/>
        </w:rPr>
        <w:t>万元，支出决算为49.13万元，完成年初预算的</w:t>
      </w:r>
      <w:r>
        <w:rPr>
          <w:rFonts w:hint="eastAsia" w:ascii="仿宋" w:hAnsi="仿宋" w:eastAsia="仿宋"/>
          <w:sz w:val="32"/>
          <w:szCs w:val="32"/>
          <w:highlight w:val="none"/>
          <w:lang w:val="en-US" w:eastAsia="zh-CN"/>
        </w:rPr>
        <w:t>119.5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2022年奖金、绩效发放且年初无预算。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113.9%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人员经费及日常开支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2022年奖金、绩效发放且年初无预算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rPr>
              <w:t>2.39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正常开支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在职人员工会经费单位部分开支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5.38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96.47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原因是：在职人员社保缴费基数调</w:t>
      </w:r>
      <w:r>
        <w:rPr>
          <w:rFonts w:hint="eastAsia" w:ascii="仿宋" w:hAnsi="仿宋" w:eastAsia="仿宋"/>
          <w:color w:val="auto"/>
          <w:sz w:val="32"/>
          <w:szCs w:val="32"/>
          <w:highlight w:val="none"/>
          <w:lang w:val="en-US" w:eastAsia="zh-CN"/>
        </w:rPr>
        <w:t>整</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96.47%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在职人员社保缴费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无卫生健康支出。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公务员医疗补助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w:t>
      </w:r>
      <w:r>
        <w:rPr>
          <w:rFonts w:hint="eastAsia" w:ascii="仿宋" w:hAnsi="仿宋" w:eastAsia="仿宋"/>
          <w:color w:val="auto"/>
          <w:sz w:val="32"/>
          <w:szCs w:val="32"/>
          <w:highlight w:val="none"/>
        </w:rPr>
        <w:t>出决算为万元，完成年初预算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无农林水支出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3.51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99.72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在职人员公积金基数调整。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其他支出类</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在职人员奖金，绩效工资发放。</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在职人员的奖金，绩效工资发放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rPr>
        <w:t>67.34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48.69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4.48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48.69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115.98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发放的绩效、奖金年初无预算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11.83万元，30102津贴补7.11万元，30103奖金14.75万元，30106伙食补助费0万元，30107绩效工资0万元，30108机关事业单位基本养老保险缴费5.19万元，30110职工基本医疗保险缴费2.83万元，30111公务员医疗补助缴费0万元，30112其他社会保障缴费0.08万元，30113住房公积金3.79万元，30199其他工资福利支出3.12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4.48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98.9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部分费用未能及时得支付。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0.47万元，30207邮电费0.6万元，30205水费0.01万元，30206电费0.09万元，30211差旅费0.03万元，30215会议费0万元，30216培训费0万元，30226劳务费0万元，30228工会经费0.58万元，30299其他商品和服务支出0万元,30239其他交通费用2.7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年初无预算。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本单位截止于2022年12月31日无债务。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781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主要原因是：本单位截止于2022年12月31日无其他支出。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0.58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0.58</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主要原因是：接</w:t>
      </w:r>
      <w:r>
        <w:rPr>
          <w:rFonts w:hint="eastAsia" w:ascii="仿宋" w:hAnsi="仿宋" w:eastAsia="仿宋" w:cs="仿宋"/>
          <w:color w:val="auto"/>
          <w:kern w:val="2"/>
          <w:sz w:val="32"/>
          <w:szCs w:val="32"/>
          <w:highlight w:val="none"/>
          <w:lang w:val="en-US" w:eastAsia="zh-CN" w:bidi="ar"/>
        </w:rPr>
        <w:t>待费增加。</w:t>
      </w:r>
      <w:r>
        <w:rPr>
          <w:rFonts w:hint="eastAsia" w:ascii="仿宋" w:hAnsi="仿宋" w:eastAsia="仿宋" w:cs="仿宋"/>
          <w:color w:val="auto"/>
          <w:sz w:val="32"/>
          <w:szCs w:val="32"/>
          <w:highlight w:val="none"/>
        </w:rPr>
        <w:t>其</w:t>
      </w:r>
      <w:r>
        <w:rPr>
          <w:rFonts w:hint="eastAsia" w:ascii="仿宋" w:hAnsi="仿宋" w:eastAsia="仿宋" w:cs="仿宋"/>
          <w:color w:val="000000" w:themeColor="text1"/>
          <w:sz w:val="32"/>
          <w:szCs w:val="32"/>
          <w:highlight w:val="none"/>
          <w14:textFill>
            <w14:solidFill>
              <w14:schemeClr w14:val="tx1"/>
            </w14:solidFill>
          </w14:textFill>
        </w:rPr>
        <w:t>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0.58</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_GB2312" w:hAnsi="Times New Roman" w:eastAsia="仿宋_GB2312" w:cs="Times New Roman"/>
          <w:color w:val="auto"/>
          <w:sz w:val="32"/>
          <w:szCs w:val="32"/>
          <w:lang w:val="en-US" w:eastAsia="zh-CN"/>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无出国安排。</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2" w:name="PO_part3A6B2IncReason1"/>
      <w:r>
        <w:rPr>
          <w:rFonts w:hint="eastAsia" w:ascii="仿宋" w:hAnsi="仿宋" w:eastAsia="仿宋" w:cs="仿宋"/>
          <w:color w:val="auto"/>
          <w:sz w:val="32"/>
          <w:szCs w:val="32"/>
        </w:rPr>
        <w:t>本部门无公务用车购置</w:t>
      </w:r>
      <w:bookmarkEnd w:id="2"/>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val="en-US" w:eastAsia="zh-CN"/>
        </w:rPr>
        <w:t>本部门无公务用车，故无公务用车维护费</w:t>
      </w:r>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w:t>
      </w:r>
      <w:r>
        <w:rPr>
          <w:rFonts w:hint="eastAsia" w:ascii="仿宋" w:hAnsi="仿宋" w:eastAsia="仿宋" w:cs="仿宋"/>
          <w:sz w:val="32"/>
          <w:szCs w:val="32"/>
          <w:highlight w:val="none"/>
          <w:lang w:val="en-US" w:eastAsia="zh-CN"/>
        </w:rPr>
        <w:t>环江毛南族自治县工商业联合会</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0.58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0.58</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主要原因是：支付21年及22年业务招待费用。</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9</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45</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本部门2022年度机关运行经费支出4.48万元，比年初预算数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0.05</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1.1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0.78</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正常增减。</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17.36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25.78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pageBreakBefore w:val="0"/>
        <w:kinsoku/>
        <w:wordWrap/>
        <w:overflowPunct/>
        <w:topLinePunct w:val="0"/>
        <w:bidi w:val="0"/>
        <w:snapToGrid/>
        <w:spacing w:beforeAutospacing="0" w:afterAutospacing="0" w:line="560" w:lineRule="exact"/>
        <w:ind w:firstLine="645"/>
        <w:jc w:val="both"/>
        <w:textAlignment w:val="auto"/>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工商联参政议政等1个</w:t>
      </w:r>
      <w:r>
        <w:rPr>
          <w:rFonts w:hint="eastAsia" w:ascii="仿宋" w:hAnsi="仿宋" w:eastAsia="仿宋" w:cs="仿宋"/>
          <w:color w:val="000000" w:themeColor="text1"/>
          <w:sz w:val="32"/>
          <w:szCs w:val="32"/>
          <w14:textFill>
            <w14:solidFill>
              <w14:schemeClr w14:val="tx1"/>
            </w14:solidFill>
          </w14:textFill>
        </w:rPr>
        <w:t>项目支出进行了部门评价，涉及一般公共预算支出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_GB2312" w:eastAsia="仿宋_GB2312" w:cs="仿宋_GB2312"/>
          <w:kern w:val="0"/>
          <w:sz w:val="32"/>
          <w:szCs w:val="32"/>
        </w:rPr>
        <w:t>从评价情况来看，</w:t>
      </w:r>
      <w:r>
        <w:rPr>
          <w:rStyle w:val="8"/>
          <w:rFonts w:hint="eastAsia" w:ascii="仿宋_GB2312" w:hAnsi="微软雅黑" w:eastAsia="仿宋_GB2312"/>
          <w:b w:val="0"/>
          <w:bCs w:val="0"/>
          <w:color w:val="000000"/>
          <w:sz w:val="32"/>
          <w:szCs w:val="32"/>
        </w:rPr>
        <w:t>支出绩效情况良好，达到项目申请时设定的各项绩效目标。</w:t>
      </w:r>
    </w:p>
    <w:p>
      <w:pPr>
        <w:ind w:firstLine="640" w:firstLineChars="200"/>
        <w:jc w:val="left"/>
        <w:rPr>
          <w:rFonts w:hint="eastAsia" w:ascii="仿宋" w:hAnsi="仿宋" w:eastAsia="仿宋_GB2312"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工商联</w:t>
      </w:r>
      <w:r>
        <w:rPr>
          <w:rFonts w:hint="eastAsia" w:ascii="仿宋" w:hAnsi="仿宋" w:eastAsia="仿宋" w:cs="仿宋"/>
          <w:color w:val="000000" w:themeColor="text1"/>
          <w:sz w:val="32"/>
          <w:szCs w:val="32"/>
          <w14:textFill>
            <w14:solidFill>
              <w14:schemeClr w14:val="tx1"/>
            </w14:solidFill>
          </w14:textFill>
        </w:rPr>
        <w:t>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17.36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w:t>
      </w:r>
      <w:r>
        <w:rPr>
          <w:rFonts w:hint="eastAsia" w:ascii="仿宋" w:hAnsi="仿宋" w:eastAsia="仿宋" w:cs="仿宋"/>
          <w:color w:val="000000" w:themeColor="text1"/>
          <w:sz w:val="32"/>
          <w:szCs w:val="32"/>
          <w:lang w:val="en-US" w:eastAsia="zh-CN"/>
          <w14:textFill>
            <w14:solidFill>
              <w14:schemeClr w14:val="tx1"/>
            </w14:solidFill>
          </w14:textFill>
        </w:rPr>
        <w:t>整体</w:t>
      </w:r>
      <w:r>
        <w:rPr>
          <w:rFonts w:hint="eastAsia" w:ascii="仿宋" w:hAnsi="仿宋" w:eastAsia="仿宋" w:cs="仿宋"/>
          <w:color w:val="000000" w:themeColor="text1"/>
          <w:sz w:val="32"/>
          <w:szCs w:val="32"/>
          <w14:textFill>
            <w14:solidFill>
              <w14:schemeClr w14:val="tx1"/>
            </w14:solidFill>
          </w14:textFill>
        </w:rPr>
        <w:t>评价情况来看，</w:t>
      </w:r>
      <w:r>
        <w:rPr>
          <w:rStyle w:val="8"/>
          <w:rFonts w:hint="eastAsia" w:ascii="仿宋_GB2312" w:hAnsi="微软雅黑" w:eastAsia="仿宋_GB2312"/>
          <w:b w:val="0"/>
          <w:bCs w:val="0"/>
          <w:color w:val="000000"/>
          <w:sz w:val="32"/>
          <w:szCs w:val="32"/>
        </w:rPr>
        <w:t>支出绩效情况良好，达到</w:t>
      </w:r>
      <w:r>
        <w:rPr>
          <w:rStyle w:val="8"/>
          <w:rFonts w:hint="eastAsia" w:ascii="仿宋_GB2312" w:hAnsi="微软雅黑" w:eastAsia="仿宋_GB2312"/>
          <w:b w:val="0"/>
          <w:bCs w:val="0"/>
          <w:color w:val="000000"/>
          <w:sz w:val="32"/>
          <w:szCs w:val="32"/>
          <w:lang w:val="en-US" w:eastAsia="zh-CN"/>
        </w:rPr>
        <w:t>整体</w:t>
      </w:r>
      <w:r>
        <w:rPr>
          <w:rStyle w:val="8"/>
          <w:rFonts w:hint="eastAsia" w:ascii="仿宋_GB2312" w:hAnsi="微软雅黑" w:eastAsia="仿宋_GB2312"/>
          <w:b w:val="0"/>
          <w:bCs w:val="0"/>
          <w:color w:val="000000"/>
          <w:sz w:val="32"/>
          <w:szCs w:val="32"/>
        </w:rPr>
        <w:t>项目申请时设定的各项绩效目标</w:t>
      </w:r>
      <w:r>
        <w:rPr>
          <w:rStyle w:val="8"/>
          <w:rFonts w:hint="eastAsia" w:ascii="仿宋_GB2312" w:hAnsi="微软雅黑" w:eastAsia="仿宋_GB2312"/>
          <w:b w:val="0"/>
          <w:bCs w:val="0"/>
          <w:color w:val="000000"/>
          <w:sz w:val="32"/>
          <w:szCs w:val="32"/>
          <w:lang w:eastAsia="zh-CN"/>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default"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工商联参政议政</w:t>
      </w:r>
      <w:r>
        <w:rPr>
          <w:rFonts w:hint="default" w:ascii="仿宋" w:hAnsi="仿宋" w:eastAsia="仿宋" w:cs="仿宋"/>
          <w:color w:val="000000" w:themeColor="text1"/>
          <w:sz w:val="32"/>
          <w:szCs w:val="32"/>
          <w14:textFill>
            <w14:solidFill>
              <w14:schemeClr w14:val="tx1"/>
            </w14:solidFill>
          </w14:textFill>
        </w:rPr>
        <w:t>”项目自评得分为100 分。该项目年初预算</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default" w:ascii="仿宋" w:hAnsi="仿宋" w:eastAsia="仿宋" w:cs="仿宋"/>
          <w:color w:val="000000" w:themeColor="text1"/>
          <w:sz w:val="32"/>
          <w:szCs w:val="32"/>
          <w14:textFill>
            <w14:solidFill>
              <w14:schemeClr w14:val="tx1"/>
            </w14:solidFill>
          </w14:textFill>
        </w:rPr>
        <w:t>万元，绩效评价结果显示，上述项目支出绩效情况达到项目申请时设定的各项指标。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2DA124F"/>
    <w:multiLevelType w:val="singleLevel"/>
    <w:tmpl w:val="02DA124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NGJjNzkxYWMzMTQ5NmQwMjU0YzEzMmFkNWE3MD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47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51361"/>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62EEC"/>
    <w:rsid w:val="01234E98"/>
    <w:rsid w:val="013B4910"/>
    <w:rsid w:val="015F1951"/>
    <w:rsid w:val="01826A17"/>
    <w:rsid w:val="020C171D"/>
    <w:rsid w:val="0216715F"/>
    <w:rsid w:val="02232C91"/>
    <w:rsid w:val="02BF77F6"/>
    <w:rsid w:val="02E0291A"/>
    <w:rsid w:val="04AD5A0C"/>
    <w:rsid w:val="04E13A54"/>
    <w:rsid w:val="04E54546"/>
    <w:rsid w:val="04FB2E55"/>
    <w:rsid w:val="05992762"/>
    <w:rsid w:val="059960DD"/>
    <w:rsid w:val="060914B4"/>
    <w:rsid w:val="067A5F0E"/>
    <w:rsid w:val="06B9082A"/>
    <w:rsid w:val="07247C28"/>
    <w:rsid w:val="07B0770E"/>
    <w:rsid w:val="07CF1338"/>
    <w:rsid w:val="07E736EF"/>
    <w:rsid w:val="07EB4B51"/>
    <w:rsid w:val="08387E2F"/>
    <w:rsid w:val="086D0FED"/>
    <w:rsid w:val="089D7C92"/>
    <w:rsid w:val="08D35DAA"/>
    <w:rsid w:val="0942143F"/>
    <w:rsid w:val="09756E61"/>
    <w:rsid w:val="09895C96"/>
    <w:rsid w:val="098D7D07"/>
    <w:rsid w:val="09E85885"/>
    <w:rsid w:val="0A04459D"/>
    <w:rsid w:val="0ADE0F46"/>
    <w:rsid w:val="0B671CFC"/>
    <w:rsid w:val="0B70168E"/>
    <w:rsid w:val="0B84338B"/>
    <w:rsid w:val="0D100297"/>
    <w:rsid w:val="0D202B45"/>
    <w:rsid w:val="0DC857B1"/>
    <w:rsid w:val="0E0F50B1"/>
    <w:rsid w:val="0E560E0F"/>
    <w:rsid w:val="0E8076CD"/>
    <w:rsid w:val="0F81030D"/>
    <w:rsid w:val="0F8D4C87"/>
    <w:rsid w:val="0FA4224E"/>
    <w:rsid w:val="0FAC20D9"/>
    <w:rsid w:val="10505FAA"/>
    <w:rsid w:val="105F7E7E"/>
    <w:rsid w:val="112453F4"/>
    <w:rsid w:val="11301FEB"/>
    <w:rsid w:val="117417AC"/>
    <w:rsid w:val="11B17A69"/>
    <w:rsid w:val="11E56B5B"/>
    <w:rsid w:val="125C77AB"/>
    <w:rsid w:val="126D0240"/>
    <w:rsid w:val="13001549"/>
    <w:rsid w:val="13025CB9"/>
    <w:rsid w:val="13174AE5"/>
    <w:rsid w:val="13547AE7"/>
    <w:rsid w:val="1382139C"/>
    <w:rsid w:val="143C4803"/>
    <w:rsid w:val="143F2545"/>
    <w:rsid w:val="1456063D"/>
    <w:rsid w:val="14CB726E"/>
    <w:rsid w:val="14D47CF8"/>
    <w:rsid w:val="156A35F2"/>
    <w:rsid w:val="15DF094D"/>
    <w:rsid w:val="15E92769"/>
    <w:rsid w:val="160550C9"/>
    <w:rsid w:val="172D48D7"/>
    <w:rsid w:val="172F4AF3"/>
    <w:rsid w:val="174033CA"/>
    <w:rsid w:val="177B5642"/>
    <w:rsid w:val="17E92249"/>
    <w:rsid w:val="181C6A73"/>
    <w:rsid w:val="18D304F1"/>
    <w:rsid w:val="192B4E46"/>
    <w:rsid w:val="195425EF"/>
    <w:rsid w:val="196071E6"/>
    <w:rsid w:val="19F32577"/>
    <w:rsid w:val="19F45B80"/>
    <w:rsid w:val="1AB02F09"/>
    <w:rsid w:val="1B0C078D"/>
    <w:rsid w:val="1B2B31E2"/>
    <w:rsid w:val="1B4C295A"/>
    <w:rsid w:val="1B973C63"/>
    <w:rsid w:val="1BA1001E"/>
    <w:rsid w:val="1BA86C22"/>
    <w:rsid w:val="1BAD248A"/>
    <w:rsid w:val="1BD619E1"/>
    <w:rsid w:val="1C3E30E2"/>
    <w:rsid w:val="1C735482"/>
    <w:rsid w:val="1CBF00CA"/>
    <w:rsid w:val="1CE4012E"/>
    <w:rsid w:val="1CFD2F9D"/>
    <w:rsid w:val="1D0936F0"/>
    <w:rsid w:val="1D1D0F4A"/>
    <w:rsid w:val="1D317259"/>
    <w:rsid w:val="1DE000FC"/>
    <w:rsid w:val="1E664F5B"/>
    <w:rsid w:val="1E9E7D71"/>
    <w:rsid w:val="1EB34BE1"/>
    <w:rsid w:val="1F0120F6"/>
    <w:rsid w:val="1F1840BF"/>
    <w:rsid w:val="1F7E2602"/>
    <w:rsid w:val="21132D8F"/>
    <w:rsid w:val="2120725A"/>
    <w:rsid w:val="21366A7E"/>
    <w:rsid w:val="215E639F"/>
    <w:rsid w:val="21C50EE2"/>
    <w:rsid w:val="21EC3183"/>
    <w:rsid w:val="222D7E81"/>
    <w:rsid w:val="225E72CD"/>
    <w:rsid w:val="236B2A0F"/>
    <w:rsid w:val="23C71C0F"/>
    <w:rsid w:val="23DF6D00"/>
    <w:rsid w:val="2413797E"/>
    <w:rsid w:val="246E2F77"/>
    <w:rsid w:val="24F2250B"/>
    <w:rsid w:val="254B4E2B"/>
    <w:rsid w:val="25714529"/>
    <w:rsid w:val="2612248F"/>
    <w:rsid w:val="278C564A"/>
    <w:rsid w:val="27CF7A19"/>
    <w:rsid w:val="27D74338"/>
    <w:rsid w:val="283D7C94"/>
    <w:rsid w:val="28DA4193"/>
    <w:rsid w:val="28EA087A"/>
    <w:rsid w:val="29480E03"/>
    <w:rsid w:val="29551481"/>
    <w:rsid w:val="29600B3C"/>
    <w:rsid w:val="2983634D"/>
    <w:rsid w:val="29A44ECD"/>
    <w:rsid w:val="2AB033FD"/>
    <w:rsid w:val="2AC37256"/>
    <w:rsid w:val="2B1C6CE5"/>
    <w:rsid w:val="2B30012B"/>
    <w:rsid w:val="2B434271"/>
    <w:rsid w:val="2B6C37C8"/>
    <w:rsid w:val="2BB02055"/>
    <w:rsid w:val="2BE75544"/>
    <w:rsid w:val="2C575A56"/>
    <w:rsid w:val="2C722FB3"/>
    <w:rsid w:val="2CBC252D"/>
    <w:rsid w:val="2DA059AB"/>
    <w:rsid w:val="2EBD258D"/>
    <w:rsid w:val="2EE24644"/>
    <w:rsid w:val="2F257714"/>
    <w:rsid w:val="2F3275E5"/>
    <w:rsid w:val="2F603644"/>
    <w:rsid w:val="2FD302BA"/>
    <w:rsid w:val="302C1780"/>
    <w:rsid w:val="30AA08EF"/>
    <w:rsid w:val="30D23D1C"/>
    <w:rsid w:val="31221CF5"/>
    <w:rsid w:val="31374C58"/>
    <w:rsid w:val="31400178"/>
    <w:rsid w:val="31437A2F"/>
    <w:rsid w:val="319D593E"/>
    <w:rsid w:val="32056724"/>
    <w:rsid w:val="321E3342"/>
    <w:rsid w:val="32737B32"/>
    <w:rsid w:val="327759C8"/>
    <w:rsid w:val="33185FE3"/>
    <w:rsid w:val="333B4A44"/>
    <w:rsid w:val="344D62AE"/>
    <w:rsid w:val="346A286F"/>
    <w:rsid w:val="34EE2E36"/>
    <w:rsid w:val="352B64A2"/>
    <w:rsid w:val="36541A28"/>
    <w:rsid w:val="366003CD"/>
    <w:rsid w:val="36777241"/>
    <w:rsid w:val="369010FB"/>
    <w:rsid w:val="369A74F3"/>
    <w:rsid w:val="36B44275"/>
    <w:rsid w:val="37FA03AE"/>
    <w:rsid w:val="389600D6"/>
    <w:rsid w:val="38A951DB"/>
    <w:rsid w:val="38B31605"/>
    <w:rsid w:val="38C34C43"/>
    <w:rsid w:val="39003F4F"/>
    <w:rsid w:val="39074B30"/>
    <w:rsid w:val="39691347"/>
    <w:rsid w:val="396E4BAF"/>
    <w:rsid w:val="39E17431"/>
    <w:rsid w:val="3A4E4B19"/>
    <w:rsid w:val="3AA32404"/>
    <w:rsid w:val="3B3F2CA7"/>
    <w:rsid w:val="3B844B5E"/>
    <w:rsid w:val="3BB30F9F"/>
    <w:rsid w:val="3C07002B"/>
    <w:rsid w:val="3C215F09"/>
    <w:rsid w:val="3C8F7316"/>
    <w:rsid w:val="3CCC6CDE"/>
    <w:rsid w:val="3D0D152A"/>
    <w:rsid w:val="3DF62756"/>
    <w:rsid w:val="3E2E13DC"/>
    <w:rsid w:val="3EB2080F"/>
    <w:rsid w:val="3EB2553E"/>
    <w:rsid w:val="3EBE2135"/>
    <w:rsid w:val="3EDE27D7"/>
    <w:rsid w:val="3F1B7587"/>
    <w:rsid w:val="3F6E5909"/>
    <w:rsid w:val="3FD511B7"/>
    <w:rsid w:val="4021098C"/>
    <w:rsid w:val="406960D0"/>
    <w:rsid w:val="412C5A7C"/>
    <w:rsid w:val="41314E40"/>
    <w:rsid w:val="41C65350"/>
    <w:rsid w:val="41E57B4F"/>
    <w:rsid w:val="41F73507"/>
    <w:rsid w:val="425D3A13"/>
    <w:rsid w:val="432223A4"/>
    <w:rsid w:val="432F26F6"/>
    <w:rsid w:val="43880F63"/>
    <w:rsid w:val="43AA712C"/>
    <w:rsid w:val="43DD305D"/>
    <w:rsid w:val="441C5A6F"/>
    <w:rsid w:val="44774D66"/>
    <w:rsid w:val="44C44FCC"/>
    <w:rsid w:val="44CC7369"/>
    <w:rsid w:val="45336CAD"/>
    <w:rsid w:val="457F5108"/>
    <w:rsid w:val="459419EE"/>
    <w:rsid w:val="45E5269D"/>
    <w:rsid w:val="46951B6B"/>
    <w:rsid w:val="46AE0CE1"/>
    <w:rsid w:val="46E918B3"/>
    <w:rsid w:val="4755115C"/>
    <w:rsid w:val="47A85730"/>
    <w:rsid w:val="48536525"/>
    <w:rsid w:val="48693111"/>
    <w:rsid w:val="48A46009"/>
    <w:rsid w:val="48AE3670"/>
    <w:rsid w:val="48E42798"/>
    <w:rsid w:val="49A34401"/>
    <w:rsid w:val="4A006E59"/>
    <w:rsid w:val="4A286FFC"/>
    <w:rsid w:val="4A3414FD"/>
    <w:rsid w:val="4A3E30AB"/>
    <w:rsid w:val="4A7B35D0"/>
    <w:rsid w:val="4ABA40F8"/>
    <w:rsid w:val="4AC14DAC"/>
    <w:rsid w:val="4ADB7397"/>
    <w:rsid w:val="4B3814C1"/>
    <w:rsid w:val="4B9A0871"/>
    <w:rsid w:val="4C583BC9"/>
    <w:rsid w:val="4CC7700D"/>
    <w:rsid w:val="4D043409"/>
    <w:rsid w:val="4D154C85"/>
    <w:rsid w:val="4D6D36A4"/>
    <w:rsid w:val="4E0472EF"/>
    <w:rsid w:val="4E235B10"/>
    <w:rsid w:val="4EC8553A"/>
    <w:rsid w:val="4F553D3D"/>
    <w:rsid w:val="4FBF3F5F"/>
    <w:rsid w:val="4FC878AF"/>
    <w:rsid w:val="505C17AE"/>
    <w:rsid w:val="508F4E24"/>
    <w:rsid w:val="51461E90"/>
    <w:rsid w:val="51463753"/>
    <w:rsid w:val="51AD13AD"/>
    <w:rsid w:val="51BF7ECE"/>
    <w:rsid w:val="51EE4687"/>
    <w:rsid w:val="52553A93"/>
    <w:rsid w:val="52566DC5"/>
    <w:rsid w:val="528B0128"/>
    <w:rsid w:val="52FC5C5D"/>
    <w:rsid w:val="53087B54"/>
    <w:rsid w:val="53521F8B"/>
    <w:rsid w:val="53E22F47"/>
    <w:rsid w:val="540E1011"/>
    <w:rsid w:val="54522FF8"/>
    <w:rsid w:val="5452714F"/>
    <w:rsid w:val="54680721"/>
    <w:rsid w:val="54DF6509"/>
    <w:rsid w:val="55191A1B"/>
    <w:rsid w:val="55450629"/>
    <w:rsid w:val="55863C68"/>
    <w:rsid w:val="56403B4C"/>
    <w:rsid w:val="56692963"/>
    <w:rsid w:val="568B0F48"/>
    <w:rsid w:val="56B569A0"/>
    <w:rsid w:val="56F444EE"/>
    <w:rsid w:val="575C2093"/>
    <w:rsid w:val="5786217B"/>
    <w:rsid w:val="57AC301B"/>
    <w:rsid w:val="57C02622"/>
    <w:rsid w:val="57D87381"/>
    <w:rsid w:val="57EC3417"/>
    <w:rsid w:val="584A5CB3"/>
    <w:rsid w:val="592D7AAD"/>
    <w:rsid w:val="59337A15"/>
    <w:rsid w:val="59810274"/>
    <w:rsid w:val="5999137D"/>
    <w:rsid w:val="5B286D4F"/>
    <w:rsid w:val="5BB11CA6"/>
    <w:rsid w:val="5C900B9C"/>
    <w:rsid w:val="5CA96A00"/>
    <w:rsid w:val="5CF730BC"/>
    <w:rsid w:val="5DCF35BF"/>
    <w:rsid w:val="5E3E1B85"/>
    <w:rsid w:val="5E5E2B95"/>
    <w:rsid w:val="5E5F0DCE"/>
    <w:rsid w:val="5F3B0A2B"/>
    <w:rsid w:val="5F9E1458"/>
    <w:rsid w:val="5FA40A7B"/>
    <w:rsid w:val="5FD56D29"/>
    <w:rsid w:val="5FEC7F3F"/>
    <w:rsid w:val="5FFC4413"/>
    <w:rsid w:val="602120CC"/>
    <w:rsid w:val="60F74BC3"/>
    <w:rsid w:val="61406582"/>
    <w:rsid w:val="617D3BF8"/>
    <w:rsid w:val="61841F6A"/>
    <w:rsid w:val="623007A9"/>
    <w:rsid w:val="62C30438"/>
    <w:rsid w:val="62D55422"/>
    <w:rsid w:val="62DE42A4"/>
    <w:rsid w:val="63610025"/>
    <w:rsid w:val="637D7558"/>
    <w:rsid w:val="63B3647D"/>
    <w:rsid w:val="63FD6F73"/>
    <w:rsid w:val="644F19AC"/>
    <w:rsid w:val="64DB6CED"/>
    <w:rsid w:val="652E32C1"/>
    <w:rsid w:val="65510D5D"/>
    <w:rsid w:val="65AA4920"/>
    <w:rsid w:val="667967BE"/>
    <w:rsid w:val="66D63C10"/>
    <w:rsid w:val="671E7365"/>
    <w:rsid w:val="6752455C"/>
    <w:rsid w:val="67694F1E"/>
    <w:rsid w:val="67A02BD4"/>
    <w:rsid w:val="67A21D44"/>
    <w:rsid w:val="681E3405"/>
    <w:rsid w:val="68297D70"/>
    <w:rsid w:val="684F3C7A"/>
    <w:rsid w:val="688B6548"/>
    <w:rsid w:val="68D24636"/>
    <w:rsid w:val="693764BC"/>
    <w:rsid w:val="6949649F"/>
    <w:rsid w:val="69597934"/>
    <w:rsid w:val="699833FF"/>
    <w:rsid w:val="69B937EA"/>
    <w:rsid w:val="69D822D4"/>
    <w:rsid w:val="6A5D01A4"/>
    <w:rsid w:val="6B964DDC"/>
    <w:rsid w:val="6C292A34"/>
    <w:rsid w:val="6C783074"/>
    <w:rsid w:val="6CAB3449"/>
    <w:rsid w:val="6D374CDD"/>
    <w:rsid w:val="6D965EA7"/>
    <w:rsid w:val="6D9E65C6"/>
    <w:rsid w:val="6DA81947"/>
    <w:rsid w:val="6DC72505"/>
    <w:rsid w:val="6E0E200D"/>
    <w:rsid w:val="6EB66DE2"/>
    <w:rsid w:val="6ED3075F"/>
    <w:rsid w:val="6F2169E5"/>
    <w:rsid w:val="6F2A2D4B"/>
    <w:rsid w:val="6F593630"/>
    <w:rsid w:val="6F8A0C1E"/>
    <w:rsid w:val="6F992F8A"/>
    <w:rsid w:val="703F45D4"/>
    <w:rsid w:val="713B6657"/>
    <w:rsid w:val="715D6546"/>
    <w:rsid w:val="71BE069E"/>
    <w:rsid w:val="72030E1E"/>
    <w:rsid w:val="722C2936"/>
    <w:rsid w:val="726C2848"/>
    <w:rsid w:val="72EC0317"/>
    <w:rsid w:val="72F23E71"/>
    <w:rsid w:val="73746558"/>
    <w:rsid w:val="73953409"/>
    <w:rsid w:val="73E069A3"/>
    <w:rsid w:val="73EF6311"/>
    <w:rsid w:val="74130252"/>
    <w:rsid w:val="74E10220"/>
    <w:rsid w:val="7564688B"/>
    <w:rsid w:val="75774810"/>
    <w:rsid w:val="76592168"/>
    <w:rsid w:val="7677439C"/>
    <w:rsid w:val="76A71125"/>
    <w:rsid w:val="77F71C38"/>
    <w:rsid w:val="78104AA8"/>
    <w:rsid w:val="78654DF4"/>
    <w:rsid w:val="78DB550B"/>
    <w:rsid w:val="78E257C5"/>
    <w:rsid w:val="794B35BE"/>
    <w:rsid w:val="79893ADD"/>
    <w:rsid w:val="799A0ACD"/>
    <w:rsid w:val="7A261E0E"/>
    <w:rsid w:val="7A3507F6"/>
    <w:rsid w:val="7A3A5E0C"/>
    <w:rsid w:val="7A431165"/>
    <w:rsid w:val="7ACA5EF4"/>
    <w:rsid w:val="7B0A3A31"/>
    <w:rsid w:val="7B0D52CF"/>
    <w:rsid w:val="7B3360ED"/>
    <w:rsid w:val="7B42766E"/>
    <w:rsid w:val="7B5319F3"/>
    <w:rsid w:val="7BDF037E"/>
    <w:rsid w:val="7BF50948"/>
    <w:rsid w:val="7CE66A78"/>
    <w:rsid w:val="7D23564C"/>
    <w:rsid w:val="7D553689"/>
    <w:rsid w:val="7D5E062D"/>
    <w:rsid w:val="7DF76CD8"/>
    <w:rsid w:val="7E192908"/>
    <w:rsid w:val="7E1F5A45"/>
    <w:rsid w:val="7E7458EF"/>
    <w:rsid w:val="7E906943"/>
    <w:rsid w:val="7EBB576E"/>
    <w:rsid w:val="7EDA5815"/>
    <w:rsid w:val="7F0F1615"/>
    <w:rsid w:val="7F3379FA"/>
    <w:rsid w:val="7F475253"/>
    <w:rsid w:val="7F531E4A"/>
    <w:rsid w:val="7F695C26"/>
    <w:rsid w:val="7FA61835"/>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bCs/>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67.34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其他支出</c:v>
                </c:pt>
                <c:pt idx="3">
                  <c:v>住房保障支出</c:v>
                </c:pt>
              </c:strCache>
            </c:strRef>
          </c:cat>
          <c:val>
            <c:numRef>
              <c:f>Sheet1!$B$2:$B$5</c:f>
              <c:numCache>
                <c:formatCode>General</c:formatCode>
                <c:ptCount val="4"/>
                <c:pt idx="0">
                  <c:v>49.13</c:v>
                </c:pt>
                <c:pt idx="1">
                  <c:v>5.19</c:v>
                </c:pt>
                <c:pt idx="2">
                  <c:v>9.53</c:v>
                </c:pt>
                <c:pt idx="3">
                  <c:v>3.5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其他支出</c:v>
                </c:pt>
                <c:pt idx="3">
                  <c:v>住房保障支出</c:v>
                </c:pt>
              </c:strCache>
            </c:strRef>
          </c:cat>
          <c:val>
            <c:numRef>
              <c:f>Sheet1!$C$2:$C$5</c:f>
              <c:numCache>
                <c:formatCode>General</c:formatCode>
                <c:ptCount val="4"/>
                <c:pt idx="0">
                  <c:v>50.01</c:v>
                </c:pt>
                <c:pt idx="1">
                  <c:v>4.21</c:v>
                </c:pt>
                <c:pt idx="2">
                  <c:v>12.75</c:v>
                </c:pt>
                <c:pt idx="3">
                  <c:v>3.5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2050101</c:v>
                </c:pt>
                <c:pt idx="1">
                  <c:v>2010302</c:v>
                </c:pt>
                <c:pt idx="2">
                  <c:v>2012999</c:v>
                </c:pt>
              </c:numCache>
            </c:numRef>
          </c:cat>
          <c:val>
            <c:numRef>
              <c:f>Sheet1!$B$2:$B$4</c:f>
              <c:numCache>
                <c:formatCode>General</c:formatCode>
                <c:ptCount val="3"/>
                <c:pt idx="0">
                  <c:v>46.15</c:v>
                </c:pt>
                <c:pt idx="1">
                  <c:v>2.39</c:v>
                </c:pt>
                <c:pt idx="2">
                  <c:v>0.58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5.38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2101101</c:v>
                </c:pt>
                <c:pt idx="1">
                  <c:v>2101102</c:v>
                </c:pt>
                <c:pt idx="2">
                  <c:v>2101103</c:v>
                </c:pt>
                <c:pt idx="3">
                  <c:v>210x</c:v>
                </c:pt>
              </c:strCache>
            </c:strRef>
          </c:cat>
          <c:val>
            <c:numRef>
              <c:f>Sheet1!$B$2:$B$5</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manualLayout>
          <c:layoutTarget val="inner"/>
          <c:xMode val="edge"/>
          <c:yMode val="edge"/>
          <c:x val="0.0811125301546757"/>
          <c:y val="0.169431279620853"/>
          <c:w val="0.8794380587484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2130599</c:v>
                </c:pt>
                <c:pt idx="1">
                  <c:v>213x</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Sheet1!$A$2:$A$12</c:f>
              <c:numCache>
                <c:formatCode>General</c:formatCode>
                <c:ptCount val="11"/>
                <c:pt idx="0">
                  <c:v>30101</c:v>
                </c:pt>
                <c:pt idx="1">
                  <c:v>30102</c:v>
                </c:pt>
                <c:pt idx="2">
                  <c:v>30103</c:v>
                </c:pt>
                <c:pt idx="3">
                  <c:v>30106</c:v>
                </c:pt>
                <c:pt idx="4">
                  <c:v>30107</c:v>
                </c:pt>
                <c:pt idx="5">
                  <c:v>30108</c:v>
                </c:pt>
                <c:pt idx="6">
                  <c:v>30110</c:v>
                </c:pt>
                <c:pt idx="7">
                  <c:v>30111</c:v>
                </c:pt>
                <c:pt idx="8">
                  <c:v>30112</c:v>
                </c:pt>
                <c:pt idx="9">
                  <c:v>30113</c:v>
                </c:pt>
                <c:pt idx="10">
                  <c:v>30199</c:v>
                </c:pt>
              </c:numCache>
            </c:numRef>
          </c:cat>
          <c:val>
            <c:numRef>
              <c:f>Sheet1!$B$2:$B$12</c:f>
              <c:numCache>
                <c:formatCode>General</c:formatCode>
                <c:ptCount val="11"/>
                <c:pt idx="0">
                  <c:v>11.83</c:v>
                </c:pt>
                <c:pt idx="1">
                  <c:v>7.11</c:v>
                </c:pt>
                <c:pt idx="2">
                  <c:v>14.75</c:v>
                </c:pt>
                <c:pt idx="3">
                  <c:v>0</c:v>
                </c:pt>
                <c:pt idx="4">
                  <c:v>0</c:v>
                </c:pt>
                <c:pt idx="5">
                  <c:v>5.19</c:v>
                </c:pt>
                <c:pt idx="6">
                  <c:v>2.83</c:v>
                </c:pt>
                <c:pt idx="7">
                  <c:v>0</c:v>
                </c:pt>
                <c:pt idx="8">
                  <c:v>0.08</c:v>
                </c:pt>
                <c:pt idx="9">
                  <c:v>3.79</c:v>
                </c:pt>
                <c:pt idx="10">
                  <c:v>3.12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Sheet1!$A$2:$A$21</c:f>
              <c:numCache>
                <c:formatCode>General</c:formatCode>
                <c:ptCount val="20"/>
                <c:pt idx="0">
                  <c:v>30201</c:v>
                </c:pt>
                <c:pt idx="1">
                  <c:v>30202</c:v>
                </c:pt>
                <c:pt idx="2">
                  <c:v>30203</c:v>
                </c:pt>
                <c:pt idx="3">
                  <c:v>30204</c:v>
                </c:pt>
                <c:pt idx="4">
                  <c:v>30205</c:v>
                </c:pt>
                <c:pt idx="5">
                  <c:v>30206</c:v>
                </c:pt>
                <c:pt idx="6">
                  <c:v>30207</c:v>
                </c:pt>
                <c:pt idx="7">
                  <c:v>30208</c:v>
                </c:pt>
                <c:pt idx="8">
                  <c:v>30209</c:v>
                </c:pt>
                <c:pt idx="9">
                  <c:v>30211</c:v>
                </c:pt>
                <c:pt idx="10">
                  <c:v>30215</c:v>
                </c:pt>
                <c:pt idx="11">
                  <c:v>30216</c:v>
                </c:pt>
                <c:pt idx="12">
                  <c:v>30218</c:v>
                </c:pt>
                <c:pt idx="13">
                  <c:v>30224</c:v>
                </c:pt>
                <c:pt idx="14">
                  <c:v>30225</c:v>
                </c:pt>
                <c:pt idx="15">
                  <c:v>30226</c:v>
                </c:pt>
                <c:pt idx="16">
                  <c:v>30228</c:v>
                </c:pt>
                <c:pt idx="17">
                  <c:v>30231</c:v>
                </c:pt>
                <c:pt idx="18">
                  <c:v>30239</c:v>
                </c:pt>
                <c:pt idx="19">
                  <c:v>30299</c:v>
                </c:pt>
              </c:numCache>
            </c:numRef>
          </c:cat>
          <c:val>
            <c:numRef>
              <c:f>Sheet1!$B$2:$B$21</c:f>
              <c:numCache>
                <c:formatCode>General</c:formatCode>
                <c:ptCount val="20"/>
                <c:pt idx="0">
                  <c:v>0.47</c:v>
                </c:pt>
                <c:pt idx="1">
                  <c:v>0</c:v>
                </c:pt>
                <c:pt idx="2">
                  <c:v>0</c:v>
                </c:pt>
                <c:pt idx="3">
                  <c:v>0</c:v>
                </c:pt>
                <c:pt idx="4">
                  <c:v>0.01</c:v>
                </c:pt>
                <c:pt idx="5">
                  <c:v>0.09</c:v>
                </c:pt>
                <c:pt idx="6">
                  <c:v>0.6</c:v>
                </c:pt>
                <c:pt idx="7">
                  <c:v>0</c:v>
                </c:pt>
                <c:pt idx="8">
                  <c:v>0</c:v>
                </c:pt>
                <c:pt idx="9">
                  <c:v>0.03</c:v>
                </c:pt>
                <c:pt idx="10">
                  <c:v>0</c:v>
                </c:pt>
                <c:pt idx="11">
                  <c:v>0</c:v>
                </c:pt>
                <c:pt idx="12">
                  <c:v>0</c:v>
                </c:pt>
                <c:pt idx="13">
                  <c:v>0</c:v>
                </c:pt>
                <c:pt idx="14">
                  <c:v>0</c:v>
                </c:pt>
                <c:pt idx="15">
                  <c:v>0</c:v>
                </c:pt>
                <c:pt idx="16">
                  <c:v>0.58</c:v>
                </c:pt>
                <c:pt idx="17">
                  <c:v>0</c:v>
                </c:pt>
                <c:pt idx="18">
                  <c:v>2.7</c:v>
                </c:pt>
                <c:pt idx="19">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2023-11-29T08:00:07Z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