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环江毛南族自治县民族宗教事务局</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环江毛南族自治县民族宗教事务局</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环江毛南族自治县民族宗教事务局</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环江毛南族自治县民族宗教事务局</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环江毛南族自治县民族宗教事务局</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pStyle w:val="6"/>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(一)贯彻执行党中央、国务院和自治区、市、自治县党委和人民政府关于民族宗教工作的方针、政策，组织开展民族宗教理论、政策和民族宗教工作重大问题的调查研究，提出有关民族宗教工作的政策建议。</w:t>
      </w:r>
    </w:p>
    <w:p>
      <w:pPr>
        <w:spacing w:line="560" w:lineRule="exact"/>
        <w:ind w:firstLine="640" w:firstLineChars="200"/>
        <w:rPr>
          <w:rFonts w:eastAsia="仿宋_GB2312"/>
          <w:color w:val="000000"/>
          <w:sz w:val="32"/>
          <w:szCs w:val="32"/>
        </w:rPr>
      </w:pPr>
      <w:r>
        <w:rPr>
          <w:rFonts w:eastAsia="仿宋_GB2312"/>
          <w:color w:val="000000"/>
          <w:sz w:val="32"/>
          <w:szCs w:val="32"/>
        </w:rPr>
        <w:t>(二)负责协调推动自治县民族工作委员会委员单位及其他有关部门履行民族工作相关职责，促进民族宗教政策在经济发展和社会事业有关领域的实施、衔接，对政府系统开展民族宗教工作进行业务指导。</w:t>
      </w:r>
    </w:p>
    <w:p>
      <w:pPr>
        <w:spacing w:line="560" w:lineRule="exact"/>
        <w:ind w:firstLine="640" w:firstLineChars="200"/>
        <w:rPr>
          <w:rFonts w:eastAsia="仿宋_GB2312"/>
          <w:color w:val="000000"/>
          <w:sz w:val="32"/>
          <w:szCs w:val="32"/>
        </w:rPr>
      </w:pPr>
      <w:r>
        <w:rPr>
          <w:rFonts w:eastAsia="仿宋_GB2312"/>
          <w:color w:val="000000"/>
          <w:sz w:val="32"/>
          <w:szCs w:val="32"/>
        </w:rPr>
        <w:t>(三)负责督促检查民族宗教政策、法律法规的贯彻执行情况，负责提出全县民族宗教事务地方立法项目的建议，起草有关民族宗教事务地方性法规、规章和政策性文件草案。保障少数民族合法权益，联系民族乡，指导民族区域自治法和宗教管理条例的贯彻落实。</w:t>
      </w:r>
    </w:p>
    <w:p>
      <w:pPr>
        <w:spacing w:line="560" w:lineRule="exact"/>
        <w:ind w:firstLine="640" w:firstLineChars="200"/>
        <w:rPr>
          <w:rFonts w:eastAsia="仿宋_GB2312"/>
          <w:color w:val="000000"/>
          <w:sz w:val="32"/>
          <w:szCs w:val="32"/>
        </w:rPr>
      </w:pPr>
      <w:r>
        <w:rPr>
          <w:rFonts w:eastAsia="仿宋_GB2312"/>
          <w:color w:val="000000"/>
          <w:sz w:val="32"/>
          <w:szCs w:val="32"/>
        </w:rPr>
        <w:t>(四)研究提出协调民族和宗教事务关系的工作建议，协调处理民族关系和宗教事务中的重大事项，参与协调民族地区社会稳定工作。</w:t>
      </w:r>
    </w:p>
    <w:p>
      <w:pPr>
        <w:spacing w:line="560" w:lineRule="exact"/>
        <w:ind w:firstLine="640" w:firstLineChars="200"/>
        <w:rPr>
          <w:rFonts w:eastAsia="仿宋_GB2312"/>
          <w:color w:val="000000"/>
          <w:sz w:val="32"/>
          <w:szCs w:val="32"/>
        </w:rPr>
      </w:pPr>
      <w:r>
        <w:rPr>
          <w:rFonts w:eastAsia="仿宋_GB2312"/>
          <w:color w:val="000000"/>
          <w:sz w:val="32"/>
          <w:szCs w:val="32"/>
        </w:rPr>
        <w:t>(五)负责拟订少数民族事业等专项规划，监督检查规划实施情况，参与拟订少数民族和民族地区经济社会相关领域的发展规划，促进建立和完善少数民族事业发展综合评价监测体系，推进实施民族事务服务体系和民族事务管理信息化建设。</w:t>
      </w:r>
    </w:p>
    <w:p>
      <w:pPr>
        <w:spacing w:line="560" w:lineRule="exact"/>
        <w:ind w:firstLine="640" w:firstLineChars="200"/>
        <w:rPr>
          <w:rFonts w:eastAsia="仿宋_GB2312"/>
          <w:color w:val="000000"/>
          <w:sz w:val="32"/>
          <w:szCs w:val="32"/>
        </w:rPr>
      </w:pPr>
      <w:r>
        <w:rPr>
          <w:rFonts w:eastAsia="仿宋_GB2312"/>
          <w:color w:val="000000"/>
          <w:sz w:val="32"/>
          <w:szCs w:val="32"/>
        </w:rPr>
        <w:t>(六)负责组织指导民族宗教政策、法律法规和基本知识的宣传教育工作，承办自治县民族团结进步表彰活动，组织指导民族乡成立逢10周年的庆祝活动。</w:t>
      </w:r>
    </w:p>
    <w:p>
      <w:pPr>
        <w:spacing w:line="560" w:lineRule="exact"/>
        <w:ind w:firstLine="640" w:firstLineChars="200"/>
        <w:rPr>
          <w:rFonts w:eastAsia="仿宋_GB2312"/>
          <w:color w:val="000000"/>
          <w:sz w:val="32"/>
          <w:szCs w:val="32"/>
        </w:rPr>
      </w:pPr>
      <w:r>
        <w:rPr>
          <w:rFonts w:eastAsia="仿宋_GB2312"/>
          <w:color w:val="000000"/>
          <w:sz w:val="32"/>
          <w:szCs w:val="32"/>
        </w:rPr>
        <w:t>(七) 研究分析少数民族和民族地区的经济发展和社会事业方面的问题并提出政策性建议，配合承办民族地区的扶贫事宜。组织协调少数民族聚居地科技、经济发展、民族贸易、民族特需用品生产政策的落实。</w:t>
      </w:r>
    </w:p>
    <w:p>
      <w:pPr>
        <w:spacing w:line="560" w:lineRule="exact"/>
        <w:ind w:firstLine="640" w:firstLineChars="200"/>
        <w:rPr>
          <w:rFonts w:eastAsia="仿宋_GB2312"/>
          <w:color w:val="000000"/>
          <w:sz w:val="32"/>
          <w:szCs w:val="32"/>
        </w:rPr>
      </w:pPr>
      <w:r>
        <w:rPr>
          <w:rFonts w:eastAsia="仿宋_GB2312"/>
          <w:color w:val="000000"/>
          <w:sz w:val="32"/>
          <w:szCs w:val="32"/>
        </w:rPr>
        <w:t>(八)协同财政部门管理民族工作经费、少数民族发展资金及民族教育专项经费的监督和管理。</w:t>
      </w:r>
      <w:r>
        <w:rPr>
          <w:rFonts w:eastAsia="仿宋_GB2312"/>
          <w:sz w:val="32"/>
          <w:szCs w:val="32"/>
        </w:rPr>
        <w:t>组织、实施国家扶持人口较少民族发展项目。</w:t>
      </w:r>
    </w:p>
    <w:p>
      <w:pPr>
        <w:spacing w:line="560" w:lineRule="exact"/>
        <w:ind w:firstLine="640" w:firstLineChars="200"/>
        <w:rPr>
          <w:rFonts w:eastAsia="仿宋_GB2312"/>
          <w:color w:val="000000"/>
          <w:sz w:val="32"/>
          <w:szCs w:val="32"/>
        </w:rPr>
      </w:pPr>
      <w:r>
        <w:rPr>
          <w:rFonts w:eastAsia="仿宋_GB2312"/>
          <w:color w:val="000000"/>
          <w:sz w:val="32"/>
          <w:szCs w:val="32"/>
        </w:rPr>
        <w:t>(九)研究少数民族文化、艺术、卫生、体育、出版等方面的问题并提出政策性建议。</w:t>
      </w:r>
    </w:p>
    <w:p>
      <w:pPr>
        <w:spacing w:line="560" w:lineRule="exact"/>
        <w:ind w:firstLine="640" w:firstLineChars="200"/>
        <w:rPr>
          <w:rFonts w:eastAsia="仿宋_GB2312"/>
          <w:color w:val="000000"/>
          <w:sz w:val="32"/>
          <w:szCs w:val="32"/>
        </w:rPr>
      </w:pPr>
      <w:r>
        <w:rPr>
          <w:rFonts w:eastAsia="仿宋_GB2312"/>
          <w:color w:val="000000"/>
          <w:sz w:val="32"/>
          <w:szCs w:val="32"/>
        </w:rPr>
        <w:t>(十)协助有关部门做好少数民族干部和宗教工作干部的培养、教育和使用等工作。</w:t>
      </w:r>
    </w:p>
    <w:p>
      <w:pPr>
        <w:spacing w:line="560" w:lineRule="exact"/>
        <w:ind w:firstLine="640" w:firstLineChars="200"/>
        <w:rPr>
          <w:rFonts w:eastAsia="仿宋_GB2312"/>
          <w:color w:val="000000"/>
          <w:sz w:val="32"/>
          <w:szCs w:val="32"/>
        </w:rPr>
      </w:pPr>
      <w:r>
        <w:rPr>
          <w:rFonts w:eastAsia="仿宋_GB2312"/>
          <w:color w:val="000000"/>
          <w:sz w:val="32"/>
          <w:szCs w:val="32"/>
        </w:rPr>
        <w:t>(十一)负责组织协调民族、宗教工作领域有关对外的交流与合作，参与涉及民族、宗教事务的对外宣传工作，办理有关少数民族、宗教事务涉外事宜。组织、接待少数民族学习、参观、考察等事宜。</w:t>
      </w:r>
    </w:p>
    <w:p>
      <w:pPr>
        <w:widowControl/>
        <w:spacing w:line="560" w:lineRule="exact"/>
        <w:ind w:firstLine="640"/>
        <w:jc w:val="left"/>
        <w:rPr>
          <w:rFonts w:hAnsi="仿宋_GB2312" w:eastAsia="仿宋_GB2312"/>
          <w:color w:val="000000"/>
          <w:kern w:val="0"/>
          <w:sz w:val="32"/>
          <w:szCs w:val="32"/>
        </w:rPr>
      </w:pPr>
      <w:r>
        <w:rPr>
          <w:rFonts w:hAnsi="仿宋_GB2312" w:eastAsia="仿宋_GB2312"/>
          <w:color w:val="000000"/>
          <w:kern w:val="0"/>
          <w:sz w:val="32"/>
          <w:szCs w:val="32"/>
        </w:rPr>
        <w:t>（十二）对宗教团体和宗教界人士进行爱国守法、拥护社会主义、维护祖国统一和民族团结、维护社会稳定的教育；巩固和发展同宗教界人士的爱国统一战线，调动宗教界的积极性，为构建和谐环江贡献力量。帮助宗教团体在宪法和法律范围内按照自身特点独立自主开展工作，帮助他们做好对宗教职业人员的培养、选拔工作。</w:t>
      </w:r>
    </w:p>
    <w:p>
      <w:pPr>
        <w:widowControl/>
        <w:spacing w:line="560" w:lineRule="exact"/>
        <w:jc w:val="left"/>
        <w:rPr>
          <w:rFonts w:eastAsia="仿宋_GB2312"/>
          <w:color w:val="000000"/>
          <w:kern w:val="0"/>
          <w:sz w:val="32"/>
          <w:szCs w:val="32"/>
        </w:rPr>
      </w:pPr>
      <w:r>
        <w:rPr>
          <w:rFonts w:hAnsi="仿宋_GB2312" w:eastAsia="仿宋_GB2312"/>
          <w:color w:val="000000"/>
          <w:kern w:val="0"/>
          <w:sz w:val="32"/>
          <w:szCs w:val="32"/>
        </w:rPr>
        <w:t>（十三）根据有关法律、法规审批设立宗教活动场所以及宗教团体的有关事务。重点管理好县一级宗教团体；协调宗教组织和信教公民在宗教问题上与社会其他方面的关系；做好党的宗教政策的宣传教育工作，会同有关部门做好对涉及宗教问题的书刊等宣传品的审查工作；配合政法部门揭露和打击利用宗教进行的违法犯罪活动。</w:t>
      </w:r>
    </w:p>
    <w:p>
      <w:pPr>
        <w:widowControl/>
        <w:spacing w:line="560" w:lineRule="exact"/>
        <w:jc w:val="left"/>
        <w:rPr>
          <w:rFonts w:eastAsia="仿宋_GB2312"/>
          <w:color w:val="000000"/>
          <w:sz w:val="32"/>
          <w:szCs w:val="32"/>
        </w:rPr>
      </w:pPr>
      <w:r>
        <w:rPr>
          <w:rFonts w:eastAsia="仿宋_GB2312"/>
          <w:color w:val="000000"/>
          <w:kern w:val="0"/>
          <w:sz w:val="32"/>
          <w:szCs w:val="32"/>
        </w:rPr>
        <w:t xml:space="preserve">    </w:t>
      </w:r>
      <w:r>
        <w:rPr>
          <w:rFonts w:hAnsi="仿宋_GB2312" w:eastAsia="仿宋_GB2312"/>
          <w:color w:val="000000"/>
          <w:kern w:val="0"/>
          <w:sz w:val="32"/>
          <w:szCs w:val="32"/>
        </w:rPr>
        <w:t>（十四）了解掌握环江县外宗教情况，指导宗教团体和宗教界人士按照独立自主自办原则和外事纪律开展对外交往，抵御境外敌对势力利用宗教进行渗透活动；做好宗教政策的对外宣传工作；协同有关方面处理宗教涉外事宜。</w:t>
      </w:r>
    </w:p>
    <w:p>
      <w:pPr>
        <w:ind w:firstLine="640" w:firstLineChars="200"/>
        <w:jc w:val="left"/>
        <w:rPr>
          <w:rFonts w:hint="eastAsia" w:ascii="仿宋" w:hAnsi="仿宋" w:eastAsia="仿宋" w:cs="仿宋"/>
          <w:color w:val="FF0000"/>
          <w:sz w:val="32"/>
          <w:szCs w:val="32"/>
          <w:lang w:val="en-US" w:eastAsia="zh-CN"/>
        </w:rPr>
      </w:pPr>
      <w:r>
        <w:rPr>
          <w:rFonts w:eastAsia="仿宋_GB2312"/>
          <w:sz w:val="32"/>
          <w:szCs w:val="32"/>
        </w:rPr>
        <w:t>（十五）承办自治县人民政府交办的其他事项。</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pStyle w:val="6"/>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根据上述职责，环江毛南族自治县民族宗教事务局设3个内设机构。</w:t>
      </w:r>
    </w:p>
    <w:p>
      <w:pPr>
        <w:spacing w:line="560" w:lineRule="exact"/>
        <w:ind w:firstLine="629"/>
        <w:rPr>
          <w:rFonts w:ascii="楷体_GB2312" w:eastAsia="楷体_GB2312"/>
          <w:b/>
          <w:color w:val="FF0000"/>
          <w:sz w:val="32"/>
          <w:szCs w:val="32"/>
        </w:rPr>
      </w:pPr>
      <w:r>
        <w:rPr>
          <w:rFonts w:hint="eastAsia" w:ascii="楷体_GB2312" w:eastAsia="楷体_GB2312"/>
          <w:b/>
          <w:sz w:val="32"/>
          <w:szCs w:val="32"/>
        </w:rPr>
        <w:t>（一）综合股。</w:t>
      </w:r>
    </w:p>
    <w:p>
      <w:pPr>
        <w:pStyle w:val="6"/>
        <w:spacing w:line="560" w:lineRule="exact"/>
        <w:ind w:firstLine="645"/>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协助领导处理日常工作；负责机关政务、事务的综合协调和行政后勤的管理工作；组织局内重要文稿起草工作； 负责单位文秘、机要、资料、保密、基建、国有资产 、信访、行政管理、办公自动化；组织、接待少数民族参观、考察事宜；联系少数民族干部、协同组织、人事部门做好少数民族干部的培训教育、选拔推荐工作；协同有关部门对乡、镇、村的少数民族骨干培训工作；负责指导与民族、宗教事务有关的地方性法规规章、规范性文件草案的起草、修改和审核工作；会同有关部门处理各民族群众之间涉及民族关系的矛盾和纠纷；宣传民族宗教理论、政策、法律、法规和规章；指导、监督民族宗教政策和法律、法规、规章的贯彻实施，保障民族自治地方的自治权利，保障散居杂居少数民族合法权益；协助办理自治县逢十周年庆祝活动，指导民族乡逢十周年庆祝活动，办理国务院、各级民委的团结进步表彰活动的有关事宜，承办自治县民族团结进步表彰活动；进行民族识别和管理民族成份工作；办理少数民族涉外事务。</w:t>
      </w:r>
    </w:p>
    <w:p>
      <w:pPr>
        <w:pStyle w:val="6"/>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Times New Roman" w:eastAsia="仿宋_GB2312" w:cs="Times New Roman"/>
          <w:sz w:val="32"/>
          <w:szCs w:val="32"/>
        </w:rPr>
        <w:t>在国家有关方针政策指导下，调查研究少数民族文化、信息、教育、艺术、体育、卫生、新闻出版、财务的问题，提出相关的意见和建议；协助有关部门进行医药的挖掘整理和民族文物的保护工作；挖掘整理传统民族体育项目，组织参加全区、全国少数民族传统体育运动会；配合有关部门举办对“民族区域自治法”和民族文化的宣传活动，配合组织、人事部门选送搞好少数民族干部和民族妇女干部的短期培训。协助开展区内外民族之间的文化艺术交流与来往：组织指导民族古籍整理工作。加强与各类民族院校(民族班)的联系，联系少数民族招生推荐工作。</w:t>
      </w:r>
      <w:r>
        <w:rPr>
          <w:rFonts w:ascii="Times New Roman" w:hAnsi="Times New Roman" w:eastAsia="仿宋_GB2312" w:cs="Times New Roman"/>
          <w:color w:val="000000"/>
          <w:sz w:val="32"/>
          <w:szCs w:val="32"/>
        </w:rPr>
        <w:t>组织、实施民族关系监测机制，及时了解各民族的动态，维护民族地区的团结稳定。</w:t>
      </w:r>
    </w:p>
    <w:p>
      <w:pPr>
        <w:pStyle w:val="6"/>
        <w:spacing w:line="560" w:lineRule="exact"/>
        <w:ind w:firstLine="643" w:firstLineChars="200"/>
        <w:jc w:val="left"/>
        <w:rPr>
          <w:rFonts w:ascii="楷体_GB2312" w:hAnsi="Times New Roman" w:eastAsia="楷体_GB2312" w:cs="Times New Roman"/>
          <w:b/>
          <w:color w:val="000000"/>
          <w:sz w:val="32"/>
          <w:szCs w:val="32"/>
        </w:rPr>
      </w:pPr>
      <w:r>
        <w:rPr>
          <w:rFonts w:hint="eastAsia" w:ascii="楷体_GB2312" w:hAnsi="Times New Roman" w:eastAsia="楷体_GB2312" w:cs="Times New Roman"/>
          <w:b/>
          <w:color w:val="000000"/>
          <w:sz w:val="32"/>
          <w:szCs w:val="32"/>
        </w:rPr>
        <w:t>（二）经济发展股。</w:t>
      </w:r>
    </w:p>
    <w:p>
      <w:pPr>
        <w:spacing w:line="560" w:lineRule="exact"/>
        <w:ind w:firstLine="640" w:firstLineChars="200"/>
        <w:rPr>
          <w:rFonts w:eastAsia="仿宋_GB2312"/>
          <w:sz w:val="32"/>
          <w:szCs w:val="32"/>
        </w:rPr>
      </w:pPr>
      <w:r>
        <w:rPr>
          <w:rFonts w:eastAsia="仿宋_GB2312"/>
          <w:color w:val="000000"/>
          <w:sz w:val="32"/>
          <w:szCs w:val="32"/>
        </w:rPr>
        <w:t>组织、实施国家扶持人口较少民族发展项目。</w:t>
      </w:r>
      <w:r>
        <w:rPr>
          <w:rFonts w:eastAsia="仿宋_GB2312"/>
          <w:sz w:val="32"/>
          <w:szCs w:val="32"/>
        </w:rPr>
        <w:t>组织分析民族地区国民经济运行情况，配合拟订民族地区经济和社会发展规划，提出涉及地方的财政、金融、税收、经贸等方面的特殊政策建议，按规定为本县申报年度的少数民族补助和民族发展等专项资金，指导和协调民族贸易和民族特需用品生产及国家有关优惠政策的组织实施：会同财政对少数民族专项资金的申报实施的监督和管理。帮助开展横向经济技术合作、对口支援和引进外资工作；配合扶贫工作部门做好民族地区扶贫有关事宜。</w:t>
      </w:r>
    </w:p>
    <w:p>
      <w:pPr>
        <w:widowControl/>
        <w:spacing w:line="560" w:lineRule="exact"/>
        <w:ind w:firstLine="321" w:firstLineChars="100"/>
        <w:jc w:val="left"/>
        <w:rPr>
          <w:rFonts w:ascii="楷体_GB2312" w:eastAsia="楷体_GB2312"/>
          <w:color w:val="000000"/>
          <w:kern w:val="0"/>
          <w:sz w:val="32"/>
          <w:szCs w:val="32"/>
        </w:rPr>
      </w:pPr>
      <w:r>
        <w:rPr>
          <w:rFonts w:hint="eastAsia" w:ascii="楷体_GB2312" w:eastAsia="楷体_GB2312"/>
          <w:b/>
          <w:sz w:val="32"/>
          <w:szCs w:val="32"/>
        </w:rPr>
        <w:t>（三）</w:t>
      </w:r>
      <w:r>
        <w:rPr>
          <w:rFonts w:hint="eastAsia" w:ascii="楷体_GB2312" w:hAnsi="仿宋_GB2312" w:eastAsia="楷体_GB2312"/>
          <w:b/>
          <w:color w:val="000000"/>
          <w:kern w:val="0"/>
          <w:sz w:val="32"/>
          <w:szCs w:val="32"/>
          <w:lang w:eastAsia="zh-CN"/>
        </w:rPr>
        <w:t>财务</w:t>
      </w:r>
      <w:r>
        <w:rPr>
          <w:rFonts w:hint="eastAsia" w:ascii="楷体_GB2312" w:hAnsi="仿宋_GB2312" w:eastAsia="楷体_GB2312"/>
          <w:b/>
          <w:color w:val="000000"/>
          <w:kern w:val="0"/>
          <w:sz w:val="32"/>
          <w:szCs w:val="32"/>
        </w:rPr>
        <w:t>股。</w:t>
      </w:r>
    </w:p>
    <w:p>
      <w:pPr>
        <w:spacing w:line="560" w:lineRule="exact"/>
        <w:ind w:firstLine="640" w:firstLineChars="200"/>
        <w:rPr>
          <w:rFonts w:eastAsia="仿宋_GB2312"/>
          <w:sz w:val="32"/>
          <w:szCs w:val="32"/>
        </w:rPr>
      </w:pPr>
      <w:r>
        <w:rPr>
          <w:rFonts w:ascii="Times New Roman" w:hAnsi="仿宋_GB2312" w:eastAsia="仿宋_GB2312" w:cs="Times New Roman"/>
          <w:color w:val="000000"/>
          <w:sz w:val="32"/>
          <w:szCs w:val="32"/>
        </w:rPr>
        <w:t>负责</w:t>
      </w:r>
      <w:r>
        <w:rPr>
          <w:rFonts w:hint="eastAsia" w:ascii="Times New Roman" w:hAnsi="仿宋_GB2312" w:eastAsia="仿宋_GB2312" w:cs="Times New Roman"/>
          <w:color w:val="000000"/>
          <w:sz w:val="32"/>
          <w:szCs w:val="32"/>
          <w:lang w:eastAsia="zh-CN"/>
        </w:rPr>
        <w:t>财务股</w:t>
      </w:r>
      <w:r>
        <w:rPr>
          <w:rFonts w:ascii="Times New Roman" w:hAnsi="仿宋_GB2312" w:eastAsia="仿宋_GB2312" w:cs="Times New Roman"/>
          <w:color w:val="000000"/>
          <w:sz w:val="32"/>
          <w:szCs w:val="32"/>
        </w:rPr>
        <w:t>业务经费的管理</w:t>
      </w:r>
      <w:r>
        <w:rPr>
          <w:rFonts w:hint="eastAsia" w:ascii="Times New Roman" w:hAnsi="仿宋_GB2312" w:eastAsia="仿宋_GB2312" w:cs="Times New Roman"/>
          <w:color w:val="000000"/>
          <w:sz w:val="32"/>
          <w:szCs w:val="32"/>
          <w:lang w:eastAsia="zh-CN"/>
        </w:rPr>
        <w:t>，</w:t>
      </w:r>
      <w:r>
        <w:rPr>
          <w:rFonts w:eastAsia="仿宋_GB2312"/>
          <w:sz w:val="32"/>
          <w:szCs w:val="32"/>
        </w:rPr>
        <w:t>管理局财务等</w:t>
      </w:r>
      <w:r>
        <w:rPr>
          <w:rFonts w:ascii="Times New Roman" w:hAnsi="仿宋_GB2312" w:eastAsia="仿宋_GB2312" w:cs="Times New Roman"/>
          <w:color w:val="000000"/>
          <w:sz w:val="32"/>
          <w:szCs w:val="32"/>
        </w:rPr>
        <w:t>。</w:t>
      </w:r>
    </w:p>
    <w:p>
      <w:pPr>
        <w:widowControl/>
        <w:spacing w:line="560" w:lineRule="exact"/>
        <w:ind w:firstLine="321" w:firstLineChars="100"/>
        <w:jc w:val="left"/>
        <w:rPr>
          <w:rFonts w:ascii="楷体_GB2312" w:eastAsia="楷体_GB2312"/>
          <w:color w:val="000000"/>
          <w:kern w:val="0"/>
          <w:sz w:val="32"/>
          <w:szCs w:val="32"/>
        </w:rPr>
      </w:pPr>
      <w:r>
        <w:rPr>
          <w:rFonts w:hint="eastAsia" w:ascii="楷体_GB2312" w:eastAsia="楷体_GB2312"/>
          <w:b/>
          <w:sz w:val="32"/>
          <w:szCs w:val="32"/>
        </w:rPr>
        <w:t>（</w:t>
      </w:r>
      <w:r>
        <w:rPr>
          <w:rFonts w:hint="eastAsia" w:ascii="楷体_GB2312" w:eastAsia="楷体_GB2312"/>
          <w:b/>
          <w:sz w:val="32"/>
          <w:szCs w:val="32"/>
          <w:lang w:eastAsia="zh-CN"/>
        </w:rPr>
        <w:t>四</w:t>
      </w:r>
      <w:r>
        <w:rPr>
          <w:rFonts w:hint="eastAsia" w:ascii="楷体_GB2312" w:eastAsia="楷体_GB2312"/>
          <w:b/>
          <w:sz w:val="32"/>
          <w:szCs w:val="32"/>
        </w:rPr>
        <w:t>）</w:t>
      </w:r>
      <w:r>
        <w:rPr>
          <w:rFonts w:hint="eastAsia" w:ascii="楷体_GB2312" w:hAnsi="仿宋_GB2312" w:eastAsia="楷体_GB2312"/>
          <w:b/>
          <w:color w:val="000000"/>
          <w:kern w:val="0"/>
          <w:sz w:val="32"/>
          <w:szCs w:val="32"/>
        </w:rPr>
        <w:t>宗教事务股。</w:t>
      </w:r>
    </w:p>
    <w:p>
      <w:pPr>
        <w:pStyle w:val="6"/>
        <w:spacing w:line="560" w:lineRule="exact"/>
        <w:ind w:firstLine="640" w:firstLineChars="200"/>
        <w:jc w:val="left"/>
        <w:rPr>
          <w:rFonts w:ascii="Times New Roman" w:hAnsi="Times New Roman" w:eastAsia="仿宋_GB2312" w:cs="Times New Roman"/>
          <w:color w:val="000000"/>
          <w:sz w:val="32"/>
          <w:szCs w:val="32"/>
        </w:rPr>
      </w:pPr>
      <w:r>
        <w:rPr>
          <w:rFonts w:ascii="Times New Roman" w:hAnsi="仿宋_GB2312" w:eastAsia="仿宋_GB2312" w:cs="Times New Roman"/>
          <w:color w:val="000000"/>
          <w:sz w:val="32"/>
          <w:szCs w:val="32"/>
        </w:rPr>
        <w:t>负责宗教业务经费的管理；拟订宗教工作干部培训规划并组织实施。负责管理自治县宗教工作，对佛教、天主教、基督教以及民间信仰等重大问题进行调研并提出意见和建议；联系管理县级爱国宗教团体，协助县宗教团体管理经学班、义工班；负责宗教外事和法制建设等方面的工作。</w:t>
      </w:r>
    </w:p>
    <w:p>
      <w:pPr>
        <w:keepNext w:val="0"/>
        <w:keepLines w:val="0"/>
        <w:pageBreakBefore w:val="0"/>
        <w:kinsoku/>
        <w:wordWrap/>
        <w:overflowPunct/>
        <w:topLinePunct w:val="0"/>
        <w:bidi w:val="0"/>
        <w:spacing w:line="560" w:lineRule="exact"/>
        <w:ind w:firstLine="646"/>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二、部门决算单位构成</w:t>
      </w:r>
    </w:p>
    <w:p>
      <w:pPr>
        <w:spacing w:line="560" w:lineRule="exact"/>
        <w:ind w:left="160" w:leftChars="76" w:firstLine="467" w:firstLineChars="146"/>
        <w:rPr>
          <w:rFonts w:hint="eastAsia" w:ascii="仿宋_GB2312" w:eastAsia="仿宋_GB2312"/>
          <w:sz w:val="32"/>
          <w:szCs w:val="32"/>
        </w:rPr>
        <w:sectPr>
          <w:footerReference r:id="rId5" w:type="default"/>
          <w:pgSz w:w="11906" w:h="16838"/>
          <w:pgMar w:top="1440" w:right="1800" w:bottom="1440" w:left="1800" w:header="851" w:footer="992" w:gutter="0"/>
          <w:cols w:space="720" w:num="1"/>
          <w:docGrid w:type="lines" w:linePitch="312" w:charSpace="0"/>
        </w:sectPr>
      </w:pPr>
      <w:r>
        <w:rPr>
          <w:rFonts w:eastAsia="仿宋_GB2312"/>
          <w:color w:val="000000"/>
          <w:sz w:val="32"/>
          <w:szCs w:val="32"/>
        </w:rPr>
        <w:t>自治县民族宗教事务局机关行政编制为</w:t>
      </w:r>
      <w:r>
        <w:rPr>
          <w:rFonts w:hint="eastAsia" w:eastAsia="仿宋_GB2312"/>
          <w:color w:val="000000"/>
          <w:sz w:val="32"/>
          <w:szCs w:val="32"/>
          <w:lang w:val="en-US" w:eastAsia="zh-CN"/>
        </w:rPr>
        <w:t>6</w:t>
      </w:r>
      <w:r>
        <w:rPr>
          <w:rFonts w:eastAsia="仿宋_GB2312"/>
          <w:color w:val="000000"/>
          <w:sz w:val="32"/>
          <w:szCs w:val="32"/>
        </w:rPr>
        <w:t>名。其中，局长1名，副局长</w:t>
      </w:r>
      <w:r>
        <w:rPr>
          <w:rFonts w:hint="eastAsia" w:eastAsia="仿宋_GB2312"/>
          <w:color w:val="000000"/>
          <w:sz w:val="32"/>
          <w:szCs w:val="32"/>
        </w:rPr>
        <w:t>3</w:t>
      </w:r>
      <w:r>
        <w:rPr>
          <w:rFonts w:eastAsia="仿宋_GB2312"/>
          <w:color w:val="000000"/>
          <w:sz w:val="32"/>
          <w:szCs w:val="32"/>
        </w:rPr>
        <w:t>名。</w:t>
      </w:r>
      <w:r>
        <w:rPr>
          <w:rFonts w:hint="eastAsia" w:ascii="仿宋_GB2312" w:eastAsia="仿宋_GB2312"/>
          <w:sz w:val="32"/>
          <w:szCs w:val="32"/>
        </w:rPr>
        <w:t>实有财政供养人数1</w:t>
      </w:r>
      <w:r>
        <w:rPr>
          <w:rFonts w:hint="eastAsia" w:ascii="仿宋_GB2312" w:eastAsia="仿宋_GB2312"/>
          <w:sz w:val="32"/>
          <w:szCs w:val="32"/>
          <w:lang w:val="en-US" w:eastAsia="zh-CN"/>
        </w:rPr>
        <w:t>9</w:t>
      </w:r>
      <w:r>
        <w:rPr>
          <w:rFonts w:hint="eastAsia" w:ascii="仿宋_GB2312" w:eastAsia="仿宋_GB2312"/>
          <w:sz w:val="32"/>
          <w:szCs w:val="32"/>
        </w:rPr>
        <w:t>人，其中行政在职人</w:t>
      </w:r>
      <w:r>
        <w:rPr>
          <w:rFonts w:hint="eastAsia" w:ascii="仿宋_GB2312" w:eastAsia="仿宋_GB2312"/>
          <w:sz w:val="32"/>
          <w:szCs w:val="32"/>
          <w:lang w:val="en-US" w:eastAsia="zh-CN"/>
        </w:rPr>
        <w:t>7</w:t>
      </w:r>
      <w:r>
        <w:rPr>
          <w:rFonts w:hint="eastAsia" w:ascii="仿宋_GB2312" w:eastAsia="仿宋_GB2312"/>
          <w:sz w:val="32"/>
          <w:szCs w:val="32"/>
        </w:rPr>
        <w:t>人，政府购买服务人数</w:t>
      </w:r>
      <w:r>
        <w:rPr>
          <w:rFonts w:hint="eastAsia" w:ascii="仿宋_GB2312" w:eastAsia="仿宋_GB2312"/>
          <w:sz w:val="32"/>
          <w:szCs w:val="32"/>
          <w:lang w:val="en-US" w:eastAsia="zh-CN"/>
        </w:rPr>
        <w:t>3</w:t>
      </w:r>
      <w:r>
        <w:rPr>
          <w:rFonts w:hint="eastAsia" w:ascii="仿宋_GB2312" w:eastAsia="仿宋_GB2312"/>
          <w:sz w:val="32"/>
          <w:szCs w:val="32"/>
        </w:rPr>
        <w:t>人</w:t>
      </w:r>
      <w:r>
        <w:rPr>
          <w:rFonts w:hint="eastAsia" w:ascii="仿宋_GB2312" w:eastAsia="仿宋_GB2312"/>
          <w:sz w:val="32"/>
          <w:szCs w:val="32"/>
          <w:lang w:val="en-US" w:eastAsia="zh-CN"/>
        </w:rPr>
        <w:t>，事业编2人，</w:t>
      </w:r>
      <w:r>
        <w:rPr>
          <w:rFonts w:hint="eastAsia" w:ascii="仿宋_GB2312" w:eastAsia="仿宋_GB2312"/>
          <w:sz w:val="32"/>
          <w:szCs w:val="32"/>
        </w:rPr>
        <w:t>离退休人员</w:t>
      </w:r>
      <w:r>
        <w:rPr>
          <w:rFonts w:hint="eastAsia" w:ascii="仿宋_GB2312" w:eastAsia="仿宋_GB2312"/>
          <w:sz w:val="32"/>
          <w:szCs w:val="32"/>
          <w:lang w:val="en-US" w:eastAsia="zh-CN"/>
        </w:rPr>
        <w:t>7</w:t>
      </w:r>
      <w:r>
        <w:rPr>
          <w:rFonts w:hint="eastAsia" w:ascii="仿宋_GB2312" w:eastAsia="仿宋_GB2312"/>
          <w:sz w:val="32"/>
          <w:szCs w:val="32"/>
        </w:rPr>
        <w:t>人。</w:t>
      </w:r>
    </w:p>
    <w:p>
      <w:pPr>
        <w:ind w:firstLine="2560" w:firstLineChars="8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环江毛南族自治县民族宗教事务局</w:t>
      </w:r>
      <w:r>
        <w:rPr>
          <w:rFonts w:hint="eastAsia" w:ascii="黑体" w:hAnsi="黑体" w:eastAsia="黑体" w:cs="黑体"/>
          <w:sz w:val="32"/>
          <w:szCs w:val="32"/>
          <w:highlight w:val="none"/>
        </w:rPr>
        <w:t>2022年度部门决算报表</w:t>
      </w:r>
    </w:p>
    <w:tbl>
      <w:tblPr>
        <w:tblStyle w:val="8"/>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194.97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val="en-US" w:eastAsia="zh-CN" w:bidi="ar"/>
              </w:rPr>
              <w:t>0.0</w:t>
            </w:r>
            <w:r>
              <w:rPr>
                <w:rFonts w:hint="default" w:ascii="宋体" w:hAnsi="宋体" w:eastAsia="宋体" w:cs="宋体"/>
                <w:color w:val="000000"/>
                <w:kern w:val="0"/>
                <w:sz w:val="22"/>
                <w:szCs w:val="22"/>
                <w:highlight w:val="none"/>
                <w:lang w:bidi="ar"/>
              </w:rPr>
              <w:t>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2261.8</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9.24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20.75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rPr>
              <w:t>2498.94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8"/>
        <w:tblW w:w="13960" w:type="dxa"/>
        <w:tblInd w:w="96" w:type="dxa"/>
        <w:tblLayout w:type="fixed"/>
        <w:tblCellMar>
          <w:top w:w="0" w:type="dxa"/>
          <w:left w:w="108" w:type="dxa"/>
          <w:bottom w:w="0" w:type="dxa"/>
          <w:right w:w="108" w:type="dxa"/>
        </w:tblCellMar>
      </w:tblPr>
      <w:tblGrid>
        <w:gridCol w:w="1584"/>
        <w:gridCol w:w="1378"/>
        <w:gridCol w:w="236"/>
        <w:gridCol w:w="236"/>
        <w:gridCol w:w="895"/>
        <w:gridCol w:w="1149"/>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3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745"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45"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4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3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4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32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2,498.94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2,498.94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leftChars="0" w:right="0" w:rightChars="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194.97</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194.97</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民族事务</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2012301</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185.49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185.49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2012399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其他民族事务支出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2130501</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行政运行</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2130504</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农村基础设施建设</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2,122.40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2,122.40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其他巩固脱贫衔接乡村振兴支出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住房公积金</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74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14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2,498.94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186.70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2,312.24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194.97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144.53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民族事务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193.49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50.44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185.49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143.05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42.44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2012399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8.00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农林水支出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114.40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2,122.40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2,122.40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2130599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25.00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8"/>
        <w:tblW w:w="4965" w:type="pct"/>
        <w:tblInd w:w="0" w:type="dxa"/>
        <w:tblLayout w:type="fixed"/>
        <w:tblCellMar>
          <w:top w:w="0" w:type="dxa"/>
          <w:left w:w="108" w:type="dxa"/>
          <w:bottom w:w="0" w:type="dxa"/>
          <w:right w:w="108" w:type="dxa"/>
        </w:tblCellMar>
      </w:tblPr>
      <w:tblGrid>
        <w:gridCol w:w="2214"/>
        <w:gridCol w:w="785"/>
        <w:gridCol w:w="1307"/>
        <w:gridCol w:w="2360"/>
        <w:gridCol w:w="853"/>
        <w:gridCol w:w="1301"/>
        <w:gridCol w:w="1560"/>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5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132"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554"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5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194.97</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194.97</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12.18</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2,261.80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13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13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30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2,498.94</w:t>
            </w:r>
          </w:p>
        </w:tc>
        <w:tc>
          <w:tcPr>
            <w:tcW w:w="15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2,498.94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2498.94</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6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4164.54</w:t>
            </w:r>
          </w:p>
        </w:tc>
        <w:tc>
          <w:tcPr>
            <w:tcW w:w="5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4164.54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8"/>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2,498.94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186.70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2,312.24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194.97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144.53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民族事务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193.49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2012301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185.49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143.05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42.44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2012399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其他民族事务支出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12.18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农林水支出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2,261.80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巩固脱贫衔接乡村振兴</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2,261.80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2,261.80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114.40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2,122.40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2,122.40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2130599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9.24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8"/>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163.87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57.99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8.53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23.02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24.42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9.24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default" w:ascii="宋体" w:hAnsi="宋体" w:eastAsia="宋体" w:cs="宋体"/>
                <w:color w:val="000000"/>
                <w:kern w:val="0"/>
                <w:sz w:val="22"/>
                <w:szCs w:val="22"/>
                <w:highlight w:val="none"/>
                <w:lang w:bidi="ar"/>
              </w:rPr>
              <w:t>1</w:t>
            </w:r>
            <w:r>
              <w:rPr>
                <w:rFonts w:hint="eastAsia" w:ascii="宋体" w:hAnsi="宋体" w:eastAsia="宋体" w:cs="宋体"/>
                <w:color w:val="000000"/>
                <w:kern w:val="0"/>
                <w:sz w:val="22"/>
                <w:szCs w:val="22"/>
                <w:highlight w:val="none"/>
                <w:lang w:val="en-US" w:eastAsia="zh-CN" w:bidi="ar"/>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val="en-US" w:eastAsia="zh-CN" w:bidi="ar"/>
              </w:rPr>
              <w:t>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sz w:val="22"/>
                <w:szCs w:val="22"/>
                <w:highlight w:val="none"/>
                <w:lang w:eastAsia="zh-CN"/>
              </w:rPr>
            </w:pPr>
            <w:r>
              <w:rPr>
                <w:rFonts w:hint="eastAsia" w:ascii="宋体" w:hAnsi="宋体" w:eastAsia="宋体" w:cs="宋体"/>
                <w:color w:val="000000"/>
                <w:kern w:val="0"/>
                <w:sz w:val="22"/>
                <w:szCs w:val="22"/>
                <w:highlight w:val="none"/>
                <w:lang w:val="en-US" w:eastAsia="zh-CN" w:bidi="ar"/>
              </w:rPr>
              <w:t>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1244.70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16.23</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8"/>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val="0"/>
              <w:suppressLineNumbers w:val="0"/>
              <w:spacing w:before="0" w:beforeAutospacing="0" w:after="0" w:afterAutospacing="0"/>
              <w:ind w:left="0" w:right="0"/>
              <w:jc w:val="both"/>
              <w:rPr>
                <w:rFonts w:hint="default"/>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8"/>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8"/>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kern w:val="0"/>
                <w:sz w:val="20"/>
                <w:szCs w:val="20"/>
                <w:highlight w:val="none"/>
                <w:lang w:eastAsia="zh-CN" w:bidi="ar"/>
              </w:rPr>
              <w:t>环江毛南族自治县民族宗教事务局</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0.4</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eastAsiaTheme="minorEastAsia"/>
                <w:highlight w:val="none"/>
                <w:lang w:val="en-US" w:eastAsia="zh-CN"/>
              </w:rPr>
            </w:pPr>
            <w:r>
              <w:rPr>
                <w:rFonts w:hint="eastAsia" w:ascii="宋体" w:hAnsi="宋体" w:eastAsia="宋体" w:cs="宋体"/>
                <w:color w:val="000000"/>
                <w:kern w:val="0"/>
                <w:sz w:val="22"/>
                <w:szCs w:val="22"/>
                <w:highlight w:val="none"/>
                <w:lang w:val="en-US" w:eastAsia="zh-CN" w:bidi="ar"/>
              </w:rPr>
              <w:t>0.4</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szCs w:val="32"/>
          <w:highlight w:val="none"/>
          <w:lang w:eastAsia="zh-CN"/>
        </w:rPr>
        <w:t>环江毛南族自治县民族宗教事务局</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2498.94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11.18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0.45</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2498.94</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2498.94</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11.18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0.45</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_GB2312" w:hAnsi="仿宋_GB2312" w:eastAsia="仿宋_GB2312" w:cs="仿宋_GB2312"/>
          <w:kern w:val="0"/>
          <w:sz w:val="32"/>
          <w:szCs w:val="32"/>
          <w:highlight w:val="none"/>
          <w:lang w:val="en-US" w:eastAsia="zh-CN"/>
        </w:rPr>
        <w:t>2020年</w:t>
      </w:r>
      <w:r>
        <w:rPr>
          <w:rFonts w:hint="eastAsia" w:ascii="仿宋_GB2312" w:hAnsi="仿宋_GB2312" w:eastAsia="仿宋_GB2312" w:cs="仿宋_GB2312"/>
          <w:kern w:val="0"/>
          <w:sz w:val="32"/>
          <w:szCs w:val="32"/>
        </w:rPr>
        <w:t>历年来中央及本级少数民族发展资金项目工程款</w:t>
      </w:r>
      <w:r>
        <w:rPr>
          <w:rFonts w:hint="eastAsia"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lang w:val="en-US" w:eastAsia="zh-CN"/>
        </w:rPr>
        <w:t>2021年结算</w:t>
      </w:r>
      <w:r>
        <w:rPr>
          <w:rFonts w:hint="eastAsia" w:ascii="仿宋_GB2312" w:hAnsi="黑体" w:eastAsia="仿宋_GB2312" w:cs="仿宋_GB2312"/>
          <w:kern w:val="0"/>
          <w:sz w:val="32"/>
          <w:szCs w:val="32"/>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lang w:val="en-US" w:eastAsia="zh-CN"/>
        </w:rPr>
        <w:t>环江县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u w:color="auto"/>
          <w:lang w:eastAsia="zh-CN"/>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w:t>
      </w:r>
      <w:r>
        <w:rPr>
          <w:rFonts w:hint="eastAsia" w:ascii="仿宋" w:hAnsi="仿宋" w:eastAsia="仿宋" w:cs="仿宋"/>
          <w:sz w:val="32"/>
          <w:u w:color="auto"/>
          <w:lang w:val="en-US" w:eastAsia="zh-CN"/>
        </w:rPr>
        <w:t>0.00</w:t>
      </w:r>
      <w:r>
        <w:rPr>
          <w:rFonts w:ascii="仿宋" w:hAnsi="仿宋" w:eastAsia="仿宋" w:cs="仿宋"/>
          <w:sz w:val="32"/>
          <w:u w:color="auto"/>
        </w:rPr>
        <w:t>%</w:t>
      </w:r>
      <w:r>
        <w:rPr>
          <w:rFonts w:hint="eastAsia" w:ascii="仿宋" w:hAnsi="仿宋" w:eastAsia="仿宋" w:cs="仿宋"/>
          <w:sz w:val="32"/>
          <w:u w:color="auto"/>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 w:hAnsi="仿宋" w:eastAsia="仿宋" w:cs="仿宋"/>
          <w:kern w:val="2"/>
          <w:sz w:val="32"/>
          <w:szCs w:val="32"/>
          <w:highlight w:val="none"/>
          <w:lang w:val="en-US" w:eastAsia="zh-CN" w:bidi="ar"/>
        </w:rPr>
        <w:t>10.上年结转和结余0万元，为以前年度支出预算因客观条件变化未执行完毕、结转到本年度按有关规定继续使用的资金。较2021年度决算数增加0万元，增长0%。</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bookmarkStart w:id="5" w:name="_GoBack"/>
      <w:r>
        <w:rPr>
          <w:rFonts w:hint="eastAsia" w:ascii="仿宋" w:hAnsi="仿宋" w:eastAsia="仿宋" w:cs="仿宋"/>
          <w:sz w:val="32"/>
          <w:szCs w:val="32"/>
          <w:highlight w:val="none"/>
        </w:rPr>
        <w:drawing>
          <wp:inline distT="0" distB="0" distL="114300" distR="114300">
            <wp:extent cx="4585335" cy="3010535"/>
            <wp:effectExtent l="4445" t="4445" r="20320"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bookmarkEnd w:id="5"/>
    </w:p>
    <w:p>
      <w:pPr>
        <w:numPr>
          <w:ilvl w:val="0"/>
          <w:numId w:val="1"/>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本部门2022年度总支出</w:t>
      </w:r>
      <w:r>
        <w:rPr>
          <w:rFonts w:hint="eastAsia" w:ascii="仿宋" w:hAnsi="仿宋" w:eastAsia="仿宋" w:cs="仿宋"/>
          <w:sz w:val="32"/>
          <w:u w:color="auto"/>
        </w:rPr>
        <w:t>2498.94</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2498.94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11.18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0.45</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_GB2312" w:hAnsi="仿宋_GB2312" w:eastAsia="仿宋_GB2312" w:cs="仿宋_GB2312"/>
          <w:bCs/>
          <w:kern w:val="0"/>
          <w:sz w:val="32"/>
          <w:szCs w:val="32"/>
          <w:highlight w:val="none"/>
        </w:rPr>
        <w:t>1</w:t>
      </w:r>
      <w:r>
        <w:rPr>
          <w:rFonts w:hint="eastAsia" w:ascii="仿宋_GB2312" w:hAnsi="仿宋_GB2312" w:eastAsia="仿宋_GB2312" w:cs="仿宋_GB2312"/>
          <w:kern w:val="0"/>
          <w:sz w:val="32"/>
          <w:szCs w:val="32"/>
          <w:highlight w:val="none"/>
        </w:rPr>
        <w:t>.一般公共服务支出（</w:t>
      </w:r>
      <w:r>
        <w:rPr>
          <w:rFonts w:hint="eastAsia" w:ascii="仿宋_GB2312" w:hAnsi="仿宋_GB2312" w:eastAsia="仿宋_GB2312" w:cs="仿宋_GB2312"/>
          <w:kern w:val="0"/>
          <w:sz w:val="32"/>
          <w:szCs w:val="32"/>
          <w:highlight w:val="none"/>
          <w:lang w:val="en-US" w:eastAsia="zh-CN"/>
        </w:rPr>
        <w:t>201类</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194.97</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sz w:val="32"/>
          <w:szCs w:val="32"/>
          <w:highlight w:val="none"/>
        </w:rPr>
        <w:t>主要用于本部门为保证日常运转发生的基本支出和为完成各项工作任务、保障</w:t>
      </w:r>
      <w:r>
        <w:rPr>
          <w:rFonts w:hint="eastAsia" w:ascii="仿宋_GB2312" w:hAnsi="仿宋_GB2312" w:eastAsia="仿宋_GB2312" w:cs="仿宋_GB2312"/>
          <w:kern w:val="0"/>
          <w:sz w:val="32"/>
          <w:szCs w:val="32"/>
          <w:highlight w:val="none"/>
        </w:rPr>
        <w:t>单位事业</w:t>
      </w:r>
      <w:r>
        <w:rPr>
          <w:rFonts w:hint="eastAsia" w:ascii="仿宋_GB2312" w:hAnsi="仿宋_GB2312" w:eastAsia="仿宋_GB2312" w:cs="仿宋_GB2312"/>
          <w:sz w:val="32"/>
          <w:szCs w:val="32"/>
          <w:highlight w:val="none"/>
        </w:rPr>
        <w:t>发展而发生的项目支出。</w:t>
      </w:r>
      <w:r>
        <w:rPr>
          <w:rFonts w:hint="eastAsia" w:ascii="仿宋_GB2312" w:hAnsi="仿宋_GB2312" w:eastAsia="仿宋_GB2312" w:cs="仿宋_GB2312"/>
          <w:kern w:val="0"/>
          <w:sz w:val="32"/>
          <w:szCs w:val="32"/>
          <w:highlight w:val="none"/>
        </w:rPr>
        <w:t>较20</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年度决算数减少</w:t>
      </w:r>
      <w:r>
        <w:rPr>
          <w:rFonts w:hint="eastAsia" w:ascii="仿宋_GB2312" w:hAnsi="仿宋_GB2312" w:eastAsia="仿宋_GB2312" w:cs="仿宋_GB2312"/>
          <w:kern w:val="0"/>
          <w:sz w:val="32"/>
          <w:szCs w:val="32"/>
          <w:highlight w:val="none"/>
          <w:lang w:val="en-US" w:eastAsia="zh-CN"/>
        </w:rPr>
        <w:t>72.47</w:t>
      </w:r>
      <w:r>
        <w:rPr>
          <w:rFonts w:hint="eastAsia" w:ascii="仿宋_GB2312" w:hAnsi="仿宋_GB2312" w:eastAsia="仿宋_GB2312" w:cs="仿宋_GB2312"/>
          <w:kern w:val="0"/>
          <w:sz w:val="32"/>
          <w:szCs w:val="32"/>
          <w:highlight w:val="none"/>
        </w:rPr>
        <w:t>万元，下降</w:t>
      </w:r>
      <w:r>
        <w:rPr>
          <w:rFonts w:hint="eastAsia" w:ascii="仿宋_GB2312" w:hAnsi="仿宋_GB2312" w:eastAsia="仿宋_GB2312" w:cs="仿宋_GB2312"/>
          <w:kern w:val="0"/>
          <w:sz w:val="32"/>
          <w:szCs w:val="32"/>
          <w:highlight w:val="none"/>
          <w:lang w:val="en-US" w:eastAsia="zh-CN"/>
        </w:rPr>
        <w:t>27.10</w:t>
      </w:r>
      <w:r>
        <w:rPr>
          <w:rFonts w:hint="eastAsia" w:ascii="仿宋_GB2312" w:hAnsi="仿宋_GB2312" w:eastAsia="仿宋_GB2312" w:cs="仿宋_GB2312"/>
          <w:kern w:val="0"/>
          <w:sz w:val="32"/>
          <w:szCs w:val="32"/>
          <w:highlight w:val="none"/>
        </w:rPr>
        <w:t>%，主要原因是</w:t>
      </w:r>
      <w:r>
        <w:rPr>
          <w:rFonts w:hint="eastAsia" w:ascii="仿宋_GB2312" w:hAnsi="仿宋_GB2312" w:eastAsia="仿宋_GB2312" w:cs="仿宋_GB2312"/>
          <w:kern w:val="0"/>
          <w:sz w:val="32"/>
          <w:szCs w:val="32"/>
          <w:highlight w:val="none"/>
          <w:lang w:val="en-US" w:eastAsia="zh-CN"/>
        </w:rPr>
        <w:t>2021年</w:t>
      </w:r>
      <w:r>
        <w:rPr>
          <w:rFonts w:hint="eastAsia" w:ascii="仿宋_GB2312" w:hAnsi="仿宋_GB2312" w:eastAsia="仿宋_GB2312" w:cs="仿宋_GB2312"/>
          <w:kern w:val="0"/>
          <w:sz w:val="32"/>
          <w:szCs w:val="32"/>
        </w:rPr>
        <w:t>历年来中央及本级少数民族发展资金项目工程款</w:t>
      </w:r>
      <w:r>
        <w:rPr>
          <w:rFonts w:hint="eastAsia" w:ascii="仿宋_GB2312" w:hAnsi="仿宋_GB2312" w:eastAsia="仿宋_GB2312" w:cs="仿宋_GB2312"/>
          <w:kern w:val="0"/>
          <w:sz w:val="32"/>
          <w:szCs w:val="32"/>
          <w:lang w:eastAsia="zh-CN"/>
        </w:rPr>
        <w:t>在</w:t>
      </w:r>
      <w:r>
        <w:rPr>
          <w:rFonts w:hint="eastAsia" w:ascii="仿宋_GB2312" w:hAnsi="仿宋_GB2312" w:eastAsia="仿宋_GB2312" w:cs="仿宋_GB2312"/>
          <w:kern w:val="0"/>
          <w:sz w:val="32"/>
          <w:szCs w:val="32"/>
          <w:lang w:val="en-US" w:eastAsia="zh-CN"/>
        </w:rPr>
        <w:t>2022年结算</w:t>
      </w:r>
      <w:r>
        <w:rPr>
          <w:rFonts w:hint="eastAsia" w:ascii="仿宋_GB2312" w:hAnsi="仿宋_GB2312" w:eastAsia="仿宋_GB2312" w:cs="仿宋_GB2312"/>
          <w:kern w:val="0"/>
          <w:sz w:val="32"/>
          <w:szCs w:val="32"/>
          <w:highlight w:val="none"/>
          <w:lang w:val="en-US"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_GB2312" w:eastAsia="仿宋_GB2312" w:cs="仿宋_GB2312"/>
          <w:kern w:val="0"/>
          <w:sz w:val="32"/>
          <w:szCs w:val="32"/>
          <w:lang w:eastAsia="zh-CN"/>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12.18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rPr>
        <w:t>主要用于</w:t>
      </w:r>
      <w:r>
        <w:rPr>
          <w:rFonts w:ascii="仿宋_GB2312" w:eastAsia="仿宋_GB2312" w:cs="仿宋_GB2312"/>
          <w:kern w:val="0"/>
          <w:sz w:val="32"/>
          <w:szCs w:val="32"/>
        </w:rPr>
        <w:t>单位为职工缴纳的基本养老、基本医疗、失业、工伤、生育等</w:t>
      </w:r>
      <w:r>
        <w:fldChar w:fldCharType="begin"/>
      </w:r>
      <w:r>
        <w:instrText xml:space="preserve"> HYPERLINK "https://baike.baidu.com/item/%E7%A4%BE%E4%BC%9A%E4%BF%9D%E9%99%A9%E8%B4%B9/1449825" \t "https://baike.baidu.com/item/%E8%A1%8C%E6%94%BF%E4%BA%8B%E4%B8%9A%E5%8D%95%E4%BD%8D%E6%94%AF%E5%87%BA/_blank" </w:instrText>
      </w:r>
      <w:r>
        <w:fldChar w:fldCharType="separate"/>
      </w:r>
      <w:r>
        <w:rPr>
          <w:rFonts w:ascii="仿宋_GB2312" w:eastAsia="仿宋_GB2312" w:cs="仿宋_GB2312"/>
          <w:kern w:val="0"/>
          <w:sz w:val="32"/>
          <w:szCs w:val="32"/>
        </w:rPr>
        <w:t>社会保险费</w:t>
      </w:r>
      <w:r>
        <w:rPr>
          <w:rFonts w:ascii="仿宋_GB2312" w:eastAsia="仿宋_GB2312" w:cs="仿宋_GB2312"/>
          <w:kern w:val="0"/>
          <w:sz w:val="32"/>
          <w:szCs w:val="32"/>
        </w:rPr>
        <w:fldChar w:fldCharType="end"/>
      </w:r>
      <w:r>
        <w:rPr>
          <w:rFonts w:ascii="仿宋_GB2312" w:eastAsia="仿宋_GB2312" w:cs="仿宋_GB2312"/>
          <w:kern w:val="0"/>
          <w:sz w:val="32"/>
          <w:szCs w:val="32"/>
        </w:rPr>
        <w:t>，</w:t>
      </w:r>
      <w:r>
        <w:fldChar w:fldCharType="begin"/>
      </w:r>
      <w:r>
        <w:instrText xml:space="preserve"> HYPERLINK "https://baike.baidu.com/item/%E6%AE%8B%E7%96%BE%E4%BA%BA%E5%B0%B1%E4%B8%9A%E4%BF%9D%E9%9A%9C%E9%87%91/888192" \t "https://baike.baidu.com/item/%E8%A1%8C%E6%94%BF%E4%BA%8B%E4%B8%9A%E5%8D%95%E4%BD%8D%E6%94%AF%E5%87%BA/_blank" </w:instrText>
      </w:r>
      <w:r>
        <w:fldChar w:fldCharType="separate"/>
      </w:r>
      <w:r>
        <w:rPr>
          <w:rFonts w:ascii="仿宋_GB2312" w:eastAsia="仿宋_GB2312" w:cs="仿宋_GB2312"/>
          <w:kern w:val="0"/>
          <w:sz w:val="32"/>
          <w:szCs w:val="32"/>
        </w:rPr>
        <w:t>残疾人就业保障金</w:t>
      </w:r>
      <w:r>
        <w:rPr>
          <w:rFonts w:ascii="仿宋_GB2312" w:eastAsia="仿宋_GB2312" w:cs="仿宋_GB2312"/>
          <w:kern w:val="0"/>
          <w:sz w:val="32"/>
          <w:szCs w:val="32"/>
        </w:rPr>
        <w:fldChar w:fldCharType="end"/>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1.52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14.26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3</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2261.8</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eastAsia="仿宋_GB2312" w:cs="仿宋_GB2312"/>
          <w:kern w:val="0"/>
          <w:sz w:val="32"/>
          <w:szCs w:val="32"/>
          <w:lang w:eastAsia="zh-CN"/>
        </w:rPr>
        <w:t>乡村振兴</w:t>
      </w:r>
      <w:r>
        <w:rPr>
          <w:rFonts w:hint="eastAsia" w:ascii="仿宋_GB2312" w:eastAsia="仿宋_GB2312" w:cs="仿宋_GB2312"/>
          <w:kern w:val="0"/>
          <w:sz w:val="32"/>
          <w:szCs w:val="32"/>
        </w:rPr>
        <w:t>的农村基础设施建设和其他</w:t>
      </w:r>
      <w:r>
        <w:rPr>
          <w:rFonts w:hint="eastAsia" w:ascii="仿宋_GB2312" w:eastAsia="仿宋_GB2312" w:cs="仿宋_GB2312"/>
          <w:kern w:val="0"/>
          <w:sz w:val="32"/>
          <w:szCs w:val="32"/>
          <w:lang w:eastAsia="zh-CN"/>
        </w:rPr>
        <w:t>乡村振兴衔接</w:t>
      </w:r>
      <w:r>
        <w:rPr>
          <w:rFonts w:hint="eastAsia" w:ascii="仿宋_GB2312" w:eastAsia="仿宋_GB2312" w:cs="仿宋_GB2312"/>
          <w:kern w:val="0"/>
          <w:sz w:val="32"/>
          <w:szCs w:val="32"/>
        </w:rPr>
        <w:t>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74.80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3.42</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szCs w:val="32"/>
          <w:highlight w:val="none"/>
          <w:lang w:val="en-US" w:eastAsia="zh-CN"/>
        </w:rPr>
        <w:t>2022年上级安排的衔接项目资金增加。</w:t>
      </w:r>
    </w:p>
    <w:p>
      <w:pPr>
        <w:keepNext w:val="0"/>
        <w:keepLines w:val="0"/>
        <w:widowControl w:val="0"/>
        <w:suppressLineNumbers w:val="0"/>
        <w:spacing w:before="0" w:beforeAutospacing="0" w:after="0" w:afterAutospacing="0"/>
        <w:ind w:left="0" w:right="0"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9.24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kern w:val="0"/>
          <w:sz w:val="32"/>
          <w:szCs w:val="32"/>
          <w:highlight w:val="none"/>
        </w:rPr>
        <w:t>主要用于按照国家政策规定向职工发放的住房公积金、提租补贴、购房补贴等住房改革方</w:t>
      </w:r>
      <w:r>
        <w:rPr>
          <w:rFonts w:hint="eastAsia" w:ascii="仿宋_GB2312" w:hAnsi="仿宋_GB2312" w:eastAsia="仿宋_GB2312" w:cs="仿宋_GB2312"/>
          <w:spacing w:val="-3"/>
          <w:kern w:val="0"/>
          <w:sz w:val="32"/>
          <w:szCs w:val="32"/>
          <w:highlight w:val="none"/>
        </w:rPr>
        <w:t>面的支出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增加</w:t>
      </w:r>
      <w:r>
        <w:rPr>
          <w:rFonts w:hint="eastAsia" w:ascii="仿宋" w:hAnsi="仿宋" w:eastAsia="仿宋" w:cs="仿宋"/>
          <w:sz w:val="32"/>
          <w:szCs w:val="32"/>
          <w:highlight w:val="none"/>
          <w:lang w:val="en-US" w:eastAsia="zh-CN" w:bidi="ar"/>
        </w:rPr>
        <w:t>14.78</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kern w:val="0"/>
          <w:sz w:val="32"/>
          <w:szCs w:val="32"/>
          <w:highlight w:val="none"/>
          <w:lang w:val="en-US" w:eastAsia="zh-CN"/>
        </w:rPr>
        <w:t>单位人员增加。</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hint="default"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6.</w:t>
      </w:r>
      <w:r>
        <w:rPr>
          <w:rFonts w:hint="eastAsia" w:ascii="仿宋_GB2312" w:hAnsi="仿宋_GB2312" w:eastAsia="仿宋_GB2312" w:cs="仿宋_GB2312"/>
          <w:kern w:val="0"/>
          <w:sz w:val="32"/>
          <w:szCs w:val="32"/>
          <w:highlight w:val="none"/>
          <w:lang w:eastAsia="zh-CN"/>
        </w:rPr>
        <w:t>其他</w:t>
      </w:r>
      <w:r>
        <w:rPr>
          <w:rFonts w:hint="eastAsia" w:ascii="仿宋_GB2312" w:hAnsi="仿宋_GB2312" w:eastAsia="仿宋_GB2312" w:cs="仿宋_GB2312"/>
          <w:kern w:val="0"/>
          <w:sz w:val="32"/>
          <w:szCs w:val="32"/>
          <w:highlight w:val="none"/>
        </w:rPr>
        <w:t>支出（</w:t>
      </w:r>
      <w:r>
        <w:rPr>
          <w:rFonts w:hint="eastAsia" w:ascii="仿宋_GB2312" w:hAnsi="仿宋_GB2312" w:eastAsia="仿宋_GB2312" w:cs="仿宋_GB2312"/>
          <w:kern w:val="0"/>
          <w:sz w:val="32"/>
          <w:szCs w:val="32"/>
          <w:highlight w:val="none"/>
          <w:lang w:val="en-US" w:eastAsia="zh-CN"/>
        </w:rPr>
        <w:t>229类</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20.75</w:t>
      </w:r>
      <w:r>
        <w:rPr>
          <w:rFonts w:hint="eastAsia" w:ascii="仿宋_GB2312" w:hAnsi="仿宋_GB2312" w:eastAsia="仿宋_GB2312" w:cs="仿宋_GB2312"/>
          <w:kern w:val="0"/>
          <w:sz w:val="32"/>
          <w:szCs w:val="32"/>
          <w:highlight w:val="none"/>
        </w:rPr>
        <w:t>万元，主要用于</w:t>
      </w:r>
      <w:r>
        <w:rPr>
          <w:rFonts w:hint="eastAsia" w:ascii="仿宋_GB2312" w:hAnsi="仿宋_GB2312" w:eastAsia="仿宋_GB2312" w:cs="仿宋_GB2312"/>
          <w:kern w:val="0"/>
          <w:sz w:val="32"/>
          <w:szCs w:val="32"/>
          <w:highlight w:val="none"/>
          <w:lang w:val="en-US" w:eastAsia="zh-CN"/>
        </w:rPr>
        <w:t>2021年度绩效考评奖金</w:t>
      </w:r>
      <w:r>
        <w:rPr>
          <w:rFonts w:hint="eastAsia" w:ascii="仿宋_GB2312" w:hAnsi="仿宋_GB2312" w:eastAsia="仿宋_GB2312" w:cs="仿宋_GB2312"/>
          <w:spacing w:val="-3"/>
          <w:kern w:val="0"/>
          <w:sz w:val="32"/>
          <w:szCs w:val="32"/>
          <w:highlight w:val="none"/>
        </w:rPr>
        <w:t>的支出</w:t>
      </w:r>
      <w:r>
        <w:rPr>
          <w:rFonts w:hint="eastAsia" w:ascii="仿宋_GB2312" w:hAnsi="仿宋_GB2312" w:eastAsia="仿宋_GB2312" w:cs="仿宋_GB2312"/>
          <w:spacing w:val="-3"/>
          <w:kern w:val="0"/>
          <w:sz w:val="32"/>
          <w:szCs w:val="32"/>
          <w:highlight w:val="none"/>
          <w:lang w:eastAsia="zh-CN"/>
        </w:rPr>
        <w:t>及单位县级预算项目的支出</w:t>
      </w:r>
      <w:r>
        <w:rPr>
          <w:rFonts w:hint="eastAsia" w:ascii="仿宋_GB2312" w:hAnsi="仿宋_GB2312" w:eastAsia="仿宋_GB2312" w:cs="仿宋_GB2312"/>
          <w:spacing w:val="-3"/>
          <w:kern w:val="0"/>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12.97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bidi="ar"/>
        </w:rPr>
        <w:t>减少</w:t>
      </w:r>
      <w:r>
        <w:rPr>
          <w:rFonts w:hint="eastAsia" w:ascii="仿宋" w:hAnsi="仿宋" w:eastAsia="仿宋" w:cs="仿宋"/>
          <w:sz w:val="32"/>
          <w:szCs w:val="32"/>
          <w:highlight w:val="none"/>
          <w:lang w:val="en-US" w:eastAsia="zh-CN" w:bidi="ar"/>
        </w:rPr>
        <w:t>38.46</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spacing w:val="-3"/>
          <w:kern w:val="0"/>
          <w:sz w:val="32"/>
          <w:szCs w:val="32"/>
          <w:highlight w:val="none"/>
          <w:lang w:eastAsia="zh-CN"/>
        </w:rPr>
        <w:t>单位县级预算项目减少。</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13250" cy="2556510"/>
            <wp:effectExtent l="4445" t="4445" r="20955"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环江毛南族自治县民族宗教事务局</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2498.94</w:t>
      </w:r>
      <w:r>
        <w:rPr>
          <w:rFonts w:hint="eastAsia" w:ascii="仿宋" w:hAnsi="仿宋" w:eastAsia="仿宋" w:cs="仿宋"/>
          <w:sz w:val="32"/>
          <w:szCs w:val="32"/>
          <w:highlight w:val="none"/>
        </w:rPr>
        <w:t>万元，较2021年度决算数</w:t>
      </w:r>
      <w:r>
        <w:rPr>
          <w:rFonts w:ascii="仿宋" w:hAnsi="仿宋" w:eastAsia="仿宋" w:cs="仿宋"/>
          <w:sz w:val="32"/>
          <w:u w:color="auto"/>
        </w:rPr>
        <w:t>减少</w:t>
      </w:r>
      <w:r>
        <w:rPr>
          <w:rFonts w:hint="eastAsia" w:ascii="仿宋" w:hAnsi="仿宋" w:eastAsia="仿宋" w:cs="仿宋"/>
          <w:sz w:val="32"/>
          <w:u w:color="auto"/>
          <w:lang w:val="en-US" w:eastAsia="zh-CN"/>
        </w:rPr>
        <w:t>11.18</w:t>
      </w:r>
      <w:r>
        <w:rPr>
          <w:rFonts w:hint="eastAsia" w:ascii="仿宋" w:hAnsi="仿宋" w:eastAsia="仿宋" w:cs="仿宋"/>
          <w:sz w:val="32"/>
          <w:szCs w:val="32"/>
          <w:highlight w:val="none"/>
        </w:rPr>
        <w:t>万元，</w:t>
      </w:r>
      <w:r>
        <w:rPr>
          <w:rFonts w:ascii="仿宋" w:hAnsi="仿宋" w:eastAsia="仿宋" w:cs="仿宋"/>
          <w:sz w:val="32"/>
          <w:u w:color="auto"/>
        </w:rPr>
        <w:t>下降</w:t>
      </w:r>
      <w:r>
        <w:rPr>
          <w:rFonts w:hint="eastAsia" w:ascii="仿宋" w:hAnsi="仿宋" w:eastAsia="仿宋" w:cs="仿宋"/>
          <w:sz w:val="32"/>
          <w:u w:color="auto"/>
          <w:lang w:val="en-US" w:eastAsia="zh-CN"/>
        </w:rPr>
        <w:t>0.45</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lang w:val="en-US" w:eastAsia="zh-CN"/>
        </w:rPr>
        <w:t>186.70</w:t>
      </w:r>
      <w:r>
        <w:rPr>
          <w:rFonts w:hint="eastAsia" w:ascii="仿宋" w:hAnsi="仿宋" w:eastAsia="仿宋" w:cs="仿宋"/>
          <w:sz w:val="32"/>
          <w:szCs w:val="32"/>
          <w:highlight w:val="none"/>
        </w:rPr>
        <w:t>万元，项目支出</w:t>
      </w:r>
      <w:r>
        <w:rPr>
          <w:rFonts w:hint="eastAsia" w:ascii="仿宋" w:hAnsi="仿宋" w:eastAsia="仿宋" w:cs="仿宋"/>
          <w:sz w:val="32"/>
          <w:u w:color="auto"/>
          <w:lang w:val="en-US" w:eastAsia="zh-CN"/>
        </w:rPr>
        <w:t>2312.24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环江毛南族自治县民族宗教事务局</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rPr>
        <w:t>2498.94</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2498.94</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_GB2312" w:hAnsi="仿宋_GB2312" w:eastAsia="仿宋_GB2312" w:cs="仿宋_GB2312"/>
          <w:kern w:val="0"/>
          <w:sz w:val="32"/>
          <w:szCs w:val="32"/>
          <w:highlight w:val="none"/>
        </w:rPr>
        <w:t>一般公共服务支出（</w:t>
      </w:r>
      <w:r>
        <w:rPr>
          <w:rFonts w:hint="eastAsia" w:ascii="仿宋_GB2312" w:hAnsi="仿宋_GB2312" w:eastAsia="仿宋_GB2312" w:cs="仿宋_GB2312"/>
          <w:kern w:val="0"/>
          <w:sz w:val="32"/>
          <w:szCs w:val="32"/>
          <w:highlight w:val="none"/>
          <w:lang w:val="en-US" w:eastAsia="zh-CN"/>
        </w:rPr>
        <w:t>201类</w:t>
      </w:r>
      <w:r>
        <w:rPr>
          <w:rFonts w:hint="eastAsia" w:ascii="仿宋_GB2312" w:hAnsi="仿宋_GB2312" w:eastAsia="仿宋_GB2312" w:cs="仿宋_GB2312"/>
          <w:kern w:val="0"/>
          <w:sz w:val="32"/>
          <w:szCs w:val="32"/>
          <w:highlight w:val="none"/>
        </w:rPr>
        <w:t>）</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124.94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194.97</w:t>
      </w:r>
      <w:r>
        <w:rPr>
          <w:rFonts w:ascii="仿宋" w:hAnsi="仿宋" w:eastAsia="仿宋"/>
          <w:sz w:val="32"/>
          <w:szCs w:val="32"/>
          <w:highlight w:val="none"/>
        </w:rPr>
        <w:t>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156.05</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_GB2312" w:eastAsia="仿宋_GB2312" w:cs="仿宋_GB2312"/>
          <w:kern w:val="0"/>
          <w:sz w:val="32"/>
          <w:szCs w:val="32"/>
          <w:lang w:eastAsia="zh-CN"/>
        </w:rPr>
        <w:t>单位人员增加，人员经费提高；县级年中安排项目资金增加等。</w:t>
      </w:r>
      <w:r>
        <w:rPr>
          <w:rFonts w:hint="eastAsia" w:ascii="仿宋_GB2312" w:hAnsi="仿宋_GB2312" w:eastAsia="仿宋_GB2312" w:cs="仿宋_GB2312"/>
          <w:bCs/>
          <w:kern w:val="0"/>
          <w:sz w:val="32"/>
          <w:szCs w:val="32"/>
          <w:highlight w:val="none"/>
        </w:rPr>
        <w:t>主要用于本部门为保证日常运转发生的基本支出，如根据国家及自治区规定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2012301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118.46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185.49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156.58%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主要用于办公费、差旅费及会议培训等日常运行工作</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预决算存有差异原因是：单位人员增加，人员经费提高。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其他民族事务支出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160.00%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主要用于本局县本级项目活动支出。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县级年中安排项目资金增加。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主要用于工会经费支出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124.94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194.97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156.05%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主要用于本部门为保证日常运转发生的基本支出和为完成各项工作任务、保障单位事业发展而发生的项目支出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单位人员增加，人员经费提高；县级年中安排项目资金增加等。</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11.88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9.24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77.78</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人员变动。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主要用于单位为职工缴纳的基本养老、基本医疗、失业、工伤、生育等</w:t>
            </w:r>
            <w:r>
              <w:rPr>
                <w:rFonts w:hint="eastAsia" w:ascii="宋体" w:hAnsi="宋体" w:eastAsia="宋体" w:cs="宋体"/>
                <w:i w:val="0"/>
                <w:iCs w:val="0"/>
                <w:color w:val="000000"/>
                <w:sz w:val="18"/>
                <w:szCs w:val="18"/>
                <w:highlight w:val="none"/>
                <w:u w:val="none"/>
                <w:lang w:val="en-US" w:eastAsia="zh-CN"/>
              </w:rPr>
              <w:fldChar w:fldCharType="begin"/>
            </w:r>
            <w:r>
              <w:rPr>
                <w:rFonts w:hint="eastAsia" w:ascii="宋体" w:hAnsi="宋体" w:eastAsia="宋体" w:cs="宋体"/>
                <w:i w:val="0"/>
                <w:iCs w:val="0"/>
                <w:color w:val="000000"/>
                <w:sz w:val="18"/>
                <w:szCs w:val="18"/>
                <w:highlight w:val="none"/>
                <w:u w:val="none"/>
                <w:lang w:val="en-US" w:eastAsia="zh-CN"/>
              </w:rPr>
              <w:instrText xml:space="preserve"> HYPERLINK "https://baike.baidu.com/item/%E7%A4%BE%E4%BC%9A%E4%BF%9D%E9%99%A9%E8%B4%B9/1449825" \t "https://baike.baidu.com/item/%E8%A1%8C%E6%94%BF%E4%BA%8B%E4%B8%9A%E5%8D%95%E4%BD%8D%E6%94%AF%E5%87%BA/_blank" </w:instrText>
            </w:r>
            <w:r>
              <w:rPr>
                <w:rFonts w:hint="eastAsia" w:ascii="宋体" w:hAnsi="宋体" w:eastAsia="宋体" w:cs="宋体"/>
                <w:i w:val="0"/>
                <w:iCs w:val="0"/>
                <w:color w:val="000000"/>
                <w:sz w:val="18"/>
                <w:szCs w:val="18"/>
                <w:highlight w:val="none"/>
                <w:u w:val="none"/>
                <w:lang w:val="en-US" w:eastAsia="zh-CN"/>
              </w:rPr>
              <w:fldChar w:fldCharType="separate"/>
            </w:r>
            <w:r>
              <w:rPr>
                <w:rFonts w:hint="eastAsia" w:ascii="宋体" w:hAnsi="宋体" w:eastAsia="宋体" w:cs="宋体"/>
                <w:i w:val="0"/>
                <w:iCs w:val="0"/>
                <w:color w:val="000000"/>
                <w:sz w:val="18"/>
                <w:szCs w:val="18"/>
                <w:highlight w:val="none"/>
                <w:u w:val="none"/>
                <w:lang w:val="en-US" w:eastAsia="zh-CN"/>
              </w:rPr>
              <w:t>社会保险费</w:t>
            </w:r>
            <w:r>
              <w:rPr>
                <w:rFonts w:hint="eastAsia" w:ascii="宋体" w:hAnsi="宋体" w:eastAsia="宋体" w:cs="宋体"/>
                <w:i w:val="0"/>
                <w:iCs w:val="0"/>
                <w:color w:val="000000"/>
                <w:sz w:val="18"/>
                <w:szCs w:val="18"/>
                <w:highlight w:val="none"/>
                <w:u w:val="none"/>
                <w:lang w:val="en-US" w:eastAsia="zh-CN"/>
              </w:rPr>
              <w:fldChar w:fldCharType="end"/>
            </w:r>
            <w:r>
              <w:rPr>
                <w:rFonts w:hint="eastAsia" w:ascii="宋体" w:hAnsi="宋体" w:eastAsia="宋体" w:cs="宋体"/>
                <w:i w:val="0"/>
                <w:iCs w:val="0"/>
                <w:color w:val="000000"/>
                <w:sz w:val="18"/>
                <w:szCs w:val="18"/>
                <w:highlight w:val="none"/>
                <w:u w:val="none"/>
                <w:lang w:val="en-US" w:eastAsia="zh-CN"/>
              </w:rPr>
              <w:t>，</w:t>
            </w:r>
            <w:r>
              <w:rPr>
                <w:rFonts w:hint="eastAsia" w:ascii="宋体" w:hAnsi="宋体" w:eastAsia="宋体" w:cs="宋体"/>
                <w:i w:val="0"/>
                <w:iCs w:val="0"/>
                <w:color w:val="000000"/>
                <w:sz w:val="18"/>
                <w:szCs w:val="18"/>
                <w:highlight w:val="none"/>
                <w:u w:val="none"/>
                <w:lang w:val="en-US" w:eastAsia="zh-CN"/>
              </w:rPr>
              <w:fldChar w:fldCharType="begin"/>
            </w:r>
            <w:r>
              <w:rPr>
                <w:rFonts w:hint="eastAsia" w:ascii="宋体" w:hAnsi="宋体" w:eastAsia="宋体" w:cs="宋体"/>
                <w:i w:val="0"/>
                <w:iCs w:val="0"/>
                <w:color w:val="000000"/>
                <w:sz w:val="18"/>
                <w:szCs w:val="18"/>
                <w:highlight w:val="none"/>
                <w:u w:val="none"/>
                <w:lang w:val="en-US" w:eastAsia="zh-CN"/>
              </w:rPr>
              <w:instrText xml:space="preserve"> HYPERLINK "https://baike.baidu.com/item/%E6%AE%8B%E7%96%BE%E4%BA%BA%E5%B0%B1%E4%B8%9A%E4%BF%9D%E9%9A%9C%E9%87%91/888192" \t "https://baike.baidu.com/item/%E8%A1%8C%E6%94%BF%E4%BA%8B%E4%B8%9A%E5%8D%95%E4%BD%8D%E6%94%AF%E5%87%BA/_blank" </w:instrText>
            </w:r>
            <w:r>
              <w:rPr>
                <w:rFonts w:hint="eastAsia" w:ascii="宋体" w:hAnsi="宋体" w:eastAsia="宋体" w:cs="宋体"/>
                <w:i w:val="0"/>
                <w:iCs w:val="0"/>
                <w:color w:val="000000"/>
                <w:sz w:val="18"/>
                <w:szCs w:val="18"/>
                <w:highlight w:val="none"/>
                <w:u w:val="none"/>
                <w:lang w:val="en-US" w:eastAsia="zh-CN"/>
              </w:rPr>
              <w:fldChar w:fldCharType="separate"/>
            </w:r>
            <w:r>
              <w:rPr>
                <w:rFonts w:hint="eastAsia" w:ascii="宋体" w:hAnsi="宋体" w:eastAsia="宋体" w:cs="宋体"/>
                <w:i w:val="0"/>
                <w:iCs w:val="0"/>
                <w:color w:val="000000"/>
                <w:sz w:val="18"/>
                <w:szCs w:val="18"/>
                <w:highlight w:val="none"/>
                <w:u w:val="none"/>
                <w:lang w:val="en-US" w:eastAsia="zh-CN"/>
              </w:rPr>
              <w:t>残疾人就业保障金</w:t>
            </w:r>
            <w:r>
              <w:rPr>
                <w:rFonts w:hint="eastAsia" w:ascii="宋体" w:hAnsi="宋体" w:eastAsia="宋体" w:cs="宋体"/>
                <w:i w:val="0"/>
                <w:iCs w:val="0"/>
                <w:color w:val="000000"/>
                <w:sz w:val="18"/>
                <w:szCs w:val="18"/>
                <w:highlight w:val="none"/>
                <w:u w:val="none"/>
                <w:lang w:val="en-US" w:eastAsia="zh-CN"/>
              </w:rPr>
              <w:fldChar w:fldCharType="end"/>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预决算存有差异原因是：人员变动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11.88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77.78%</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2261.80</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原因是：项目资金年中下达，年初未安排预算</w:t>
      </w:r>
      <w:r>
        <w:rPr>
          <w:rFonts w:hint="eastAsia" w:ascii="仿宋" w:hAnsi="仿宋" w:eastAsia="仿宋"/>
          <w:sz w:val="32"/>
          <w:szCs w:val="32"/>
          <w:highlight w:val="none"/>
          <w:lang w:val="en-US"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2130501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乡村振兴的农村基础设施建设和其他乡村振兴衔接支出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预决算存有差异原因是：项目资金年中下达，年初未安排预算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2130504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农村基础设施建设</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2122.4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乡村振兴的农村基础设施建设和其他乡村振兴衔接支出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预决算存有差异原因是：项目资金年中下达，年初未安排预算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2130599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其他巩固脱贫衔接乡村振兴支出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乡村振兴的农村基础设施建设和其他乡村振兴衔接支出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预决算存有差异原因是：项目资金年中下达，年初未安排预算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2261.8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乡村振兴的农村基础设施建设和其他乡村振兴衔接支出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预决算存有差异原因是：项目资金年中下达，年初未安排预算</w:t>
            </w:r>
          </w:p>
        </w:tc>
      </w:tr>
    </w:tbl>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highlight w:val="none"/>
          <w:u w:val="none"/>
          <w:lang w:val="en-US" w:eastAsia="zh-CN"/>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2"/>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9.07</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9.24</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101.87</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sz w:val="32"/>
          <w:szCs w:val="32"/>
          <w:highlight w:val="none"/>
          <w:lang w:val="en-US" w:eastAsia="zh-CN"/>
        </w:rPr>
        <w:t>住房公积金基数增加。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8"/>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9.24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101.87%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主要用于按照国家政策规定向职工发放的住房公积金、提租补贴、购房补贴等住房改革方面的支出。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预决算存有差异原因是：住房公积金基数增加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101.38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98.52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 w:hAnsi="仿宋" w:eastAsia="仿宋" w:cs="仿宋"/>
          <w:sz w:val="32"/>
          <w:szCs w:val="32"/>
          <w:highlight w:val="none"/>
        </w:rPr>
      </w:pPr>
      <w:r>
        <w:rPr>
          <w:rFonts w:hint="eastAsia" w:ascii="仿宋_GB2312" w:hAnsi="仿宋_GB2312" w:eastAsia="仿宋_GB2312" w:cs="仿宋_GB2312"/>
          <w:bCs/>
          <w:kern w:val="0"/>
          <w:sz w:val="32"/>
          <w:szCs w:val="32"/>
          <w:highlight w:val="none"/>
        </w:rPr>
        <w:t>6.</w:t>
      </w:r>
      <w:r>
        <w:rPr>
          <w:rFonts w:hint="eastAsia" w:ascii="仿宋_GB2312" w:eastAsia="仿宋_GB2312" w:cs="仿宋_GB2312"/>
          <w:kern w:val="0"/>
          <w:sz w:val="32"/>
          <w:szCs w:val="32"/>
          <w:lang w:eastAsia="zh-CN"/>
        </w:rPr>
        <w:t>其他支出</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229类</w:t>
      </w:r>
      <w:r>
        <w:rPr>
          <w:rFonts w:hint="eastAsia" w:ascii="仿宋_GB2312" w:eastAsia="仿宋_GB2312" w:cs="仿宋_GB2312"/>
          <w:kern w:val="0"/>
          <w:sz w:val="32"/>
          <w:szCs w:val="32"/>
        </w:rPr>
        <w:t>）支出年初预算为0万元，支出决算为</w:t>
      </w:r>
      <w:r>
        <w:rPr>
          <w:rFonts w:hint="eastAsia" w:ascii="仿宋_GB2312" w:eastAsia="仿宋_GB2312" w:cs="仿宋_GB2312"/>
          <w:kern w:val="0"/>
          <w:sz w:val="32"/>
          <w:szCs w:val="32"/>
          <w:lang w:val="en-US" w:eastAsia="zh-CN"/>
        </w:rPr>
        <w:t>20.75</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干部职工</w:t>
      </w:r>
      <w:r>
        <w:rPr>
          <w:rFonts w:hint="eastAsia" w:ascii="仿宋_GB2312" w:eastAsia="仿宋_GB2312" w:cs="仿宋_GB2312"/>
          <w:kern w:val="0"/>
          <w:sz w:val="32"/>
          <w:szCs w:val="32"/>
          <w:lang w:val="en-US" w:eastAsia="zh-CN"/>
        </w:rPr>
        <w:t>2022年绩效考评奖金</w:t>
      </w:r>
      <w:r>
        <w:rPr>
          <w:rFonts w:hint="eastAsia" w:ascii="仿宋_GB2312" w:hAnsi="仿宋_GB2312" w:eastAsia="仿宋_GB2312" w:cs="仿宋_GB2312"/>
          <w:spacing w:val="-3"/>
          <w:kern w:val="0"/>
          <w:sz w:val="32"/>
          <w:szCs w:val="32"/>
          <w:highlight w:val="none"/>
          <w:lang w:eastAsia="zh-CN"/>
        </w:rPr>
        <w:t>单位县级预算项目的支出</w:t>
      </w:r>
      <w:r>
        <w:rPr>
          <w:rFonts w:hint="eastAsia" w:ascii="仿宋_GB2312" w:eastAsia="仿宋_GB2312" w:cs="仿宋_GB2312"/>
          <w:kern w:val="0"/>
          <w:sz w:val="32"/>
          <w:szCs w:val="32"/>
        </w:rPr>
        <w:t>。完成年初预算的100%，主要原因是年初预算未安排。</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环江毛南族自治县民族宗教事务局</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186.70</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lang w:val="en-US" w:eastAsia="zh-CN"/>
        </w:rPr>
        <w:t>170.47</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lang w:val="en-US" w:eastAsia="zh-CN"/>
        </w:rPr>
        <w:t>16.23</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lang w:val="en-US" w:eastAsia="zh-CN"/>
        </w:rPr>
        <w:t>163.87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182.67</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sz w:val="32"/>
          <w:u w:color="auto"/>
          <w:lang w:val="en-US" w:eastAsia="zh-CN"/>
        </w:rPr>
        <w:t>人员增加，工资待遇增加。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57.99万元，30102津贴补贴23.02万元，30103奖金5.17万元，30106伙食补助费1.4万元，30107绩效工资24.42万元，30108机关事业单位基本养老保险缴费16.95万元，30110职工基本医疗保险缴费7.89万元，30112其他社会保障缴费0.56万元，30113住房公积金9.24万元，30199其他工资福利支出17.22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pageBreakBefore w:val="0"/>
        <w:kinsoku/>
        <w:wordWrap/>
        <w:overflowPunct/>
        <w:topLinePunct w:val="0"/>
        <w:autoSpaceDE w:val="0"/>
        <w:autoSpaceDN w:val="0"/>
        <w:bidi w:val="0"/>
        <w:adjustRightInd w:val="0"/>
        <w:spacing w:line="560" w:lineRule="exact"/>
        <w:ind w:firstLine="320" w:firstLineChars="100"/>
        <w:textAlignment w:val="auto"/>
        <w:rPr>
          <w:rFonts w:hint="eastAsia" w:ascii="仿宋_GB2312" w:hAnsi="仿宋_GB2312" w:eastAsia="仿宋_GB2312" w:cs="仿宋_GB2312"/>
          <w:bCs/>
          <w:color w:val="FF0000"/>
          <w:kern w:val="0"/>
          <w:sz w:val="32"/>
          <w:szCs w:val="32"/>
          <w:highlight w:val="none"/>
        </w:rPr>
      </w:pPr>
      <w:r>
        <w:rPr>
          <w:rFonts w:hint="eastAsia" w:ascii="仿宋" w:hAnsi="仿宋" w:eastAsia="仿宋" w:cs="仿宋"/>
          <w:sz w:val="32"/>
          <w:szCs w:val="32"/>
          <w:highlight w:val="none"/>
          <w:lang w:eastAsia="zh-CN"/>
        </w:rPr>
        <w:t>（二）</w:t>
      </w:r>
      <w:r>
        <w:rPr>
          <w:rFonts w:hint="eastAsia" w:ascii="仿宋" w:hAnsi="仿宋" w:eastAsia="仿宋" w:cs="仿宋"/>
          <w:sz w:val="32"/>
          <w:szCs w:val="32"/>
          <w:highlight w:val="none"/>
        </w:rPr>
        <w:t>商品和服务支出</w:t>
      </w:r>
      <w:r>
        <w:rPr>
          <w:rFonts w:hint="eastAsia" w:ascii="仿宋" w:hAnsi="仿宋" w:eastAsia="仿宋" w:cs="仿宋"/>
          <w:sz w:val="32"/>
          <w:u w:color="auto"/>
          <w:lang w:val="en-US" w:eastAsia="zh-CN"/>
        </w:rPr>
        <w:t>16.23</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145.04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eastAsia="仿宋_GB2312" w:cs="仿宋_GB2312"/>
          <w:kern w:val="0"/>
          <w:sz w:val="32"/>
          <w:szCs w:val="32"/>
          <w:lang w:eastAsia="zh-CN"/>
        </w:rPr>
        <w:t>主要原因是人员变多，下乡差旅费增加。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30201办公费8.53万元，30205水费0.16万元，30206电费1.42万元，30209物业管理费0.04万元，30217公务接待费0.4万元，30228工会经费1.48万元，30299其他商品和服务支出4.19万元。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6.6</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主要原因是：退休人员无变化</w:t>
      </w:r>
      <w:r>
        <w:rPr>
          <w:rFonts w:hint="eastAsia" w:ascii="仿宋" w:hAnsi="仿宋" w:eastAsia="仿宋" w:cs="仿宋"/>
          <w:sz w:val="32"/>
          <w:szCs w:val="32"/>
          <w:highlight w:val="none"/>
          <w:lang w:val="en-US"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30305生活补助5.2万元，30399其他对个人和家庭的补助1.4万元。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87650"/>
            <wp:effectExtent l="4445" t="4445" r="16510" b="825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主要原因：无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环江毛南族自治县民族宗教事务局</w:t>
      </w:r>
      <w:r>
        <w:rPr>
          <w:rFonts w:hint="eastAsia" w:ascii="仿宋" w:hAnsi="仿宋" w:eastAsia="仿宋" w:cs="仿宋"/>
          <w:sz w:val="32"/>
          <w:szCs w:val="32"/>
          <w:highlight w:val="none"/>
        </w:rPr>
        <w:t>没有政府性基金收入，也没有政府性基金收入安排的支出</w:t>
      </w:r>
      <w:r>
        <w:rPr>
          <w:rFonts w:hint="eastAsia" w:ascii="仿宋" w:hAnsi="仿宋" w:eastAsia="仿宋" w:cs="仿宋"/>
          <w:sz w:val="32"/>
          <w:szCs w:val="32"/>
          <w:highlight w:val="none"/>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 w:hAnsi="仿宋" w:eastAsia="仿宋" w:cs="仿宋"/>
          <w:sz w:val="32"/>
          <w:szCs w:val="32"/>
          <w:highlight w:val="none"/>
          <w:lang w:eastAsia="zh-CN"/>
        </w:rPr>
        <w:t>环江毛南族自治县民族宗教事务局没有国有资本经营预算收入，也没有国有资本经营预算收入安排的支出。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ascii="仿宋" w:hAnsi="仿宋" w:eastAsia="仿宋" w:cs="仿宋"/>
          <w:sz w:val="32"/>
          <w:szCs w:val="32"/>
          <w:highlight w:val="none"/>
        </w:rPr>
      </w:pPr>
      <w:r>
        <w:rPr>
          <w:rFonts w:hint="eastAsia" w:ascii="仿宋" w:hAnsi="仿宋" w:eastAsia="仿宋" w:cs="仿宋"/>
          <w:sz w:val="32"/>
          <w:szCs w:val="32"/>
          <w:highlight w:val="none"/>
        </w:rPr>
        <w:t>2022年度一般公共预算财政拨款安排的“三公”经费支出</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4"/>
        </w:num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p>
    <w:p>
      <w:pPr>
        <w:numPr>
          <w:ilvl w:val="0"/>
          <w:numId w:val="0"/>
        </w:num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keepNext w:val="0"/>
        <w:keepLines w:val="0"/>
        <w:pageBreakBefore w:val="0"/>
        <w:kinsoku/>
        <w:wordWrap/>
        <w:overflowPunct/>
        <w:topLinePunct w:val="0"/>
        <w:autoSpaceDE w:val="0"/>
        <w:autoSpaceDN w:val="0"/>
        <w:bidi w:val="0"/>
        <w:adjustRightInd w:val="0"/>
        <w:spacing w:line="560" w:lineRule="exact"/>
        <w:ind w:firstLine="640" w:firstLineChars="200"/>
        <w:textAlignment w:val="auto"/>
        <w:rPr>
          <w:rFonts w:hint="eastAsia" w:ascii="仿宋_GB2312" w:eastAsia="仿宋_GB2312" w:cs="仿宋_GB2312"/>
          <w:kern w:val="0"/>
          <w:sz w:val="32"/>
          <w:szCs w:val="32"/>
        </w:rPr>
      </w:pPr>
      <w:r>
        <w:rPr>
          <w:rFonts w:hint="eastAsia" w:ascii="仿宋" w:hAnsi="仿宋" w:eastAsia="仿宋" w:cs="仿宋"/>
          <w:sz w:val="32"/>
          <w:szCs w:val="32"/>
          <w:highlight w:val="none"/>
        </w:rPr>
        <w:t>（三）公务接待费支出</w:t>
      </w:r>
      <w:r>
        <w:rPr>
          <w:rFonts w:hint="eastAsia" w:ascii="仿宋" w:hAnsi="仿宋" w:eastAsia="仿宋" w:cs="仿宋"/>
          <w:sz w:val="32"/>
          <w:szCs w:val="32"/>
          <w:highlight w:val="none"/>
          <w:lang w:val="en-US" w:eastAsia="zh-CN"/>
        </w:rPr>
        <w:t>0.4</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 比上年</w:t>
      </w:r>
      <w:r>
        <w:rPr>
          <w:rFonts w:hint="eastAsia" w:ascii="仿宋" w:hAnsi="仿宋" w:eastAsia="仿宋" w:cs="仿宋"/>
          <w:sz w:val="32"/>
          <w:szCs w:val="32"/>
          <w:highlight w:val="none"/>
          <w:lang w:eastAsia="zh-CN"/>
        </w:rPr>
        <w:t>减少</w:t>
      </w:r>
      <w:r>
        <w:rPr>
          <w:rFonts w:hint="eastAsia" w:ascii="仿宋" w:hAnsi="仿宋" w:eastAsia="仿宋" w:cs="仿宋"/>
          <w:sz w:val="32"/>
          <w:szCs w:val="32"/>
          <w:highlight w:val="none"/>
          <w:lang w:val="en-US" w:eastAsia="zh-CN"/>
        </w:rPr>
        <w:t>1.3</w:t>
      </w:r>
      <w:r>
        <w:rPr>
          <w:rFonts w:hint="eastAsia" w:ascii="仿宋" w:hAnsi="仿宋" w:eastAsia="仿宋" w:cs="仿宋"/>
          <w:sz w:val="32"/>
          <w:szCs w:val="32"/>
          <w:highlight w:val="none"/>
        </w:rPr>
        <w:t>万元，</w:t>
      </w:r>
      <w:r>
        <w:rPr>
          <w:rFonts w:hint="eastAsia" w:ascii="仿宋_GB2312" w:hAnsi="仿宋_GB2312" w:eastAsia="仿宋_GB2312" w:cs="仿宋_GB2312"/>
          <w:bCs/>
          <w:spacing w:val="6"/>
          <w:kern w:val="0"/>
          <w:sz w:val="32"/>
          <w:szCs w:val="32"/>
          <w:highlight w:val="none"/>
          <w:lang w:val="en-US" w:eastAsia="zh-CN"/>
        </w:rPr>
        <w:t>主要原因是：</w:t>
      </w:r>
      <w:r>
        <w:rPr>
          <w:rFonts w:hint="eastAsia" w:ascii="仿宋_GB2312" w:hAnsi="仿宋_GB2312" w:eastAsia="仿宋_GB2312" w:cs="仿宋_GB2312"/>
          <w:bCs/>
          <w:spacing w:val="6"/>
          <w:kern w:val="0"/>
          <w:sz w:val="32"/>
          <w:szCs w:val="32"/>
          <w:highlight w:val="none"/>
        </w:rPr>
        <w:t>认真贯彻落实中央“八项规定”精神和厉行节约要求，严控和压缩“三公”经费相关支</w:t>
      </w:r>
      <w:r>
        <w:rPr>
          <w:rFonts w:hint="eastAsia" w:ascii="仿宋_GB2312" w:hAnsi="仿宋_GB2312" w:eastAsia="仿宋_GB2312" w:cs="仿宋_GB2312"/>
          <w:bCs/>
          <w:kern w:val="0"/>
          <w:sz w:val="32"/>
          <w:szCs w:val="32"/>
          <w:highlight w:val="none"/>
        </w:rPr>
        <w:t>出。</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6</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45</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rPr>
      </w:pPr>
      <w:r>
        <w:rPr>
          <w:rFonts w:hint="eastAsia" w:ascii="仿宋" w:hAnsi="仿宋" w:eastAsia="仿宋" w:cs="仿宋"/>
          <w:sz w:val="32"/>
          <w:szCs w:val="32"/>
          <w:highlight w:val="none"/>
        </w:rPr>
        <w:t>本部门2022年度机关运行经费支出</w:t>
      </w:r>
      <w:r>
        <w:rPr>
          <w:rFonts w:hint="eastAsia" w:ascii="仿宋" w:hAnsi="仿宋" w:eastAsia="仿宋" w:cs="仿宋"/>
          <w:sz w:val="32"/>
          <w:szCs w:val="32"/>
          <w:highlight w:val="none"/>
          <w:lang w:val="en-US" w:eastAsia="zh-CN"/>
        </w:rPr>
        <w:t>16.23</w:t>
      </w:r>
      <w:r>
        <w:rPr>
          <w:rFonts w:hint="eastAsia" w:ascii="仿宋" w:hAnsi="仿宋" w:eastAsia="仿宋" w:cs="仿宋"/>
          <w:sz w:val="32"/>
          <w:szCs w:val="32"/>
          <w:highlight w:val="none"/>
        </w:rPr>
        <w:t>万元，比年初预算数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5.04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45.04</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w:t>
      </w:r>
      <w:r>
        <w:rPr>
          <w:rFonts w:hint="eastAsia" w:ascii="仿宋" w:hAnsi="仿宋" w:eastAsia="仿宋" w:cs="仿宋"/>
          <w:sz w:val="32"/>
          <w:szCs w:val="32"/>
          <w:highlight w:val="none"/>
          <w:lang w:val="en-US" w:eastAsia="zh-CN"/>
        </w:rPr>
        <w:t>3.40</w:t>
      </w:r>
      <w:r>
        <w:rPr>
          <w:rFonts w:hint="eastAsia" w:ascii="仿宋" w:hAnsi="仿宋" w:eastAsia="仿宋" w:cs="仿宋"/>
          <w:sz w:val="32"/>
          <w:szCs w:val="32"/>
          <w:highlight w:val="none"/>
        </w:rPr>
        <w:t>万元，</w:t>
      </w:r>
      <w:r>
        <w:rPr>
          <w:rFonts w:ascii="仿宋" w:hAnsi="仿宋" w:eastAsia="仿宋" w:cs="仿宋"/>
          <w:sz w:val="32"/>
          <w:szCs w:val="32"/>
          <w:highlight w:val="none"/>
        </w:rPr>
        <w:t>增长</w:t>
      </w:r>
      <w:r>
        <w:rPr>
          <w:rFonts w:hint="eastAsia" w:ascii="仿宋" w:hAnsi="仿宋" w:eastAsia="仿宋" w:cs="仿宋"/>
          <w:sz w:val="32"/>
          <w:szCs w:val="32"/>
          <w:highlight w:val="none"/>
          <w:lang w:val="en-US" w:eastAsia="zh-CN"/>
        </w:rPr>
        <w:t>16.50</w:t>
      </w:r>
      <w:r>
        <w:rPr>
          <w:rFonts w:ascii="仿宋" w:hAnsi="仿宋" w:eastAsia="仿宋" w:cs="仿宋"/>
          <w:sz w:val="32"/>
          <w:szCs w:val="32"/>
          <w:highlight w:val="none"/>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原因是：单位往年办公设施设备购置经费在2022年支付增加、资产运行维护支出增加、单位人员编制数量增加。</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hint="eastAsia" w:ascii="仿宋" w:hAnsi="仿宋" w:eastAsia="仿宋" w:cs="仿宋"/>
          <w:sz w:val="32"/>
          <w:szCs w:val="32"/>
          <w:highlight w:val="none"/>
          <w:lang w:val="en-US" w:eastAsia="zh-CN"/>
        </w:rPr>
        <w:t>2265.3195</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3.5195</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2261.80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2261.80</w:t>
      </w:r>
      <w:r>
        <w:rPr>
          <w:rFonts w:hint="eastAsia" w:ascii="仿宋" w:hAnsi="仿宋" w:eastAsia="仿宋" w:cs="仿宋"/>
          <w:sz w:val="32"/>
          <w:szCs w:val="32"/>
          <w:highlight w:val="none"/>
        </w:rPr>
        <w:t>万元，占授予中小企业合同金额的</w:t>
      </w:r>
      <w:r>
        <w:rPr>
          <w:rFonts w:hint="eastAsia" w:ascii="仿宋" w:hAnsi="仿宋" w:eastAsia="仿宋" w:cs="仿宋"/>
          <w:sz w:val="32"/>
          <w:szCs w:val="32"/>
          <w:highlight w:val="none"/>
          <w:lang w:val="en-US" w:eastAsia="zh-CN"/>
        </w:rPr>
        <w:t>100</w:t>
      </w:r>
      <w:r>
        <w:rPr>
          <w:rFonts w:ascii="仿宋" w:hAnsi="仿宋" w:eastAsia="仿宋" w:cs="仿宋"/>
          <w:sz w:val="32"/>
          <w:szCs w:val="32"/>
          <w:highlight w:val="none"/>
        </w:rPr>
        <w:t>%</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根据财政预算管理要求，我部门组织对202</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年度衔接资金项目支出全面开展绩效自评</w:t>
      </w:r>
      <w:r>
        <w:rPr>
          <w:rFonts w:hint="eastAsia" w:ascii="仿宋_GB2312" w:eastAsia="仿宋_GB2312" w:cs="仿宋_GB2312"/>
          <w:kern w:val="0"/>
          <w:sz w:val="32"/>
          <w:szCs w:val="32"/>
          <w:lang w:eastAsia="zh-CN"/>
        </w:rPr>
        <w:t>如下：</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b w:val="0"/>
          <w:bCs w:val="0"/>
          <w:color w:val="auto"/>
          <w:kern w:val="5"/>
          <w:sz w:val="32"/>
          <w:szCs w:val="32"/>
        </w:rPr>
      </w:pPr>
      <w:r>
        <w:rPr>
          <w:rFonts w:hint="eastAsia" w:ascii="黑体" w:hAnsi="黑体" w:eastAsia="黑体"/>
          <w:b w:val="0"/>
          <w:bCs w:val="0"/>
          <w:color w:val="auto"/>
          <w:kern w:val="5"/>
          <w:sz w:val="32"/>
          <w:szCs w:val="32"/>
          <w:lang w:eastAsia="zh-CN"/>
        </w:rPr>
        <w:t>（</w:t>
      </w:r>
      <w:r>
        <w:rPr>
          <w:rFonts w:hint="eastAsia" w:ascii="黑体" w:hAnsi="黑体" w:eastAsia="黑体"/>
          <w:b w:val="0"/>
          <w:bCs w:val="0"/>
          <w:color w:val="auto"/>
          <w:kern w:val="5"/>
          <w:sz w:val="32"/>
          <w:szCs w:val="32"/>
          <w:lang w:val="en-US" w:eastAsia="zh-CN"/>
        </w:rPr>
        <w:t>1</w:t>
      </w:r>
      <w:r>
        <w:rPr>
          <w:rFonts w:hint="eastAsia" w:ascii="黑体" w:hAnsi="黑体" w:eastAsia="黑体"/>
          <w:b w:val="0"/>
          <w:bCs w:val="0"/>
          <w:color w:val="auto"/>
          <w:kern w:val="5"/>
          <w:sz w:val="32"/>
          <w:szCs w:val="32"/>
          <w:lang w:eastAsia="zh-CN"/>
        </w:rPr>
        <w:t>）</w:t>
      </w:r>
      <w:r>
        <w:rPr>
          <w:rFonts w:hint="eastAsia" w:ascii="黑体" w:hAnsi="黑体" w:eastAsia="黑体"/>
          <w:b w:val="0"/>
          <w:bCs w:val="0"/>
          <w:color w:val="auto"/>
          <w:kern w:val="5"/>
          <w:sz w:val="32"/>
          <w:szCs w:val="32"/>
        </w:rPr>
        <w:t>、</w:t>
      </w:r>
      <w:r>
        <w:rPr>
          <w:rFonts w:hint="eastAsia" w:ascii="黑体" w:hAnsi="黑体" w:eastAsia="黑体"/>
          <w:b w:val="0"/>
          <w:bCs w:val="0"/>
          <w:color w:val="auto"/>
          <w:kern w:val="5"/>
          <w:sz w:val="32"/>
          <w:szCs w:val="32"/>
          <w:lang w:val="en-US" w:eastAsia="zh-CN"/>
        </w:rPr>
        <w:t>衔接资金</w:t>
      </w:r>
      <w:r>
        <w:rPr>
          <w:rFonts w:hint="eastAsia" w:ascii="黑体" w:hAnsi="黑体" w:eastAsia="黑体"/>
          <w:b w:val="0"/>
          <w:bCs w:val="0"/>
          <w:color w:val="auto"/>
          <w:kern w:val="5"/>
          <w:sz w:val="32"/>
          <w:szCs w:val="32"/>
        </w:rPr>
        <w:t>下达及项目</w:t>
      </w:r>
      <w:r>
        <w:rPr>
          <w:rFonts w:hint="eastAsia" w:ascii="黑体" w:hAnsi="黑体" w:eastAsia="黑体"/>
          <w:b w:val="0"/>
          <w:bCs w:val="0"/>
          <w:color w:val="auto"/>
          <w:kern w:val="5"/>
          <w:sz w:val="32"/>
          <w:szCs w:val="32"/>
          <w:lang w:eastAsia="zh-CN"/>
        </w:rPr>
        <w:t>建设进展</w:t>
      </w:r>
      <w:r>
        <w:rPr>
          <w:rFonts w:hint="eastAsia" w:ascii="黑体" w:hAnsi="黑体" w:eastAsia="黑体"/>
          <w:b w:val="0"/>
          <w:bCs w:val="0"/>
          <w:color w:val="auto"/>
          <w:kern w:val="5"/>
          <w:sz w:val="32"/>
          <w:szCs w:val="32"/>
        </w:rPr>
        <w:t>情况</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right="0" w:rightChars="0" w:firstLine="640" w:firstLineChars="200"/>
        <w:jc w:val="both"/>
        <w:textAlignment w:val="auto"/>
        <w:outlineLvl w:val="9"/>
        <w:rPr>
          <w:rFonts w:hint="eastAsia" w:ascii="仿宋" w:hAnsi="仿宋" w:eastAsia="仿宋" w:cs="仿宋"/>
          <w:color w:val="auto"/>
          <w:sz w:val="32"/>
          <w:szCs w:val="32"/>
          <w:lang w:val="en-US" w:eastAsia="zh-CN"/>
        </w:rPr>
      </w:pP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年上级下</w:t>
      </w:r>
      <w:r>
        <w:rPr>
          <w:rFonts w:hint="eastAsia" w:ascii="仿宋_GB2312" w:hAnsi="仿宋_GB2312" w:eastAsia="仿宋_GB2312" w:cs="仿宋_GB2312"/>
          <w:color w:val="000000"/>
          <w:kern w:val="0"/>
          <w:sz w:val="32"/>
          <w:szCs w:val="32"/>
          <w:lang w:val="en-US" w:eastAsia="zh-CN"/>
        </w:rPr>
        <w:t>达</w:t>
      </w:r>
      <w:r>
        <w:rPr>
          <w:rFonts w:hint="eastAsia" w:ascii="仿宋_GB2312" w:hAnsi="仿宋_GB2312" w:eastAsia="仿宋_GB2312" w:cs="仿宋_GB2312"/>
          <w:color w:val="000000"/>
          <w:kern w:val="0"/>
          <w:sz w:val="32"/>
          <w:szCs w:val="32"/>
        </w:rPr>
        <w:t>我局少数民族发展补助</w:t>
      </w:r>
      <w:r>
        <w:rPr>
          <w:rFonts w:hint="eastAsia" w:ascii="仿宋_GB2312" w:hAnsi="仿宋_GB2312" w:eastAsia="仿宋_GB2312" w:cs="仿宋_GB2312"/>
          <w:color w:val="000000"/>
          <w:kern w:val="0"/>
          <w:sz w:val="32"/>
          <w:szCs w:val="32"/>
          <w:lang w:val="en-US" w:eastAsia="zh-CN"/>
        </w:rPr>
        <w:t>总</w:t>
      </w:r>
      <w:r>
        <w:rPr>
          <w:rFonts w:hint="eastAsia" w:ascii="仿宋_GB2312" w:hAnsi="仿宋_GB2312" w:eastAsia="仿宋_GB2312" w:cs="仿宋_GB2312"/>
          <w:color w:val="000000"/>
          <w:kern w:val="0"/>
          <w:sz w:val="32"/>
          <w:szCs w:val="32"/>
        </w:rPr>
        <w:t>资金</w:t>
      </w:r>
      <w:r>
        <w:rPr>
          <w:rFonts w:hint="eastAsia" w:ascii="仿宋_GB2312" w:hAnsi="仿宋_GB2312" w:eastAsia="仿宋_GB2312" w:cs="仿宋_GB2312"/>
          <w:color w:val="000000"/>
          <w:kern w:val="0"/>
          <w:sz w:val="32"/>
          <w:szCs w:val="32"/>
          <w:lang w:val="en-US" w:eastAsia="zh-CN"/>
        </w:rPr>
        <w:t>2939</w:t>
      </w:r>
      <w:r>
        <w:rPr>
          <w:rFonts w:hint="eastAsia" w:ascii="仿宋_GB2312" w:hAnsi="仿宋_GB2312" w:eastAsia="仿宋_GB2312" w:cs="仿宋_GB2312"/>
          <w:color w:val="000000"/>
          <w:kern w:val="0"/>
          <w:sz w:val="32"/>
          <w:szCs w:val="32"/>
        </w:rPr>
        <w:t>万元</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经自治县人民政府同意，落实到具体项目25个，建设内容产业道路13.85公里、通屯道路12.021公里以及少数民族村寨建设，25个项目于3月20日开工建设，至2022年11月19日全部通过县级竣工投入使用，中央完成率、拨付率均达100%</w:t>
      </w:r>
      <w:r>
        <w:rPr>
          <w:rFonts w:hint="eastAsia" w:ascii="仿宋_GB2312" w:hAnsi="仿宋_GB2312" w:eastAsia="仿宋_GB2312" w:cs="仿宋_GB2312"/>
          <w:color w:val="000000"/>
          <w:kern w:val="0"/>
          <w:sz w:val="32"/>
          <w:szCs w:val="32"/>
        </w:rPr>
        <w:t>。</w:t>
      </w:r>
      <w:r>
        <w:rPr>
          <w:rFonts w:hint="eastAsia" w:ascii="仿宋" w:hAnsi="仿宋" w:eastAsia="仿宋" w:cs="仿宋"/>
          <w:color w:val="auto"/>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520" w:lineRule="exact"/>
        <w:ind w:firstLine="640"/>
        <w:textAlignment w:val="auto"/>
        <w:rPr>
          <w:rFonts w:hint="eastAsia" w:ascii="黑体" w:hAnsi="黑体" w:eastAsia="黑体"/>
          <w:color w:val="auto"/>
          <w:kern w:val="5"/>
          <w:sz w:val="32"/>
          <w:szCs w:val="32"/>
        </w:rPr>
      </w:pPr>
      <w:r>
        <w:rPr>
          <w:rFonts w:hint="eastAsia" w:ascii="黑体" w:hAnsi="黑体" w:eastAsia="黑体"/>
          <w:color w:val="auto"/>
          <w:kern w:val="5"/>
          <w:sz w:val="32"/>
          <w:szCs w:val="32"/>
          <w:lang w:eastAsia="zh-CN"/>
        </w:rPr>
        <w:t>（</w:t>
      </w:r>
      <w:r>
        <w:rPr>
          <w:rFonts w:hint="eastAsia" w:ascii="黑体" w:hAnsi="黑体" w:eastAsia="黑体"/>
          <w:color w:val="auto"/>
          <w:kern w:val="5"/>
          <w:sz w:val="32"/>
          <w:szCs w:val="32"/>
          <w:lang w:val="en-US" w:eastAsia="zh-CN"/>
        </w:rPr>
        <w:t>2</w:t>
      </w:r>
      <w:r>
        <w:rPr>
          <w:rFonts w:hint="eastAsia" w:ascii="黑体" w:hAnsi="黑体" w:eastAsia="黑体"/>
          <w:color w:val="auto"/>
          <w:kern w:val="5"/>
          <w:sz w:val="32"/>
          <w:szCs w:val="32"/>
          <w:lang w:eastAsia="zh-CN"/>
        </w:rPr>
        <w:t>）</w:t>
      </w:r>
      <w:r>
        <w:rPr>
          <w:rFonts w:hint="eastAsia" w:ascii="黑体" w:hAnsi="黑体" w:eastAsia="黑体"/>
          <w:color w:val="auto"/>
          <w:kern w:val="5"/>
          <w:sz w:val="32"/>
          <w:szCs w:val="32"/>
        </w:rPr>
        <w:t>、绩效自评工作开展情况</w:t>
      </w:r>
    </w:p>
    <w:p>
      <w:pPr>
        <w:keepNext w:val="0"/>
        <w:keepLines w:val="0"/>
        <w:pageBreakBefore w:val="0"/>
        <w:widowControl/>
        <w:kinsoku/>
        <w:wordWrap/>
        <w:overflowPunct/>
        <w:topLinePunct w:val="0"/>
        <w:autoSpaceDE/>
        <w:autoSpaceDN/>
        <w:bidi w:val="0"/>
        <w:adjustRightInd/>
        <w:snapToGrid/>
        <w:spacing w:beforeAutospacing="0" w:afterAutospacing="0" w:line="52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00"/>
          <w:kern w:val="0"/>
          <w:sz w:val="32"/>
          <w:szCs w:val="32"/>
        </w:rPr>
        <w:t>对项目资金使用进行全程监督跟踪，统一实行财务报账制，所有的项目都单独列账，单独核算，严格按照项目资金使用规范执行。项目实施以来，不存在截留或延误项目资金的拨付现象，</w:t>
      </w:r>
      <w:r>
        <w:rPr>
          <w:rFonts w:hint="eastAsia" w:ascii="仿宋_GB2312" w:hAnsi="仿宋_GB2312" w:eastAsia="仿宋_GB2312" w:cs="仿宋_GB2312"/>
          <w:color w:val="auto"/>
          <w:sz w:val="32"/>
          <w:szCs w:val="32"/>
          <w:lang w:val="en-US" w:eastAsia="zh-CN"/>
        </w:rPr>
        <w:t>我局</w:t>
      </w:r>
      <w:r>
        <w:rPr>
          <w:rFonts w:hint="eastAsia" w:ascii="仿宋_GB2312" w:hAnsi="仿宋_GB2312" w:eastAsia="仿宋_GB2312" w:cs="仿宋_GB2312"/>
          <w:sz w:val="32"/>
          <w:szCs w:val="32"/>
        </w:rPr>
        <w:t>对资金使用范围和方向做了规划，将上级下达的</w:t>
      </w:r>
      <w:r>
        <w:rPr>
          <w:rFonts w:hint="eastAsia" w:ascii="仿宋_GB2312" w:hAnsi="仿宋_GB2312" w:eastAsia="仿宋_GB2312" w:cs="仿宋_GB2312"/>
          <w:sz w:val="32"/>
          <w:szCs w:val="32"/>
          <w:lang w:val="en-US" w:eastAsia="zh-CN"/>
        </w:rPr>
        <w:t>少数民族发展</w:t>
      </w:r>
      <w:r>
        <w:rPr>
          <w:rFonts w:hint="eastAsia" w:ascii="仿宋_GB2312" w:hAnsi="仿宋_GB2312" w:eastAsia="仿宋_GB2312" w:cs="仿宋_GB2312"/>
          <w:sz w:val="32"/>
          <w:szCs w:val="32"/>
        </w:rPr>
        <w:t>资金分解到</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个项目，项目实施程序为: 1.自然屯向村委上报项目;2村委开展项目实地核查工作;3.村委召开审核会议;4.村级公示(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天);5.村委向乡(镇)上报审核项目的报告;6.乡(镇)开展项目实地核查工作; 7.乡(镇)开展项目审核会议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8.乡(镇)公示(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天);9.乡(镇)给村委批复、向县直项目主管部门上报审核项目的请示;10.县直项目主管部门开展项目核查工作;11.县直项目主管部门开展项目审核会议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县直项目主管部门给乡(镇)批复; 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.本局上报县政府批复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县扶贫开发领导小组开展全县项目审定工作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.领导小组在网上公示(10天); 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.领导小组在网上公告，给乡(镇)批复。我局作为</w:t>
      </w:r>
      <w:r>
        <w:rPr>
          <w:rFonts w:hint="eastAsia" w:ascii="仿宋_GB2312" w:hAnsi="仿宋_GB2312" w:eastAsia="仿宋_GB2312" w:cs="仿宋_GB2312"/>
          <w:color w:val="000000"/>
          <w:kern w:val="0"/>
          <w:sz w:val="32"/>
          <w:szCs w:val="32"/>
        </w:rPr>
        <w:t>少数民族发展</w:t>
      </w:r>
      <w:r>
        <w:rPr>
          <w:rFonts w:hint="eastAsia" w:ascii="仿宋_GB2312" w:hAnsi="仿宋_GB2312" w:eastAsia="仿宋_GB2312" w:cs="仿宋_GB2312"/>
          <w:sz w:val="32"/>
          <w:szCs w:val="32"/>
        </w:rPr>
        <w:t>项目业主，负责</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招投标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实施及验</w:t>
      </w:r>
      <w:r>
        <w:rPr>
          <w:rFonts w:hint="eastAsia" w:ascii="仿宋_GB2312" w:hAnsi="仿宋_GB2312" w:eastAsia="仿宋_GB2312" w:cs="仿宋_GB2312"/>
          <w:sz w:val="32"/>
          <w:szCs w:val="32"/>
        </w:rPr>
        <w:t>收</w:t>
      </w:r>
      <w:r>
        <w:rPr>
          <w:rFonts w:hint="eastAsia" w:ascii="仿宋_GB2312" w:hAnsi="仿宋_GB2312" w:eastAsia="仿宋_GB2312" w:cs="仿宋_GB2312"/>
          <w:sz w:val="32"/>
          <w:szCs w:val="32"/>
          <w:lang w:val="en-US" w:eastAsia="zh-CN"/>
        </w:rPr>
        <w:t>等工作，</w:t>
      </w:r>
      <w:r>
        <w:rPr>
          <w:rFonts w:hint="eastAsia" w:ascii="仿宋_GB2312" w:hAnsi="仿宋_GB2312" w:eastAsia="仿宋_GB2312" w:cs="仿宋_GB2312"/>
          <w:color w:val="000000"/>
          <w:kern w:val="0"/>
          <w:sz w:val="32"/>
          <w:szCs w:val="32"/>
        </w:rPr>
        <w:t>项目建设均按计划顺利实施。</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color w:val="auto"/>
          <w:kern w:val="5"/>
          <w:sz w:val="32"/>
          <w:szCs w:val="32"/>
        </w:rPr>
      </w:pPr>
      <w:r>
        <w:rPr>
          <w:rFonts w:hint="eastAsia" w:ascii="黑体" w:hAnsi="黑体" w:eastAsia="黑体"/>
          <w:color w:val="auto"/>
          <w:kern w:val="5"/>
          <w:sz w:val="32"/>
          <w:szCs w:val="32"/>
          <w:lang w:eastAsia="zh-CN"/>
        </w:rPr>
        <w:t>（</w:t>
      </w:r>
      <w:r>
        <w:rPr>
          <w:rFonts w:hint="eastAsia" w:ascii="黑体" w:hAnsi="黑体" w:eastAsia="黑体"/>
          <w:color w:val="auto"/>
          <w:kern w:val="5"/>
          <w:sz w:val="32"/>
          <w:szCs w:val="32"/>
          <w:lang w:val="en-US" w:eastAsia="zh-CN"/>
        </w:rPr>
        <w:t>3</w:t>
      </w:r>
      <w:r>
        <w:rPr>
          <w:rFonts w:hint="eastAsia" w:ascii="黑体" w:hAnsi="黑体" w:eastAsia="黑体"/>
          <w:color w:val="auto"/>
          <w:kern w:val="5"/>
          <w:sz w:val="32"/>
          <w:szCs w:val="32"/>
          <w:lang w:eastAsia="zh-CN"/>
        </w:rPr>
        <w:t>）</w:t>
      </w:r>
      <w:r>
        <w:rPr>
          <w:rFonts w:hint="eastAsia" w:ascii="黑体" w:hAnsi="黑体" w:eastAsia="黑体"/>
          <w:color w:val="auto"/>
          <w:kern w:val="5"/>
          <w:sz w:val="32"/>
          <w:szCs w:val="32"/>
        </w:rPr>
        <w:t>、绩效目标自评完成情况分析</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_GB2312" w:eastAsia="仿宋_GB2312"/>
          <w:kern w:val="5"/>
          <w:sz w:val="32"/>
          <w:szCs w:val="32"/>
        </w:rPr>
      </w:pPr>
      <w:r>
        <w:rPr>
          <w:rFonts w:hint="eastAsia" w:ascii="仿宋_GB2312" w:hAnsi="仿宋" w:eastAsia="仿宋_GB2312" w:cs="仿宋"/>
          <w:sz w:val="32"/>
          <w:szCs w:val="32"/>
          <w:lang w:val="en-US" w:eastAsia="zh-CN"/>
        </w:rPr>
        <w:t>少数民族发展</w:t>
      </w:r>
      <w:r>
        <w:rPr>
          <w:rFonts w:hint="eastAsia" w:ascii="仿宋_GB2312" w:hAnsi="仿宋" w:eastAsia="仿宋_GB2312" w:cs="仿宋"/>
          <w:sz w:val="32"/>
          <w:szCs w:val="32"/>
          <w:lang w:eastAsia="zh-CN"/>
        </w:rPr>
        <w:t>项目</w:t>
      </w:r>
      <w:r>
        <w:rPr>
          <w:rFonts w:hint="eastAsia" w:ascii="仿宋_GB2312" w:hAnsi="仿宋" w:eastAsia="仿宋_GB2312" w:cs="仿宋"/>
          <w:sz w:val="32"/>
          <w:szCs w:val="32"/>
        </w:rPr>
        <w:t>计划总任务数</w:t>
      </w:r>
      <w:r>
        <w:rPr>
          <w:rFonts w:hint="eastAsia" w:ascii="仿宋_GB2312" w:hAnsi="仿宋" w:eastAsia="仿宋_GB2312" w:cs="仿宋"/>
          <w:sz w:val="32"/>
          <w:szCs w:val="32"/>
          <w:lang w:eastAsia="zh-CN"/>
        </w:rPr>
        <w:t>为：</w:t>
      </w:r>
      <w:r>
        <w:rPr>
          <w:rFonts w:hint="eastAsia" w:ascii="仿宋_GB2312" w:hAnsi="仿宋" w:eastAsia="仿宋_GB2312" w:cs="仿宋"/>
          <w:sz w:val="32"/>
          <w:szCs w:val="32"/>
          <w:lang w:val="en-US" w:eastAsia="zh-CN"/>
        </w:rPr>
        <w:t>1.改扩</w:t>
      </w:r>
      <w:r>
        <w:rPr>
          <w:rFonts w:hint="eastAsia" w:ascii="仿宋_GB2312" w:hAnsi="仿宋" w:eastAsia="仿宋_GB2312" w:cs="仿宋"/>
          <w:sz w:val="32"/>
          <w:szCs w:val="32"/>
        </w:rPr>
        <w:t>建</w:t>
      </w:r>
      <w:r>
        <w:rPr>
          <w:rFonts w:hint="eastAsia" w:ascii="仿宋_GB2312" w:hAnsi="仿宋" w:eastAsia="仿宋_GB2312" w:cs="仿宋"/>
          <w:sz w:val="32"/>
          <w:szCs w:val="32"/>
          <w:lang w:val="en-US" w:eastAsia="zh-CN"/>
        </w:rPr>
        <w:t>14</w:t>
      </w:r>
      <w:r>
        <w:rPr>
          <w:rFonts w:hint="eastAsia" w:ascii="仿宋_GB2312" w:hAnsi="仿宋" w:eastAsia="仿宋_GB2312" w:cs="仿宋"/>
          <w:sz w:val="32"/>
          <w:szCs w:val="32"/>
        </w:rPr>
        <w:t>条通村、组硬化路，总里程为</w:t>
      </w:r>
      <w:r>
        <w:rPr>
          <w:rFonts w:hint="eastAsia" w:ascii="仿宋_GB2312" w:hAnsi="仿宋" w:eastAsia="仿宋_GB2312" w:cs="仿宋"/>
          <w:sz w:val="32"/>
          <w:szCs w:val="32"/>
          <w:lang w:val="en-US" w:eastAsia="zh-CN"/>
        </w:rPr>
        <w:t>26.551</w:t>
      </w:r>
      <w:r>
        <w:rPr>
          <w:rFonts w:hint="eastAsia" w:ascii="仿宋_GB2312" w:hAnsi="仿宋" w:eastAsia="仿宋_GB2312" w:cs="仿宋"/>
          <w:sz w:val="32"/>
          <w:szCs w:val="32"/>
        </w:rPr>
        <w:t>公里</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解决当地群众行路难问题，促进群众增产增收</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2.少数民族村寨建设项目11条，解决少数民族村寨基础设施短板问题，改善少数民族群众居住环境及提高群众生产生活条件</w:t>
      </w:r>
      <w:r>
        <w:rPr>
          <w:rFonts w:hint="eastAsia" w:ascii="仿宋_GB2312" w:hAnsi="仿宋" w:eastAsia="仿宋_GB2312" w:cs="仿宋"/>
          <w:sz w:val="32"/>
          <w:szCs w:val="32"/>
          <w:lang w:eastAsia="zh-CN"/>
        </w:rPr>
        <w:t>。目前</w:t>
      </w:r>
      <w:r>
        <w:rPr>
          <w:rFonts w:hint="eastAsia" w:ascii="仿宋_GB2312" w:hAnsi="仿宋" w:eastAsia="仿宋_GB2312" w:cs="仿宋"/>
          <w:sz w:val="32"/>
          <w:szCs w:val="32"/>
          <w:lang w:val="en-US" w:eastAsia="zh-CN"/>
        </w:rPr>
        <w:t>2022年少数民族发展25个项目</w:t>
      </w:r>
      <w:r>
        <w:rPr>
          <w:rFonts w:hint="eastAsia" w:ascii="仿宋_GB2312" w:hAnsi="仿宋" w:eastAsia="仿宋_GB2312" w:cs="仿宋"/>
          <w:sz w:val="32"/>
          <w:szCs w:val="32"/>
          <w:lang w:eastAsia="zh-CN"/>
        </w:rPr>
        <w:t>已经</w:t>
      </w:r>
      <w:r>
        <w:rPr>
          <w:rFonts w:hint="eastAsia" w:ascii="仿宋_GB2312" w:eastAsia="仿宋_GB2312"/>
          <w:kern w:val="5"/>
          <w:sz w:val="32"/>
          <w:szCs w:val="32"/>
          <w:lang w:eastAsia="zh-CN"/>
        </w:rPr>
        <w:t>全部竣工投入使用</w:t>
      </w:r>
      <w:r>
        <w:rPr>
          <w:rFonts w:hint="eastAsia" w:ascii="仿宋_GB2312" w:eastAsia="仿宋_GB2312"/>
          <w:kern w:val="5"/>
          <w:sz w:val="32"/>
          <w:szCs w:val="32"/>
        </w:rPr>
        <w:t>，完成</w:t>
      </w:r>
      <w:r>
        <w:rPr>
          <w:rFonts w:hint="eastAsia" w:ascii="仿宋_GB2312" w:eastAsia="仿宋_GB2312"/>
          <w:kern w:val="5"/>
          <w:sz w:val="32"/>
          <w:szCs w:val="32"/>
          <w:lang w:eastAsia="zh-CN"/>
        </w:rPr>
        <w:t>年度计划</w:t>
      </w:r>
      <w:r>
        <w:rPr>
          <w:rFonts w:hint="eastAsia" w:ascii="仿宋_GB2312" w:eastAsia="仿宋_GB2312"/>
          <w:kern w:val="5"/>
          <w:sz w:val="32"/>
          <w:szCs w:val="32"/>
        </w:rPr>
        <w:t>任务的100%。</w:t>
      </w: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pPr>
  </w:p>
  <w:p>
    <w:pPr>
      <w:pStyle w:val="2"/>
      <w:ind w:right="85"/>
    </w:pP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F98EC4CB"/>
    <w:multiLevelType w:val="singleLevel"/>
    <w:tmpl w:val="F98EC4CB"/>
    <w:lvl w:ilvl="0" w:tentative="0">
      <w:start w:val="2"/>
      <w:numFmt w:val="chineseCounting"/>
      <w:suff w:val="nothing"/>
      <w:lvlText w:val="（%1）"/>
      <w:lvlJc w:val="left"/>
      <w:rPr>
        <w:rFonts w:hint="eastAsia"/>
      </w:rPr>
    </w:lvl>
  </w:abstractNum>
  <w:abstractNum w:abstractNumId="3">
    <w:nsid w:val="63B427A3"/>
    <w:multiLevelType w:val="singleLevel"/>
    <w:tmpl w:val="63B427A3"/>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1954A4D"/>
    <w:rsid w:val="020C171D"/>
    <w:rsid w:val="0216715F"/>
    <w:rsid w:val="02E0291A"/>
    <w:rsid w:val="02FD6A76"/>
    <w:rsid w:val="04032CC1"/>
    <w:rsid w:val="04376F19"/>
    <w:rsid w:val="04E54546"/>
    <w:rsid w:val="04E565D4"/>
    <w:rsid w:val="05277929"/>
    <w:rsid w:val="052E228E"/>
    <w:rsid w:val="05665CA4"/>
    <w:rsid w:val="05992762"/>
    <w:rsid w:val="062325B9"/>
    <w:rsid w:val="07B0770E"/>
    <w:rsid w:val="0942143F"/>
    <w:rsid w:val="0B1870DA"/>
    <w:rsid w:val="0B641412"/>
    <w:rsid w:val="0C070EF8"/>
    <w:rsid w:val="0D100297"/>
    <w:rsid w:val="0D202B45"/>
    <w:rsid w:val="0E8B6762"/>
    <w:rsid w:val="0EF911E3"/>
    <w:rsid w:val="0F8D4C87"/>
    <w:rsid w:val="0F9608F4"/>
    <w:rsid w:val="0FD87FAF"/>
    <w:rsid w:val="10505FAA"/>
    <w:rsid w:val="105F7E7E"/>
    <w:rsid w:val="11E56B5B"/>
    <w:rsid w:val="12356317"/>
    <w:rsid w:val="125C77AB"/>
    <w:rsid w:val="13394A5B"/>
    <w:rsid w:val="13BE5A05"/>
    <w:rsid w:val="144D471F"/>
    <w:rsid w:val="14787B3A"/>
    <w:rsid w:val="14AF1479"/>
    <w:rsid w:val="14CB726E"/>
    <w:rsid w:val="15A87B0F"/>
    <w:rsid w:val="166B04FC"/>
    <w:rsid w:val="17E92249"/>
    <w:rsid w:val="18327E28"/>
    <w:rsid w:val="183C74C7"/>
    <w:rsid w:val="18D304F1"/>
    <w:rsid w:val="19037FE5"/>
    <w:rsid w:val="19836A30"/>
    <w:rsid w:val="19F32577"/>
    <w:rsid w:val="19F45B80"/>
    <w:rsid w:val="1AA05440"/>
    <w:rsid w:val="1AC5414F"/>
    <w:rsid w:val="1B0C078D"/>
    <w:rsid w:val="1B2B31E2"/>
    <w:rsid w:val="1B4C295A"/>
    <w:rsid w:val="1B973C63"/>
    <w:rsid w:val="1B9F015F"/>
    <w:rsid w:val="1BA1001E"/>
    <w:rsid w:val="1C2563D3"/>
    <w:rsid w:val="1D317259"/>
    <w:rsid w:val="1DD601D2"/>
    <w:rsid w:val="1DD625A0"/>
    <w:rsid w:val="1E454B62"/>
    <w:rsid w:val="1E5F2261"/>
    <w:rsid w:val="1E664F5B"/>
    <w:rsid w:val="1EB34BE1"/>
    <w:rsid w:val="1EF44211"/>
    <w:rsid w:val="1F62491C"/>
    <w:rsid w:val="1FB1048A"/>
    <w:rsid w:val="215E639F"/>
    <w:rsid w:val="21EC3183"/>
    <w:rsid w:val="225E72CD"/>
    <w:rsid w:val="23606FDF"/>
    <w:rsid w:val="24297892"/>
    <w:rsid w:val="246E2F77"/>
    <w:rsid w:val="252F3F10"/>
    <w:rsid w:val="254B4E2B"/>
    <w:rsid w:val="25B6351E"/>
    <w:rsid w:val="282A68B0"/>
    <w:rsid w:val="283D7C94"/>
    <w:rsid w:val="28CA2C7C"/>
    <w:rsid w:val="290C4E0E"/>
    <w:rsid w:val="29480E03"/>
    <w:rsid w:val="2983634D"/>
    <w:rsid w:val="2AF85413"/>
    <w:rsid w:val="2B322CC4"/>
    <w:rsid w:val="2B783975"/>
    <w:rsid w:val="2BB02055"/>
    <w:rsid w:val="2C1D0375"/>
    <w:rsid w:val="2C575A56"/>
    <w:rsid w:val="2C7671AB"/>
    <w:rsid w:val="2C813804"/>
    <w:rsid w:val="2F257714"/>
    <w:rsid w:val="2F3275E5"/>
    <w:rsid w:val="30AA08EF"/>
    <w:rsid w:val="30D23D1C"/>
    <w:rsid w:val="31221CF5"/>
    <w:rsid w:val="31400178"/>
    <w:rsid w:val="321E3342"/>
    <w:rsid w:val="327759C8"/>
    <w:rsid w:val="33185FE3"/>
    <w:rsid w:val="348227BF"/>
    <w:rsid w:val="34CC166D"/>
    <w:rsid w:val="34EE2E36"/>
    <w:rsid w:val="35D0291C"/>
    <w:rsid w:val="35FC4E0C"/>
    <w:rsid w:val="36777241"/>
    <w:rsid w:val="36A20B88"/>
    <w:rsid w:val="38A951DB"/>
    <w:rsid w:val="38B31605"/>
    <w:rsid w:val="38D73F1F"/>
    <w:rsid w:val="39003F4F"/>
    <w:rsid w:val="39085B08"/>
    <w:rsid w:val="397F763D"/>
    <w:rsid w:val="39E041D0"/>
    <w:rsid w:val="39F02393"/>
    <w:rsid w:val="3A6A03E3"/>
    <w:rsid w:val="3A755C99"/>
    <w:rsid w:val="3BA66F91"/>
    <w:rsid w:val="3C07002B"/>
    <w:rsid w:val="3D0D152A"/>
    <w:rsid w:val="3DF04AA7"/>
    <w:rsid w:val="3DF62756"/>
    <w:rsid w:val="3E693B97"/>
    <w:rsid w:val="3F1B7587"/>
    <w:rsid w:val="409A34C7"/>
    <w:rsid w:val="41247EAE"/>
    <w:rsid w:val="41C52FE2"/>
    <w:rsid w:val="41E57B4F"/>
    <w:rsid w:val="425457EB"/>
    <w:rsid w:val="42A246ED"/>
    <w:rsid w:val="432F26F6"/>
    <w:rsid w:val="43493DFC"/>
    <w:rsid w:val="43880F63"/>
    <w:rsid w:val="441C5A6F"/>
    <w:rsid w:val="443C4756"/>
    <w:rsid w:val="443D426D"/>
    <w:rsid w:val="44826240"/>
    <w:rsid w:val="44C44FCC"/>
    <w:rsid w:val="44CC7369"/>
    <w:rsid w:val="457173D7"/>
    <w:rsid w:val="457F5108"/>
    <w:rsid w:val="467303C8"/>
    <w:rsid w:val="468632C4"/>
    <w:rsid w:val="46951B6B"/>
    <w:rsid w:val="46AB5F3B"/>
    <w:rsid w:val="4785561B"/>
    <w:rsid w:val="478869AE"/>
    <w:rsid w:val="479424A7"/>
    <w:rsid w:val="48847F4B"/>
    <w:rsid w:val="49777B4F"/>
    <w:rsid w:val="49A34401"/>
    <w:rsid w:val="49EC7526"/>
    <w:rsid w:val="4A3E30AB"/>
    <w:rsid w:val="4AC14DAC"/>
    <w:rsid w:val="4AD166FC"/>
    <w:rsid w:val="4B0C61BC"/>
    <w:rsid w:val="4C044B8B"/>
    <w:rsid w:val="4C082AD4"/>
    <w:rsid w:val="4D0D023E"/>
    <w:rsid w:val="4D154C85"/>
    <w:rsid w:val="4E2D443F"/>
    <w:rsid w:val="4E495436"/>
    <w:rsid w:val="4EB521BA"/>
    <w:rsid w:val="4EC8553A"/>
    <w:rsid w:val="4FF538D7"/>
    <w:rsid w:val="508F4E24"/>
    <w:rsid w:val="51461E90"/>
    <w:rsid w:val="51463753"/>
    <w:rsid w:val="52553A93"/>
    <w:rsid w:val="528D71A5"/>
    <w:rsid w:val="53521F8B"/>
    <w:rsid w:val="53E22F47"/>
    <w:rsid w:val="53F16666"/>
    <w:rsid w:val="54070D6B"/>
    <w:rsid w:val="54522FF8"/>
    <w:rsid w:val="55450629"/>
    <w:rsid w:val="564602A8"/>
    <w:rsid w:val="56692963"/>
    <w:rsid w:val="56743A94"/>
    <w:rsid w:val="568B0F48"/>
    <w:rsid w:val="5751445E"/>
    <w:rsid w:val="57845C9E"/>
    <w:rsid w:val="5786217B"/>
    <w:rsid w:val="57E91CAB"/>
    <w:rsid w:val="59337A15"/>
    <w:rsid w:val="59810274"/>
    <w:rsid w:val="5A2331B3"/>
    <w:rsid w:val="5A990E64"/>
    <w:rsid w:val="5CA96A00"/>
    <w:rsid w:val="5CF730BC"/>
    <w:rsid w:val="5E5F0DCE"/>
    <w:rsid w:val="5FA40A7B"/>
    <w:rsid w:val="5FB32AEC"/>
    <w:rsid w:val="5FD56D29"/>
    <w:rsid w:val="5FEC7F3F"/>
    <w:rsid w:val="60F74BC3"/>
    <w:rsid w:val="617D3BF8"/>
    <w:rsid w:val="61841F6A"/>
    <w:rsid w:val="623007A9"/>
    <w:rsid w:val="637D7558"/>
    <w:rsid w:val="63F0428F"/>
    <w:rsid w:val="64226597"/>
    <w:rsid w:val="644F19AC"/>
    <w:rsid w:val="64EC051E"/>
    <w:rsid w:val="6584240A"/>
    <w:rsid w:val="65AA4920"/>
    <w:rsid w:val="65BF6441"/>
    <w:rsid w:val="65C2117B"/>
    <w:rsid w:val="66382D02"/>
    <w:rsid w:val="663F6E65"/>
    <w:rsid w:val="67694F1E"/>
    <w:rsid w:val="67D50FDF"/>
    <w:rsid w:val="69597934"/>
    <w:rsid w:val="69B86FDF"/>
    <w:rsid w:val="6A520D7C"/>
    <w:rsid w:val="6AF24D91"/>
    <w:rsid w:val="6B0F7D41"/>
    <w:rsid w:val="6B6437BB"/>
    <w:rsid w:val="6B964DDC"/>
    <w:rsid w:val="6C783074"/>
    <w:rsid w:val="6C911125"/>
    <w:rsid w:val="6D9E65C6"/>
    <w:rsid w:val="6DA81947"/>
    <w:rsid w:val="6EB66DE2"/>
    <w:rsid w:val="6ED3075F"/>
    <w:rsid w:val="6EE64CF3"/>
    <w:rsid w:val="6EF249D7"/>
    <w:rsid w:val="6F2A2D4B"/>
    <w:rsid w:val="6F5A4F08"/>
    <w:rsid w:val="6F8A0C1E"/>
    <w:rsid w:val="703F45D4"/>
    <w:rsid w:val="706510B7"/>
    <w:rsid w:val="70690F9C"/>
    <w:rsid w:val="70E47042"/>
    <w:rsid w:val="714B5C15"/>
    <w:rsid w:val="715039E7"/>
    <w:rsid w:val="715D6546"/>
    <w:rsid w:val="71BE069E"/>
    <w:rsid w:val="728E539F"/>
    <w:rsid w:val="736F0814"/>
    <w:rsid w:val="738D1722"/>
    <w:rsid w:val="73953409"/>
    <w:rsid w:val="73E069A3"/>
    <w:rsid w:val="75D572A1"/>
    <w:rsid w:val="764125B7"/>
    <w:rsid w:val="76460F69"/>
    <w:rsid w:val="76CF714B"/>
    <w:rsid w:val="76DB5157"/>
    <w:rsid w:val="774E608B"/>
    <w:rsid w:val="77BF725F"/>
    <w:rsid w:val="77F00652"/>
    <w:rsid w:val="78104AA8"/>
    <w:rsid w:val="78AA3303"/>
    <w:rsid w:val="78E257C5"/>
    <w:rsid w:val="794B35BE"/>
    <w:rsid w:val="7AC40244"/>
    <w:rsid w:val="7B0A3A31"/>
    <w:rsid w:val="7B3360ED"/>
    <w:rsid w:val="7B4257F1"/>
    <w:rsid w:val="7B5319F3"/>
    <w:rsid w:val="7BDF037E"/>
    <w:rsid w:val="7BF50948"/>
    <w:rsid w:val="7C910B24"/>
    <w:rsid w:val="7CE66A78"/>
    <w:rsid w:val="7D23564C"/>
    <w:rsid w:val="7D5E062D"/>
    <w:rsid w:val="7D642E73"/>
    <w:rsid w:val="7DA93959"/>
    <w:rsid w:val="7DF76CD8"/>
    <w:rsid w:val="7F1C285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footer"/>
    <w:basedOn w:val="1"/>
    <w:next w:val="3"/>
    <w:link w:val="12"/>
    <w:qFormat/>
    <w:uiPriority w:val="0"/>
    <w:pPr>
      <w:tabs>
        <w:tab w:val="center" w:pos="4153"/>
        <w:tab w:val="right" w:pos="8306"/>
      </w:tabs>
      <w:snapToGrid w:val="0"/>
      <w:jc w:val="left"/>
    </w:pPr>
    <w:rPr>
      <w:sz w:val="18"/>
      <w:szCs w:val="18"/>
    </w:rPr>
  </w:style>
  <w:style w:type="paragraph" w:styleId="3">
    <w:name w:val="Normal (Web)"/>
    <w:basedOn w:val="1"/>
    <w:next w:val="4"/>
    <w:qFormat/>
    <w:uiPriority w:val="0"/>
    <w:pPr>
      <w:spacing w:beforeAutospacing="1" w:afterAutospacing="1"/>
      <w:jc w:val="left"/>
    </w:pPr>
    <w:rPr>
      <w:rFonts w:cs="Times New Roman"/>
      <w:kern w:val="0"/>
      <w:sz w:val="24"/>
    </w:rPr>
  </w:style>
  <w:style w:type="paragraph" w:styleId="4">
    <w:name w:val="index 6"/>
    <w:basedOn w:val="1"/>
    <w:next w:val="1"/>
    <w:qFormat/>
    <w:uiPriority w:val="0"/>
    <w:pPr>
      <w:ind w:left="2100"/>
    </w:pPr>
  </w:style>
  <w:style w:type="paragraph" w:styleId="6">
    <w:name w:val="Plain Text"/>
    <w:basedOn w:val="1"/>
    <w:qFormat/>
    <w:uiPriority w:val="0"/>
    <w:rPr>
      <w:rFonts w:ascii="宋体" w:hAnsi="Courier New" w:eastAsia="宋体" w:cs="Courier New"/>
      <w:snapToGrid w:val="0"/>
      <w:kern w:val="0"/>
      <w:szCs w:val="21"/>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Emphasis"/>
    <w:basedOn w:val="9"/>
    <w:qFormat/>
    <w:uiPriority w:val="0"/>
    <w:rPr>
      <w:i/>
    </w:rPr>
  </w:style>
  <w:style w:type="character" w:customStyle="1" w:styleId="11">
    <w:name w:val="页眉 Char"/>
    <w:basedOn w:val="9"/>
    <w:link w:val="7"/>
    <w:qFormat/>
    <w:uiPriority w:val="0"/>
    <w:rPr>
      <w:rFonts w:asciiTheme="minorHAnsi" w:hAnsiTheme="minorHAnsi" w:eastAsiaTheme="minorEastAsia" w:cstheme="minorBidi"/>
      <w:kern w:val="2"/>
      <w:sz w:val="18"/>
      <w:szCs w:val="18"/>
    </w:rPr>
  </w:style>
  <w:style w:type="character" w:customStyle="1" w:styleId="12">
    <w:name w:val="页脚 Char"/>
    <w:basedOn w:val="9"/>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其他收入</c:v>
                </c:pt>
              </c:strCache>
            </c:strRef>
          </c:cat>
          <c:val>
            <c:numRef>
              <c:f>Sheet1!$B$2:$B$3</c:f>
              <c:numCache>
                <c:formatCode>General</c:formatCode>
                <c:ptCount val="2"/>
                <c:pt idx="0">
                  <c:v>2498.94</c:v>
                </c:pt>
                <c:pt idx="1">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Sheet1!$A$2:$A$7</c:f>
              <c:strCache>
                <c:ptCount val="6"/>
                <c:pt idx="0">
                  <c:v>一般公共服务支出</c:v>
                </c:pt>
                <c:pt idx="1">
                  <c:v>社会保障和就业支出</c:v>
                </c:pt>
                <c:pt idx="2">
                  <c:v>农林水支出</c:v>
                </c:pt>
                <c:pt idx="3">
                  <c:v>住房保障支出</c:v>
                </c:pt>
                <c:pt idx="4">
                  <c:v>教育支出</c:v>
                </c:pt>
                <c:pt idx="5">
                  <c:v>其他支出</c:v>
                </c:pt>
              </c:strCache>
            </c:strRef>
          </c:cat>
          <c:val>
            <c:numRef>
              <c:f>Sheet1!$B$2:$B$7</c:f>
              <c:numCache>
                <c:formatCode>General</c:formatCode>
                <c:ptCount val="6"/>
                <c:pt idx="0">
                  <c:v>267.44</c:v>
                </c:pt>
                <c:pt idx="1">
                  <c:v>10.66</c:v>
                </c:pt>
                <c:pt idx="2">
                  <c:v>2187</c:v>
                </c:pt>
                <c:pt idx="3">
                  <c:v>8.05</c:v>
                </c:pt>
                <c:pt idx="4">
                  <c:v>3.25</c:v>
                </c:pt>
                <c:pt idx="5">
                  <c:v>33.72</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Sheet1!$A$2:$A$7</c:f>
              <c:strCache>
                <c:ptCount val="6"/>
                <c:pt idx="0">
                  <c:v>一般公共服务支出</c:v>
                </c:pt>
                <c:pt idx="1">
                  <c:v>社会保障和就业支出</c:v>
                </c:pt>
                <c:pt idx="2">
                  <c:v>农林水支出</c:v>
                </c:pt>
                <c:pt idx="3">
                  <c:v>住房保障支出</c:v>
                </c:pt>
                <c:pt idx="4">
                  <c:v>教育支出</c:v>
                </c:pt>
                <c:pt idx="5">
                  <c:v>其他支出</c:v>
                </c:pt>
              </c:strCache>
            </c:strRef>
          </c:cat>
          <c:val>
            <c:numRef>
              <c:f>Sheet1!$C$2:$C$7</c:f>
              <c:numCache>
                <c:formatCode>General</c:formatCode>
                <c:ptCount val="6"/>
                <c:pt idx="0">
                  <c:v>194.97</c:v>
                </c:pt>
                <c:pt idx="1">
                  <c:v>12.18</c:v>
                </c:pt>
                <c:pt idx="2">
                  <c:v>2261.8</c:v>
                </c:pt>
                <c:pt idx="3">
                  <c:v>9.24</c:v>
                </c:pt>
                <c:pt idx="4">
                  <c:v>0</c:v>
                </c:pt>
                <c:pt idx="5">
                  <c:v>20.75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sz="1100"/>
              <a:t>一般公共服务支出</a:t>
            </a:r>
            <a:endParaRPr alt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2012301</c:v>
                </c:pt>
                <c:pt idx="1">
                  <c:v>2012399</c:v>
                </c:pt>
                <c:pt idx="2">
                  <c:v>2012999</c:v>
                </c:pt>
              </c:numCache>
            </c:num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c:f>
              <c:numCache>
                <c:formatCode>General</c:formatCode>
                <c:ptCount val="1"/>
                <c:pt idx="0">
                  <c:v>2080505</c:v>
                </c:pt>
              </c:numCache>
            </c:numRef>
          </c:cat>
          <c:val>
            <c:numRef>
              <c:f>Sheet1!$B$2</c:f>
              <c:numCache>
                <c:formatCode>General</c:formatCode>
                <c:ptCount val="1"/>
                <c:pt idx="0">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Sheet1!$A$2:$A$4</c:f>
              <c:numCache>
                <c:formatCode>General</c:formatCode>
                <c:ptCount val="3"/>
                <c:pt idx="0">
                  <c:v>2130501</c:v>
                </c:pt>
                <c:pt idx="1">
                  <c:v>2130504</c:v>
                </c:pt>
                <c:pt idx="2">
                  <c:v>2130599</c:v>
                </c:pt>
              </c:numCache>
            </c:numRef>
          </c:cat>
          <c:val>
            <c:numRef>
              <c:f>Sheet1!$B$2:$B$4</c:f>
              <c:numCache>
                <c:formatCode>General</c:formatCode>
                <c:ptCount val="3"/>
                <c:pt idx="0">
                  <c:v>0</c:v>
                </c:pt>
                <c:pt idx="1">
                  <c:v>0</c:v>
                </c:pt>
                <c:pt idx="2">
                  <c:v>0</c:v>
                </c:pt>
              </c:numCache>
            </c:numRef>
          </c:val>
        </c:ser>
        <c:ser>
          <c:idx val="1"/>
          <c:order val="1"/>
          <c:tx>
            <c:strRef>
              <c:f>Sheet1!$C$1</c:f>
              <c:strCache>
                <c:ptCount val="1"/>
                <c:pt idx="0">
                  <c:v>系列 2</c:v>
                </c:pt>
              </c:strCache>
            </c:strRef>
          </c:tx>
          <c:invertIfNegative val="0"/>
          <c:dLbls>
            <c:delete val="1"/>
          </c:dLbls>
          <c:cat>
            <c:numRef>
              <c:f>Sheet1!$A$2:$A$4</c:f>
              <c:numCache>
                <c:formatCode>General</c:formatCode>
                <c:ptCount val="3"/>
                <c:pt idx="0">
                  <c:v>2130501</c:v>
                </c:pt>
                <c:pt idx="1">
                  <c:v>2130504</c:v>
                </c:pt>
                <c:pt idx="2">
                  <c:v>2130599</c:v>
                </c:pt>
              </c:numCache>
            </c:numRef>
          </c:cat>
          <c:val>
            <c:numRef>
              <c:f>Sheet1!$C$2:$C$4</c:f>
              <c:numCache>
                <c:formatCode>General</c:formatCode>
                <c:ptCount val="3"/>
                <c:pt idx="0">
                  <c:v>0</c:v>
                </c:pt>
                <c:pt idx="1">
                  <c:v>0</c:v>
                </c:pt>
                <c:pt idx="2">
                  <c:v>0</c:v>
                </c:pt>
              </c:numCache>
            </c:numRef>
          </c:val>
        </c:ser>
        <c:ser>
          <c:idx val="2"/>
          <c:order val="2"/>
          <c:tx>
            <c:strRef>
              <c:f>Sheet1!$D$1</c:f>
              <c:strCache>
                <c:ptCount val="1"/>
                <c:pt idx="0">
                  <c:v>系列 3</c:v>
                </c:pt>
              </c:strCache>
            </c:strRef>
          </c:tx>
          <c:invertIfNegative val="0"/>
          <c:dLbls>
            <c:delete val="1"/>
          </c:dLbls>
          <c:cat>
            <c:numRef>
              <c:f>Sheet1!$A$2:$A$4</c:f>
              <c:numCache>
                <c:formatCode>General</c:formatCode>
                <c:ptCount val="3"/>
                <c:pt idx="0">
                  <c:v>2130501</c:v>
                </c:pt>
                <c:pt idx="1">
                  <c:v>2130504</c:v>
                </c:pt>
                <c:pt idx="2">
                  <c:v>2130599</c:v>
                </c:pt>
              </c:numCache>
            </c:numRef>
          </c:cat>
          <c:val>
            <c:numRef>
              <c:f>Sheet1!$D$2:$D$4</c:f>
              <c:numCache>
                <c:formatCode>General</c:formatCode>
                <c:ptCount val="3"/>
                <c:pt idx="0">
                  <c:v>114.4</c:v>
                </c:pt>
                <c:pt idx="1">
                  <c:v>2122.4</c:v>
                </c:pt>
                <c:pt idx="2">
                  <c:v>25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9.07</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57.99</c:v>
                </c:pt>
                <c:pt idx="1">
                  <c:v>23.02</c:v>
                </c:pt>
                <c:pt idx="2">
                  <c:v>5.17</c:v>
                </c:pt>
                <c:pt idx="3">
                  <c:v>1.4</c:v>
                </c:pt>
                <c:pt idx="4">
                  <c:v>24.42</c:v>
                </c:pt>
                <c:pt idx="5">
                  <c:v>16.95</c:v>
                </c:pt>
                <c:pt idx="6">
                  <c:v>0</c:v>
                </c:pt>
                <c:pt idx="7">
                  <c:v>7.89</c:v>
                </c:pt>
                <c:pt idx="8">
                  <c:v>0</c:v>
                </c:pt>
                <c:pt idx="9">
                  <c:v>0.56</c:v>
                </c:pt>
                <c:pt idx="10">
                  <c:v>9.24</c:v>
                </c:pt>
                <c:pt idx="11">
                  <c:v>0</c:v>
                </c:pt>
                <c:pt idx="12">
                  <c:v>17.22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8.53</c:v>
                </c:pt>
                <c:pt idx="1">
                  <c:v>0</c:v>
                </c:pt>
                <c:pt idx="2">
                  <c:v>0</c:v>
                </c:pt>
                <c:pt idx="3">
                  <c:v>0</c:v>
                </c:pt>
                <c:pt idx="4">
                  <c:v>0.16</c:v>
                </c:pt>
                <c:pt idx="5">
                  <c:v>1.42</c:v>
                </c:pt>
                <c:pt idx="6">
                  <c:v>0</c:v>
                </c:pt>
                <c:pt idx="7">
                  <c:v>0</c:v>
                </c:pt>
                <c:pt idx="8">
                  <c:v>0.04</c:v>
                </c:pt>
                <c:pt idx="9">
                  <c:v>8</c:v>
                </c:pt>
                <c:pt idx="10">
                  <c:v>0</c:v>
                </c:pt>
                <c:pt idx="11">
                  <c:v>0</c:v>
                </c:pt>
                <c:pt idx="12">
                  <c:v>0</c:v>
                </c:pt>
                <c:pt idx="13">
                  <c:v>0</c:v>
                </c:pt>
                <c:pt idx="14">
                  <c:v>0</c:v>
                </c:pt>
                <c:pt idx="15">
                  <c:v>0.4</c:v>
                </c:pt>
                <c:pt idx="16">
                  <c:v>0</c:v>
                </c:pt>
                <c:pt idx="17">
                  <c:v>0</c:v>
                </c:pt>
                <c:pt idx="18">
                  <c:v>0</c:v>
                </c:pt>
                <c:pt idx="19">
                  <c:v>0</c:v>
                </c:pt>
                <c:pt idx="20">
                  <c:v>0</c:v>
                </c:pt>
                <c:pt idx="21">
                  <c:v>1.48</c:v>
                </c:pt>
                <c:pt idx="22">
                  <c:v>0</c:v>
                </c:pt>
                <c:pt idx="23">
                  <c:v>0</c:v>
                </c:pt>
                <c:pt idx="24">
                  <c:v>0</c:v>
                </c:pt>
                <c:pt idx="25">
                  <c:v>0</c:v>
                </c:pt>
                <c:pt idx="26">
                  <c:v>4.19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5.2</c:v>
                </c:pt>
                <c:pt idx="5">
                  <c:v>0</c:v>
                </c:pt>
                <c:pt idx="6">
                  <c:v>0</c:v>
                </c:pt>
                <c:pt idx="7">
                  <c:v>0</c:v>
                </c:pt>
                <c:pt idx="8">
                  <c:v>0</c:v>
                </c:pt>
                <c:pt idx="9">
                  <c:v>0</c:v>
                </c:pt>
                <c:pt idx="10">
                  <c:v>0</c:v>
                </c:pt>
                <c:pt idx="11">
                  <c:v>1.4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1</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dcterms:modified xsi:type="dcterms:W3CDTF">2023-11-29T08:23:21Z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C15BD818D6074BE29D4875D82A4E34A2_13</vt:lpwstr>
  </property>
</Properties>
</file>