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环江毛南族自治县大数据发展局2022年度部门决算</w:t>
      </w: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both"/>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both"/>
        <w:rPr>
          <w:rFonts w:ascii="黑体" w:hAnsi="黑体" w:eastAsia="黑体" w:cs="黑体"/>
          <w:b/>
          <w:bCs/>
          <w:sz w:val="36"/>
          <w:szCs w:val="36"/>
          <w:highlight w:val="none"/>
        </w:rPr>
      </w:pP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环江毛南族自治县大数据发展局</w:t>
      </w:r>
      <w:r>
        <w:rPr>
          <w:rFonts w:hint="eastAsia" w:ascii="黑体" w:hAnsi="黑体" w:eastAsia="黑体" w:cs="黑体"/>
          <w:sz w:val="32"/>
          <w:szCs w:val="32"/>
          <w:highlight w:val="none"/>
        </w:rPr>
        <w:t>概况</w:t>
      </w:r>
    </w:p>
    <w:p>
      <w:pPr>
        <w:jc w:val="both"/>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both"/>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环江毛南族自治县大数据发展局</w:t>
      </w:r>
      <w:r>
        <w:rPr>
          <w:rFonts w:hint="eastAsia" w:ascii="黑体" w:hAnsi="黑体" w:eastAsia="黑体" w:cs="黑体"/>
          <w:sz w:val="32"/>
          <w:szCs w:val="32"/>
          <w:highlight w:val="none"/>
        </w:rPr>
        <w:t>2022年度部门决算报表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jc w:val="both"/>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环江毛南族自治县大数据发展局</w:t>
      </w:r>
      <w:r>
        <w:rPr>
          <w:rFonts w:hint="eastAsia" w:ascii="黑体" w:hAnsi="黑体" w:eastAsia="黑体" w:cs="黑体"/>
          <w:sz w:val="32"/>
          <w:szCs w:val="32"/>
          <w:highlight w:val="none"/>
        </w:rPr>
        <w:t>2022年度部门决算情况说明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both"/>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环江毛南族自治县大数据发展局</w:t>
      </w:r>
      <w:r>
        <w:rPr>
          <w:rFonts w:hint="eastAsia" w:ascii="黑体" w:hAnsi="黑体" w:eastAsia="黑体" w:cs="黑体"/>
          <w:b/>
          <w:bCs/>
          <w:sz w:val="32"/>
          <w:szCs w:val="32"/>
          <w:highlight w:val="none"/>
        </w:rPr>
        <w:t>概况</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负责统筹推进全县信息化、数字化发展工作。负责统筹县相关机构的信息化、数字化领域有关项目建设，信息资源开发利用与共享，政务服务和公共资源交易监督管理等工作。负责全县大数据发展、数字环江建设、政务服务、政务公开和公共资源交易的管理、指导、协调和监督等工作。</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（二）负责起草“放管服”相关改革、大数据发展、数字环江建设、政务服务、政务公开和公共资源交易领域的规章草案，拟订相关行业技术标准规范、管理办法和考核评估办法并组织实施。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负责组织拟订并推动实施大数据发展、数字环江发展战略规划，负责拟订并组织实施全县数字政府、数字经济、数字社会、数字设施领域的专项发展规划和年度计划。统筹协调工作中的重大问题，提出加快大数据发展、数字环江建设的意见建议。</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（四）负责拟订县本级信息化、数字化领域的财政性资金(专项资金)年度投资计划并组织实施。负责审核县本级信息化、数字化领域财政性资金投资项目。</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 （五）负责统筹协调推进数字设施建设，配合做好网络安全工作。负责推进电子政务网络、数据资源安全体系建设。负责协调通信基础设施等其他基础设施建设。负责协调推进公共数据共享开放平台建设。</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（六）负责统筹全县数据资源建设、管理、应用，政务数据的汇聚、共享。指导协调行业主管部门推动社会数据的汇聚、共享，统筹推进政府数据和社会数据的开放、应用。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负责统筹数字政府建设。负责全县统一的电子政务云平台、公共应用平台和公共支撑平台建设，负责数字政府建设和政务服务，政务公开、电子政务的推进、协调、指导、监督、考核等工作。负责全县政府网站、政府热线的统筹规划、监督考核、综合分析等工作。</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（八）负责统筹数字经济发展。协调推进大数据与三次产业深度融合。协调业务主管部门推动大数据、人工智能、物联网等新一代信息技术在实体经济中的创新融合。负责全县数字经济运行分析。</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九）负责统筹数字社会建设。协调推动互联网、大数据、云计算、人工智能等新技术与社会民生深度融合。协调推进数字城市、数字乡村，数字信用、数字文化、数字公共安全等领域的大数据应用。协调推动数字民生服务市场化发展。</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（十）负责统筹推进全县行政审批制度改革。负责协调推进行政许可事项的清理、规范、管理等工作，规范行政审批行为，推进审批服务便民化。负责审核并督促落实取消下放审批事项的事中事后监管措施。</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十一）负责对进驻县政务服务平台的政务服务事项的组织协调和监督管理。负责对全县各部门实施行政权力涉及的中介服务行为进行综合协调监督。负责指导、推进全县政务服务信用体系建设。负责进驻县政务服务平台的窗口单位及其工作人员的管理、考核及奖惩。负责对进入县政务服务中心的行政审批及其他公共服务等事项的投诉举报的承办、转办和督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（十二）指导全县公共资源交易监督管理工作，拟订规章制度并组织实施。负责对行业主管部门履行公共资源交易监管职责的督查工作。负责县本级公共资源交易活动的监督管理工作。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（十三）负责统筹大数据领域人才队伍建设。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olor w:val="000000" w:themeColor="text1"/>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（十四）完成县委、县人民政府交办的其他任务。</w:t>
      </w:r>
    </w:p>
    <w:p>
      <w:p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二、部门决算单位构成</w:t>
      </w:r>
    </w:p>
    <w:p>
      <w:pPr>
        <w:widowControl/>
        <w:spacing w:line="580" w:lineRule="exact"/>
        <w:ind w:firstLine="675"/>
        <w:jc w:val="both"/>
        <w:rPr>
          <w:rFonts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仿宋"/>
          <w:color w:val="000000" w:themeColor="text1"/>
          <w:spacing w:val="15"/>
          <w:kern w:val="0"/>
          <w:sz w:val="32"/>
          <w:szCs w:val="32"/>
          <w14:textFill>
            <w14:solidFill>
              <w14:schemeClr w14:val="tx1"/>
            </w14:solidFill>
          </w14:textFill>
        </w:rPr>
        <w:t>1、单位构成情况。环江毛南族自治县大数据发展局下设有1个行政单位，即环江毛南族自治县大数据发展局本级，为财政全额拨款机构。</w:t>
      </w:r>
    </w:p>
    <w:p>
      <w:pPr>
        <w:widowControl/>
        <w:spacing w:line="580" w:lineRule="exact"/>
        <w:ind w:firstLine="675"/>
        <w:jc w:val="both"/>
        <w:rPr>
          <w:rFonts w:hint="eastAsia"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黑体"/>
          <w:color w:val="000000" w:themeColor="text1"/>
          <w:spacing w:val="15"/>
          <w:kern w:val="0"/>
          <w:sz w:val="32"/>
          <w:szCs w:val="32"/>
          <w14:textFill>
            <w14:solidFill>
              <w14:schemeClr w14:val="tx1"/>
            </w14:solidFill>
          </w14:textFill>
        </w:rPr>
        <w:t>2、人员构成情况。</w:t>
      </w:r>
      <w:r>
        <w:rPr>
          <w:rFonts w:hint="eastAsia" w:ascii="仿宋" w:hAnsi="仿宋" w:eastAsia="仿宋" w:cs="仿宋"/>
          <w:color w:val="000000" w:themeColor="text1"/>
          <w:spacing w:val="15"/>
          <w:kern w:val="0"/>
          <w:sz w:val="32"/>
          <w:szCs w:val="32"/>
          <w14:textFill>
            <w14:solidFill>
              <w14:schemeClr w14:val="tx1"/>
            </w14:solidFill>
          </w14:textFill>
        </w:rPr>
        <w:t>202</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2</w:t>
      </w:r>
      <w:r>
        <w:rPr>
          <w:rFonts w:hint="eastAsia" w:ascii="仿宋" w:hAnsi="仿宋" w:eastAsia="仿宋" w:cs="仿宋"/>
          <w:color w:val="000000" w:themeColor="text1"/>
          <w:spacing w:val="15"/>
          <w:kern w:val="0"/>
          <w:sz w:val="32"/>
          <w:szCs w:val="32"/>
          <w14:textFill>
            <w14:solidFill>
              <w14:schemeClr w14:val="tx1"/>
            </w14:solidFill>
          </w14:textFill>
        </w:rPr>
        <w:t>年环江县大数据发展局人员编制总数为7人，其中行政编制7人，事业编制0人。实有财政供养人数7人，编外在职实有人数9人</w:t>
      </w:r>
      <w:r>
        <w:rPr>
          <w:rFonts w:hint="eastAsia" w:ascii="仿宋" w:hAnsi="仿宋" w:eastAsia="仿宋" w:cs="仿宋"/>
          <w:color w:val="000000" w:themeColor="text1"/>
          <w:spacing w:val="15"/>
          <w:kern w:val="0"/>
          <w:sz w:val="32"/>
          <w:szCs w:val="32"/>
          <w:lang w:eastAsia="zh-CN"/>
          <w14:textFill>
            <w14:solidFill>
              <w14:schemeClr w14:val="tx1"/>
            </w14:solidFill>
          </w14:textFill>
        </w:rPr>
        <w:t>，离退休</w:t>
      </w:r>
      <w:r>
        <w:rPr>
          <w:rFonts w:hint="eastAsia" w:ascii="仿宋" w:hAnsi="仿宋" w:eastAsia="仿宋" w:cs="仿宋"/>
          <w:color w:val="000000" w:themeColor="text1"/>
          <w:spacing w:val="15"/>
          <w:kern w:val="0"/>
          <w:sz w:val="32"/>
          <w:szCs w:val="32"/>
          <w:lang w:val="en-US" w:eastAsia="zh-CN"/>
          <w14:textFill>
            <w14:solidFill>
              <w14:schemeClr w14:val="tx1"/>
            </w14:solidFill>
          </w14:textFill>
        </w:rPr>
        <w:t>2人</w:t>
      </w:r>
      <w:r>
        <w:rPr>
          <w:rFonts w:hint="eastAsia" w:ascii="仿宋" w:hAnsi="仿宋" w:eastAsia="仿宋" w:cs="仿宋"/>
          <w:color w:val="000000" w:themeColor="text1"/>
          <w:spacing w:val="15"/>
          <w:kern w:val="0"/>
          <w:sz w:val="32"/>
          <w:szCs w:val="32"/>
          <w14:textFill>
            <w14:solidFill>
              <w14:schemeClr w14:val="tx1"/>
            </w14:solidFill>
          </w14:textFill>
        </w:rPr>
        <w:t>。</w:t>
      </w:r>
    </w:p>
    <w:p>
      <w:pPr>
        <w:jc w:val="both"/>
        <w:rPr>
          <w:rFonts w:hint="eastAsia" w:ascii="黑体" w:hAnsi="黑体" w:eastAsia="黑体" w:cs="黑体"/>
          <w:sz w:val="32"/>
          <w:szCs w:val="32"/>
          <w:highlight w:val="none"/>
          <w:lang w:val="en-US" w:eastAsia="zh-CN"/>
        </w:rPr>
        <w:sectPr>
          <w:footerReference r:id="rId5" w:type="default"/>
          <w:pgSz w:w="11906" w:h="16838"/>
          <w:pgMar w:top="1417" w:right="1417" w:bottom="1417" w:left="1417"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环江毛南族自治县大数据发展局</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74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237"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576.50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r>
    </w:tbl>
    <w:p>
      <w:pPr>
        <w:jc w:val="both"/>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611.26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611.26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576.50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576.50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528.88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528.88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both"/>
        <w:rPr>
          <w:rFonts w:ascii="仿宋" w:hAnsi="仿宋" w:eastAsia="仿宋" w:cs="仿宋"/>
          <w:sz w:val="24"/>
          <w:highlight w:val="none"/>
        </w:rPr>
      </w:pPr>
    </w:p>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ascii="仿宋" w:hAnsi="仿宋" w:eastAsia="仿宋" w:cs="仿宋"/>
          <w:sz w:val="24"/>
          <w:highlight w:val="none"/>
        </w:rPr>
      </w:pPr>
    </w:p>
    <w:p>
      <w:pPr>
        <w:jc w:val="both"/>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both"/>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611.26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135.01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476.25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576.50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476.25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476.25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528.88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98.42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430.45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ascii="仿宋" w:hAnsi="仿宋" w:eastAsia="仿宋" w:cs="仿宋"/>
          <w:sz w:val="24"/>
          <w:highlight w:val="none"/>
        </w:rPr>
      </w:pPr>
    </w:p>
    <w:p>
      <w:pPr>
        <w:jc w:val="both"/>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both"/>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21"/>
        <w:gridCol w:w="788"/>
        <w:gridCol w:w="1311"/>
        <w:gridCol w:w="2368"/>
        <w:gridCol w:w="856"/>
        <w:gridCol w:w="1092"/>
        <w:gridCol w:w="1779"/>
        <w:gridCol w:w="1809"/>
        <w:gridCol w:w="190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576.50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576.50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8.56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21.68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611.26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611.26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611.26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0"/>
                <w:szCs w:val="20"/>
                <w:highlight w:val="none"/>
              </w:rPr>
            </w:pPr>
          </w:p>
        </w:tc>
      </w:tr>
    </w:tbl>
    <w:p>
      <w:pPr>
        <w:jc w:val="both"/>
        <w:rPr>
          <w:rFonts w:ascii="仿宋" w:hAnsi="仿宋" w:eastAsia="仿宋" w:cs="仿宋"/>
          <w:sz w:val="24"/>
          <w:highlight w:val="none"/>
        </w:rPr>
      </w:pPr>
    </w:p>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ascii="仿宋" w:hAnsi="仿宋" w:eastAsia="仿宋" w:cs="仿宋"/>
          <w:sz w:val="24"/>
          <w:highlight w:val="none"/>
        </w:rPr>
      </w:pPr>
    </w:p>
    <w:p>
      <w:pPr>
        <w:jc w:val="both"/>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both"/>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611.26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135.01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476.25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576.50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476.25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476.25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528.88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430.45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both"/>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122.69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12.32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both"/>
        <w:rPr>
          <w:rFonts w:ascii="仿宋" w:hAnsi="仿宋" w:eastAsia="仿宋" w:cs="仿宋"/>
          <w:sz w:val="24"/>
          <w:highlight w:val="none"/>
        </w:rPr>
      </w:pPr>
    </w:p>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both"/>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bl>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jc w:val="both"/>
        <w:rPr>
          <w:rFonts w:ascii="仿宋" w:hAnsi="仿宋" w:eastAsia="仿宋" w:cs="仿宋"/>
          <w:sz w:val="24"/>
          <w:highlight w:val="none"/>
        </w:rPr>
      </w:pPr>
      <w:r>
        <w:rPr>
          <w:rFonts w:ascii="仿宋" w:hAnsi="仿宋" w:eastAsia="仿宋" w:cs="仿宋"/>
          <w:sz w:val="24"/>
          <w:highlight w:val="none"/>
        </w:rPr>
        <w:br w:type="page"/>
      </w:r>
    </w:p>
    <w:p>
      <w:pPr>
        <w:jc w:val="both"/>
        <w:rPr>
          <w:rFonts w:ascii="仿宋" w:hAnsi="仿宋" w:eastAsia="仿宋" w:cs="仿宋"/>
          <w:sz w:val="24"/>
          <w:highlight w:val="none"/>
        </w:rPr>
      </w:pPr>
    </w:p>
    <w:p>
      <w:pPr>
        <w:jc w:val="both"/>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both"/>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广西河池市环江毛南族自治县大数据发展局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both"/>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both"/>
              <w:rPr>
                <w:rFonts w:hint="default"/>
                <w:highlight w:val="none"/>
              </w:rPr>
            </w:pPr>
            <w:r>
              <w:rPr>
                <w:rFonts w:hint="eastAsia" w:ascii="宋体" w:hAnsi="宋体" w:eastAsia="宋体" w:cs="宋体"/>
                <w:color w:val="000000"/>
                <w:kern w:val="0"/>
                <w:sz w:val="22"/>
                <w:szCs w:val="22"/>
                <w:highlight w:val="none"/>
                <w:lang w:bidi="ar"/>
              </w:rPr>
              <w:t>1.06</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both"/>
        <w:rPr>
          <w:rFonts w:ascii="仿宋" w:hAnsi="仿宋" w:eastAsia="仿宋" w:cs="仿宋"/>
          <w:sz w:val="24"/>
          <w:highlight w:val="none"/>
        </w:rPr>
        <w:sectPr>
          <w:pgSz w:w="16838" w:h="11906" w:orient="landscape"/>
          <w:pgMar w:top="1417" w:right="1417" w:bottom="1417" w:left="1417" w:header="851" w:footer="992" w:gutter="0"/>
          <w:cols w:space="425" w:num="1"/>
          <w:docGrid w:type="lines" w:linePitch="312" w:charSpace="0"/>
        </w:sectPr>
      </w:pPr>
    </w:p>
    <w:p>
      <w:pPr>
        <w:jc w:val="both"/>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环江毛南族自治县大数据发展局</w:t>
      </w:r>
      <w:r>
        <w:rPr>
          <w:rFonts w:hint="eastAsia" w:ascii="黑体" w:hAnsi="黑体" w:eastAsia="黑体" w:cs="黑体"/>
          <w:sz w:val="32"/>
          <w:szCs w:val="32"/>
          <w:highlight w:val="none"/>
        </w:rPr>
        <w:t>2022年度部门决算情况说明</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611.26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增加308.82</w:t>
      </w:r>
      <w:r>
        <w:rPr>
          <w:rFonts w:hint="eastAsia" w:ascii="仿宋" w:hAnsi="仿宋" w:eastAsia="仿宋" w:cs="仿宋"/>
          <w:sz w:val="32"/>
          <w:szCs w:val="32"/>
          <w:highlight w:val="none"/>
        </w:rPr>
        <w:t>万元，</w:t>
      </w:r>
      <w:r>
        <w:rPr>
          <w:rFonts w:ascii="仿宋" w:hAnsi="仿宋" w:eastAsia="仿宋" w:cs="仿宋"/>
          <w:sz w:val="32"/>
          <w:u w:color="auto"/>
        </w:rPr>
        <w:t>增长102.11%</w:t>
      </w:r>
      <w:r>
        <w:rPr>
          <w:rFonts w:hint="eastAsia" w:ascii="仿宋" w:hAnsi="仿宋" w:eastAsia="仿宋" w:cs="仿宋"/>
          <w:sz w:val="32"/>
          <w:szCs w:val="32"/>
          <w:highlight w:val="none"/>
        </w:rPr>
        <w:t>，其中本年收入</w:t>
      </w:r>
      <w:r>
        <w:rPr>
          <w:rFonts w:ascii="仿宋" w:hAnsi="仿宋" w:eastAsia="仿宋" w:cs="仿宋"/>
          <w:sz w:val="32"/>
          <w:u w:color="auto"/>
        </w:rPr>
        <w:t>611.26</w:t>
      </w:r>
      <w:r>
        <w:rPr>
          <w:rFonts w:hint="eastAsia" w:ascii="仿宋" w:hAnsi="仿宋" w:eastAsia="仿宋" w:cs="仿宋"/>
          <w:sz w:val="32"/>
          <w:szCs w:val="32"/>
          <w:highlight w:val="none"/>
        </w:rPr>
        <w:t>万元。收入具体情况如下。</w:t>
      </w:r>
    </w:p>
    <w:p>
      <w:pPr>
        <w:numPr>
          <w:ilvl w:val="0"/>
          <w:numId w:val="0"/>
        </w:numPr>
        <w:autoSpaceDE w:val="0"/>
        <w:autoSpaceDN w:val="0"/>
        <w:adjustRightInd w:val="0"/>
        <w:spacing w:line="600" w:lineRule="exact"/>
        <w:ind w:firstLine="640" w:firstLineChars="200"/>
        <w:jc w:val="both"/>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611.26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308.82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102.11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根据工作职责要求，2022年度年中追加“综合办公平台国产终端设备采购经费、云网合规性检查电子政务外网核心互联网出口双冗余整改经费、远程异地评标智慧调度和网上开标系统建设经费”等项目建设经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主要原因：本单位上年度和本年度均无政府性基金预算财政拨款收入。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主要原因是：本单位上年度和本年度均无国有资本经营预算财政拨款收入。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主要原因是：本单位上年度和本年度均无上级补助收入。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主要原因是：本单位上年度和本年度均无上级补助收入。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w:t>
      </w:r>
      <w:r>
        <w:rPr>
          <w:rFonts w:hint="eastAsia" w:ascii="仿宋" w:hAnsi="仿宋" w:eastAsia="仿宋" w:cs="仿宋"/>
          <w:color w:val="000000" w:themeColor="text1"/>
          <w:kern w:val="2"/>
          <w:sz w:val="36"/>
          <w:szCs w:val="36"/>
          <w:highlight w:val="none"/>
          <w:lang w:val="en-US" w:eastAsia="zh-CN" w:bidi="ar"/>
          <w14:textFill>
            <w14:solidFill>
              <w14:schemeClr w14:val="tx1"/>
            </w14:solidFill>
          </w14:textFill>
        </w:rPr>
        <w:t>经营收入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主要原因是：本单位上年度和本年度均无附属单位上缴收入。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主要原因是：本单位上年度和本年度均无其他收入。</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主要原因是：本单位上年度和本年度均无使用非财政拨款结余。</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减少2.74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主要原因：本单位上年度和本年度均无上年结转和结余。</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rPr>
      </w:pPr>
    </w:p>
    <w:p>
      <w:pPr>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289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611.26</w:t>
      </w:r>
      <w:r>
        <w:rPr>
          <w:rFonts w:hint="eastAsia" w:ascii="仿宋" w:hAnsi="仿宋" w:eastAsia="仿宋" w:cs="仿宋"/>
          <w:sz w:val="32"/>
          <w:szCs w:val="32"/>
          <w:highlight w:val="none"/>
        </w:rPr>
        <w:t>万元，其中本年支出</w:t>
      </w:r>
      <w:r>
        <w:rPr>
          <w:rFonts w:ascii="仿宋" w:hAnsi="仿宋" w:eastAsia="仿宋" w:cs="仿宋"/>
          <w:sz w:val="32"/>
          <w:u w:color="auto"/>
        </w:rPr>
        <w:t>611.26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增加308.82</w:t>
      </w:r>
      <w:r>
        <w:rPr>
          <w:rFonts w:hint="eastAsia" w:ascii="仿宋" w:hAnsi="仿宋" w:eastAsia="仿宋" w:cs="仿宋"/>
          <w:sz w:val="32"/>
          <w:szCs w:val="32"/>
          <w:highlight w:val="none"/>
        </w:rPr>
        <w:t>万元，</w:t>
      </w:r>
      <w:r>
        <w:rPr>
          <w:rFonts w:ascii="仿宋" w:hAnsi="仿宋" w:eastAsia="仿宋" w:cs="仿宋"/>
          <w:sz w:val="32"/>
          <w:u w:color="auto"/>
        </w:rPr>
        <w:t>增长102.11%</w:t>
      </w:r>
      <w:r>
        <w:rPr>
          <w:rFonts w:hint="eastAsia" w:ascii="仿宋" w:hAnsi="仿宋" w:eastAsia="仿宋" w:cs="仿宋"/>
          <w:sz w:val="32"/>
          <w:szCs w:val="32"/>
          <w:highlight w:val="none"/>
        </w:rPr>
        <w:t>。支出具体情况如下：</w:t>
      </w:r>
    </w:p>
    <w:p>
      <w:pPr>
        <w:numPr>
          <w:ilvl w:val="0"/>
          <w:numId w:val="0"/>
        </w:numPr>
        <w:autoSpaceDE w:val="0"/>
        <w:autoSpaceDN w:val="0"/>
        <w:adjustRightInd w:val="0"/>
        <w:spacing w:line="600" w:lineRule="exact"/>
        <w:ind w:firstLine="640" w:firstLineChars="200"/>
        <w:jc w:val="both"/>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576.50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本部门为保证日常运转发生的基本支出和为完成各项工作任务、保障</w:t>
      </w:r>
      <w:r>
        <w:rPr>
          <w:rFonts w:hint="eastAsia" w:ascii="仿宋" w:hAnsi="仿宋" w:eastAsia="仿宋" w:cs="仿宋"/>
          <w:color w:val="000000" w:themeColor="text1"/>
          <w:kern w:val="0"/>
          <w:sz w:val="32"/>
          <w:szCs w:val="32"/>
          <w14:textFill>
            <w14:solidFill>
              <w14:schemeClr w14:val="tx1"/>
            </w14:solidFill>
          </w14:textFill>
        </w:rPr>
        <w:t>单位事业</w:t>
      </w:r>
      <w:r>
        <w:rPr>
          <w:rFonts w:hint="eastAsia" w:ascii="仿宋" w:hAnsi="仿宋" w:eastAsia="仿宋" w:cs="仿宋"/>
          <w:color w:val="000000" w:themeColor="text1"/>
          <w:sz w:val="32"/>
          <w:szCs w:val="32"/>
          <w14:textFill>
            <w14:solidFill>
              <w14:schemeClr w14:val="tx1"/>
            </w14:solidFill>
          </w14:textFill>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增加314.88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增长120.36%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根据工作职责要求，2022年度年中追加“综合办公平台国产终端设备采购经费、云网合规性检查电子政务外网核心互联网出口双冗余整改经费、远程异地评标智慧调度和网上开标系统建设经费”等项目建设经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4.52</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按照国家政策规定缴纳</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32"/>
          <w:szCs w:val="32"/>
          <w14:textFill>
            <w14:solidFill>
              <w14:schemeClr w14:val="tx1"/>
            </w14:solidFill>
          </w14:textFill>
        </w:rPr>
        <w:t>等社保方面的支出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减少1.53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下降25.29%</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主要原因是：2021年底有一人退休，</w:t>
      </w:r>
      <w:r>
        <w:rPr>
          <w:rFonts w:hint="eastAsia" w:ascii="仿宋" w:hAnsi="仿宋" w:eastAsia="仿宋" w:cs="仿宋"/>
          <w:color w:val="000000" w:themeColor="text1"/>
          <w:kern w:val="0"/>
          <w:sz w:val="32"/>
          <w:szCs w:val="32"/>
          <w14:textFill>
            <w14:solidFill>
              <w14:schemeClr w14:val="tx1"/>
            </w14:solidFill>
          </w14:textFill>
        </w:rPr>
        <w:t>社保</w:t>
      </w:r>
      <w:r>
        <w:rPr>
          <w:rFonts w:hint="eastAsia" w:ascii="仿宋" w:hAnsi="仿宋" w:eastAsia="仿宋" w:cs="仿宋"/>
          <w:color w:val="000000" w:themeColor="text1"/>
          <w:kern w:val="0"/>
          <w:sz w:val="32"/>
          <w:szCs w:val="32"/>
          <w:lang w:eastAsia="zh-CN"/>
          <w14:textFill>
            <w14:solidFill>
              <w14:schemeClr w14:val="tx1"/>
            </w14:solidFill>
          </w14:textFill>
        </w:rPr>
        <w:t>缴费支出相应减少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8.56</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按照国家政策规定</w:t>
      </w:r>
      <w:r>
        <w:rPr>
          <w:rFonts w:hint="eastAsia" w:ascii="仿宋" w:hAnsi="仿宋" w:eastAsia="仿宋" w:cs="仿宋"/>
          <w:color w:val="000000" w:themeColor="text1"/>
          <w:kern w:val="0"/>
          <w:sz w:val="32"/>
          <w:szCs w:val="32"/>
          <w:lang w:eastAsia="zh-CN"/>
          <w14:textFill>
            <w14:solidFill>
              <w14:schemeClr w14:val="tx1"/>
            </w14:solidFill>
          </w14:textFill>
        </w:rPr>
        <w:t>为</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缴纳</w:t>
      </w:r>
      <w:r>
        <w:rPr>
          <w:rFonts w:hint="eastAsia" w:ascii="仿宋" w:hAnsi="仿宋" w:eastAsia="仿宋" w:cs="仿宋"/>
          <w:color w:val="000000" w:themeColor="text1"/>
          <w:kern w:val="0"/>
          <w:sz w:val="32"/>
          <w:szCs w:val="32"/>
          <w14:textFill>
            <w14:solidFill>
              <w14:schemeClr w14:val="tx1"/>
            </w14:solidFill>
          </w14:textFill>
        </w:rPr>
        <w:t>的住房公积金等住房改革方</w:t>
      </w:r>
      <w:r>
        <w:rPr>
          <w:rFonts w:hint="eastAsia" w:ascii="仿宋" w:hAnsi="仿宋" w:eastAsia="仿宋" w:cs="仿宋"/>
          <w:color w:val="000000" w:themeColor="text1"/>
          <w:spacing w:val="-3"/>
          <w:kern w:val="0"/>
          <w:sz w:val="32"/>
          <w:szCs w:val="32"/>
          <w14:textFill>
            <w14:solidFill>
              <w14:schemeClr w14:val="tx1"/>
            </w14:solidFill>
          </w14:textFill>
        </w:rPr>
        <w:t>面的支出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减少0.98</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下降10.27%</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主要原因是：2021年底有一人退休，</w:t>
      </w:r>
      <w:r>
        <w:rPr>
          <w:rFonts w:hint="eastAsia" w:ascii="仿宋" w:hAnsi="仿宋" w:eastAsia="仿宋" w:cs="仿宋"/>
          <w:color w:val="000000" w:themeColor="text1"/>
          <w:kern w:val="0"/>
          <w:sz w:val="32"/>
          <w:szCs w:val="32"/>
          <w14:textFill>
            <w14:solidFill>
              <w14:schemeClr w14:val="tx1"/>
            </w14:solidFill>
          </w14:textFill>
        </w:rPr>
        <w:t>住房公积金</w:t>
      </w:r>
      <w:r>
        <w:rPr>
          <w:rFonts w:hint="eastAsia" w:ascii="仿宋" w:hAnsi="仿宋" w:eastAsia="仿宋" w:cs="仿宋"/>
          <w:color w:val="000000" w:themeColor="text1"/>
          <w:kern w:val="0"/>
          <w:sz w:val="32"/>
          <w:szCs w:val="32"/>
          <w:lang w:eastAsia="zh-CN"/>
          <w14:textFill>
            <w14:solidFill>
              <w14:schemeClr w14:val="tx1"/>
            </w14:solidFill>
          </w14:textFill>
        </w:rPr>
        <w:t>支出相应减少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21.68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按照</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eastAsia="zh-CN"/>
          <w14:textFill>
            <w14:solidFill>
              <w14:schemeClr w14:val="tx1"/>
            </w14:solidFill>
          </w14:textFill>
        </w:rPr>
        <w:t>为提高</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福利而发放的奖励性补贴</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下降14.07%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主要原因是：2021年底有一人退休，</w:t>
      </w:r>
      <w:r>
        <w:rPr>
          <w:rFonts w:hint="eastAsia" w:ascii="仿宋" w:hAnsi="仿宋" w:eastAsia="仿宋" w:cs="仿宋"/>
          <w:color w:val="000000" w:themeColor="text1"/>
          <w:kern w:val="0"/>
          <w:sz w:val="32"/>
          <w:szCs w:val="32"/>
          <w:lang w:eastAsia="zh-CN"/>
          <w14:textFill>
            <w14:solidFill>
              <w14:schemeClr w14:val="tx1"/>
            </w14:solidFill>
          </w14:textFill>
        </w:rPr>
        <w:t>奖励性补贴发放相应减少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20" w:firstLineChars="200"/>
        <w:jc w:val="both"/>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：本单位上年度和本年度</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结余分配</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均为</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0万元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主要原因是：本单位上年度和本年度</w:t>
      </w: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hint="eastAsia" w:ascii="仿宋" w:hAnsi="仿宋" w:eastAsia="仿宋" w:cs="仿宋"/>
          <w:color w:val="000000" w:themeColor="text1"/>
          <w:sz w:val="32"/>
          <w:szCs w:val="32"/>
          <w:highlight w:val="none"/>
          <w:lang w:eastAsia="zh-CN"/>
          <w14:textFill>
            <w14:solidFill>
              <w14:schemeClr w14:val="tx1"/>
            </w14:solidFill>
          </w14:textFill>
        </w:rPr>
        <w:t>均为</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42485" cy="27940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环江毛南族自治县大数据发展局2022年度一般公共预算财政拨款支出</w:t>
      </w:r>
      <w:r>
        <w:rPr>
          <w:rFonts w:ascii="仿宋" w:hAnsi="仿宋" w:eastAsia="仿宋" w:cs="仿宋"/>
          <w:sz w:val="32"/>
          <w:u w:color="auto"/>
        </w:rPr>
        <w:t>611.26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增加308.82</w:t>
      </w:r>
      <w:r>
        <w:rPr>
          <w:rFonts w:hint="eastAsia" w:ascii="仿宋" w:hAnsi="仿宋" w:eastAsia="仿宋" w:cs="仿宋"/>
          <w:sz w:val="32"/>
          <w:szCs w:val="32"/>
          <w:highlight w:val="none"/>
        </w:rPr>
        <w:t>万元，</w:t>
      </w:r>
      <w:r>
        <w:rPr>
          <w:rFonts w:ascii="仿宋" w:hAnsi="仿宋" w:eastAsia="仿宋" w:cs="仿宋"/>
          <w:sz w:val="32"/>
          <w:u w:color="auto"/>
        </w:rPr>
        <w:t>增长102.11%</w:t>
      </w:r>
      <w:r>
        <w:rPr>
          <w:rFonts w:hint="eastAsia" w:ascii="仿宋" w:hAnsi="仿宋" w:eastAsia="仿宋" w:cs="仿宋"/>
          <w:sz w:val="32"/>
          <w:szCs w:val="32"/>
          <w:highlight w:val="none"/>
        </w:rPr>
        <w:t>。其中：基本支出</w:t>
      </w:r>
      <w:r>
        <w:rPr>
          <w:rFonts w:ascii="仿宋" w:hAnsi="仿宋" w:eastAsia="仿宋" w:cs="仿宋"/>
          <w:sz w:val="32"/>
          <w:u w:color="auto"/>
        </w:rPr>
        <w:t>135.01</w:t>
      </w:r>
      <w:r>
        <w:rPr>
          <w:rFonts w:hint="eastAsia" w:ascii="仿宋" w:hAnsi="仿宋" w:eastAsia="仿宋" w:cs="仿宋"/>
          <w:sz w:val="32"/>
          <w:szCs w:val="32"/>
          <w:highlight w:val="none"/>
        </w:rPr>
        <w:t>万元，项目支出</w:t>
      </w:r>
      <w:r>
        <w:rPr>
          <w:rFonts w:ascii="仿宋" w:hAnsi="仿宋" w:eastAsia="仿宋" w:cs="仿宋"/>
          <w:sz w:val="32"/>
          <w:u w:color="auto"/>
        </w:rPr>
        <w:t>476.25</w:t>
      </w:r>
      <w:r>
        <w:rPr>
          <w:rFonts w:hint="eastAsia" w:ascii="仿宋" w:hAnsi="仿宋" w:eastAsia="仿宋" w:cs="仿宋"/>
          <w:sz w:val="32"/>
          <w:szCs w:val="32"/>
          <w:highlight w:val="none"/>
        </w:rPr>
        <w:t>万元。</w:t>
      </w:r>
    </w:p>
    <w:p>
      <w:pPr>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t>环江毛南族自治县大数据发展局2022 年度一般公共预算财政拨款支出年初预算为</w:t>
      </w:r>
      <w:r>
        <w:rPr>
          <w:rFonts w:ascii="仿宋" w:hAnsi="仿宋" w:eastAsia="仿宋" w:cs="仿宋"/>
          <w:sz w:val="32"/>
          <w:u w:color="auto"/>
        </w:rPr>
        <w:t>285.35</w:t>
      </w:r>
      <w:r>
        <w:rPr>
          <w:rFonts w:hint="eastAsia" w:ascii="仿宋" w:hAnsi="仿宋" w:eastAsia="仿宋" w:cs="仿宋"/>
          <w:sz w:val="32"/>
          <w:szCs w:val="32"/>
          <w:highlight w:val="none"/>
        </w:rPr>
        <w:t>万元，支出决算为</w:t>
      </w:r>
      <w:r>
        <w:rPr>
          <w:rFonts w:ascii="仿宋" w:hAnsi="仿宋" w:eastAsia="仿宋" w:cs="仿宋"/>
          <w:sz w:val="32"/>
          <w:u w:color="auto"/>
        </w:rPr>
        <w:t>611.26</w:t>
      </w:r>
      <w:r>
        <w:rPr>
          <w:rFonts w:hint="eastAsia" w:ascii="仿宋" w:hAnsi="仿宋" w:eastAsia="仿宋" w:cs="仿宋"/>
          <w:sz w:val="32"/>
          <w:szCs w:val="32"/>
          <w:highlight w:val="none"/>
        </w:rPr>
        <w:t>万元，完成年初预算的</w:t>
      </w:r>
      <w:r>
        <w:rPr>
          <w:rFonts w:ascii="仿宋" w:hAnsi="仿宋" w:eastAsia="仿宋" w:cs="仿宋"/>
          <w:sz w:val="32"/>
          <w:u w:color="auto"/>
        </w:rPr>
        <w:t>214.21%</w:t>
      </w:r>
      <w:r>
        <w:rPr>
          <w:rFonts w:hint="eastAsia" w:ascii="仿宋" w:hAnsi="仿宋" w:eastAsia="仿宋" w:cs="仿宋"/>
          <w:sz w:val="32"/>
          <w:szCs w:val="32"/>
          <w:highlight w:val="none"/>
        </w:rPr>
        <w:t>。</w:t>
      </w:r>
      <w:bookmarkStart w:id="3" w:name="OLE_LINK2"/>
      <w:bookmarkEnd w:id="3"/>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259.87</w:t>
      </w:r>
      <w:r>
        <w:rPr>
          <w:rFonts w:hint="eastAsia" w:ascii="仿宋" w:hAnsi="仿宋" w:eastAsia="仿宋"/>
          <w:sz w:val="32"/>
          <w:szCs w:val="32"/>
          <w:highlight w:val="none"/>
        </w:rPr>
        <w:t>万元，支出决算为</w:t>
      </w:r>
      <w:r>
        <w:rPr>
          <w:rFonts w:ascii="仿宋" w:hAnsi="仿宋" w:eastAsia="仿宋"/>
          <w:sz w:val="32"/>
          <w:szCs w:val="32"/>
          <w:highlight w:val="none"/>
        </w:rPr>
        <w:t>576.50</w:t>
      </w:r>
      <w:r>
        <w:rPr>
          <w:rFonts w:hint="eastAsia" w:ascii="仿宋" w:hAnsi="仿宋" w:eastAsia="仿宋"/>
          <w:sz w:val="32"/>
          <w:szCs w:val="32"/>
          <w:highlight w:val="none"/>
        </w:rPr>
        <w:t>万元，完成年初预算的</w:t>
      </w:r>
      <w:r>
        <w:rPr>
          <w:rFonts w:ascii="仿宋" w:hAnsi="仿宋" w:eastAsia="仿宋"/>
          <w:sz w:val="32"/>
          <w:szCs w:val="32"/>
          <w:highlight w:val="none"/>
        </w:rPr>
        <w:t>221.84%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原因是：根据单位工作职责要求，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2022年度年中追加“综合办公平台国产终端设备采购经费、云网合规性检查电子政务外网核心互联网出口双冗余整改经费、远程异地评标智慧调度和网上开标系统建设经费”等项目建设经费。</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258.05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528.88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204.95%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用于支付国产电脑采购款、</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远程异地评标智慧调度和网上开标系统建设经费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年中追加的项目经费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45.80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支付云网合规性检查电子政务外网核心互联网出口双冗余整改经费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年中追加的项目经费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支付工会经费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259.87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576.50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用于支付国产电脑采购、</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远程异地评标智慧调度和网上开标系统建设、支付云网合规性检查电子政务外网核心互联网出口双冗余整改等经费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olor w:val="000000" w:themeColor="text1"/>
                <w:sz w:val="21"/>
                <w:szCs w:val="21"/>
                <w:highlight w:val="none"/>
                <w:lang w:val="en-US" w:eastAsia="zh-CN"/>
                <w14:textFill>
                  <w14:solidFill>
                    <w14:schemeClr w14:val="tx1"/>
                  </w14:solidFill>
                </w14:textFill>
              </w:rPr>
              <w:t>根据单位工作职责要求，</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2022年度年中追加的项目经费</w:t>
            </w: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14.56</w:t>
      </w:r>
      <w:r>
        <w:rPr>
          <w:rFonts w:hint="eastAsia" w:ascii="仿宋" w:hAnsi="仿宋" w:eastAsia="仿宋"/>
          <w:sz w:val="32"/>
          <w:szCs w:val="32"/>
          <w:highlight w:val="none"/>
        </w:rPr>
        <w:t>万元，支出决算为</w:t>
      </w:r>
      <w:r>
        <w:rPr>
          <w:rFonts w:ascii="仿宋" w:hAnsi="仿宋" w:eastAsia="仿宋"/>
          <w:sz w:val="32"/>
          <w:szCs w:val="32"/>
          <w:highlight w:val="none"/>
        </w:rPr>
        <w:t>4.52</w:t>
      </w:r>
      <w:r>
        <w:rPr>
          <w:rFonts w:hint="eastAsia" w:ascii="仿宋" w:hAnsi="仿宋" w:eastAsia="仿宋"/>
          <w:sz w:val="32"/>
          <w:szCs w:val="32"/>
          <w:highlight w:val="none"/>
        </w:rPr>
        <w:t>万元，完成年初预算的</w:t>
      </w:r>
      <w:r>
        <w:rPr>
          <w:rFonts w:ascii="仿宋" w:hAnsi="仿宋" w:eastAsia="仿宋"/>
          <w:sz w:val="32"/>
          <w:szCs w:val="32"/>
          <w:highlight w:val="none"/>
        </w:rPr>
        <w:t>31.04%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2021年底有一人退休，有3名政府购买人员离职，</w:t>
      </w:r>
      <w:r>
        <w:rPr>
          <w:rFonts w:hint="eastAsia" w:ascii="仿宋" w:hAnsi="仿宋" w:eastAsia="仿宋" w:cs="仿宋"/>
          <w:color w:val="000000" w:themeColor="text1"/>
          <w:kern w:val="0"/>
          <w:sz w:val="32"/>
          <w:szCs w:val="32"/>
          <w14:textFill>
            <w14:solidFill>
              <w14:schemeClr w14:val="tx1"/>
            </w14:solidFill>
          </w14:textFill>
        </w:rPr>
        <w:t>社保</w:t>
      </w:r>
      <w:r>
        <w:rPr>
          <w:rFonts w:hint="eastAsia" w:ascii="仿宋" w:hAnsi="仿宋" w:eastAsia="仿宋" w:cs="仿宋"/>
          <w:color w:val="000000" w:themeColor="text1"/>
          <w:kern w:val="0"/>
          <w:sz w:val="32"/>
          <w:szCs w:val="32"/>
          <w:lang w:eastAsia="zh-CN"/>
          <w14:textFill>
            <w14:solidFill>
              <w14:schemeClr w14:val="tx1"/>
            </w14:solidFill>
          </w14:textFill>
        </w:rPr>
        <w:t>缴费支出相应减少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按照国家政策规定缴纳</w:t>
            </w: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机关事业单位基本养老、工伤、失业保险</w:t>
            </w:r>
            <w:r>
              <w:rPr>
                <w:rFonts w:hint="eastAsia" w:ascii="仿宋" w:hAnsi="仿宋" w:eastAsia="仿宋" w:cs="仿宋"/>
                <w:color w:val="000000" w:themeColor="text1"/>
                <w:kern w:val="0"/>
                <w:sz w:val="21"/>
                <w:szCs w:val="21"/>
                <w14:textFill>
                  <w14:solidFill>
                    <w14:schemeClr w14:val="tx1"/>
                  </w14:solidFill>
                </w14:textFill>
              </w:rPr>
              <w:t>等社保方面的支出</w:t>
            </w: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10.92</w:t>
      </w:r>
      <w:r>
        <w:rPr>
          <w:rFonts w:hint="eastAsia" w:ascii="仿宋" w:hAnsi="仿宋" w:eastAsia="仿宋"/>
          <w:sz w:val="32"/>
          <w:szCs w:val="32"/>
          <w:highlight w:val="none"/>
        </w:rPr>
        <w:t>万元，支出决算为</w:t>
      </w:r>
      <w:r>
        <w:rPr>
          <w:rFonts w:ascii="仿宋" w:hAnsi="仿宋" w:eastAsia="仿宋"/>
          <w:sz w:val="32"/>
          <w:szCs w:val="32"/>
          <w:highlight w:val="none"/>
        </w:rPr>
        <w:t>8.56</w:t>
      </w:r>
      <w:r>
        <w:rPr>
          <w:rFonts w:hint="eastAsia" w:ascii="仿宋" w:hAnsi="仿宋" w:eastAsia="仿宋"/>
          <w:sz w:val="32"/>
          <w:szCs w:val="32"/>
          <w:highlight w:val="none"/>
        </w:rPr>
        <w:t>万元，完成年初预算的</w:t>
      </w:r>
      <w:r>
        <w:rPr>
          <w:rFonts w:ascii="仿宋" w:hAnsi="仿宋" w:eastAsia="仿宋"/>
          <w:sz w:val="32"/>
          <w:szCs w:val="32"/>
          <w:highlight w:val="none"/>
        </w:rPr>
        <w:t>78.39%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2021年底有一人退休，</w:t>
      </w:r>
      <w:r>
        <w:rPr>
          <w:rFonts w:hint="eastAsia" w:ascii="仿宋" w:hAnsi="仿宋" w:eastAsia="仿宋" w:cs="仿宋"/>
          <w:color w:val="000000" w:themeColor="text1"/>
          <w:kern w:val="0"/>
          <w:sz w:val="32"/>
          <w:szCs w:val="32"/>
          <w14:textFill>
            <w14:solidFill>
              <w14:schemeClr w14:val="tx1"/>
            </w14:solidFill>
          </w14:textFill>
        </w:rPr>
        <w:t>住房公积金</w:t>
      </w:r>
      <w:r>
        <w:rPr>
          <w:rFonts w:hint="eastAsia" w:ascii="仿宋" w:hAnsi="仿宋" w:eastAsia="仿宋" w:cs="仿宋"/>
          <w:color w:val="000000" w:themeColor="text1"/>
          <w:kern w:val="0"/>
          <w:sz w:val="32"/>
          <w:szCs w:val="32"/>
          <w:lang w:eastAsia="zh-CN"/>
          <w14:textFill>
            <w14:solidFill>
              <w14:schemeClr w14:val="tx1"/>
            </w14:solidFill>
          </w14:textFill>
        </w:rPr>
        <w:t>支出相应减少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w:t>
            </w:r>
            <w:r>
              <w:rPr>
                <w:rFonts w:hint="eastAsia" w:ascii="仿宋" w:hAnsi="仿宋" w:eastAsia="仿宋" w:cs="仿宋"/>
                <w:color w:val="000000" w:themeColor="text1"/>
                <w:kern w:val="0"/>
                <w:sz w:val="21"/>
                <w:szCs w:val="21"/>
                <w:lang w:eastAsia="zh-CN"/>
                <w14:textFill>
                  <w14:solidFill>
                    <w14:schemeClr w14:val="tx1"/>
                  </w14:solidFill>
                </w14:textFill>
              </w:rPr>
              <w:t>为</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缴纳</w:t>
            </w:r>
            <w:r>
              <w:rPr>
                <w:rFonts w:hint="eastAsia" w:ascii="仿宋" w:hAnsi="仿宋" w:eastAsia="仿宋" w:cs="仿宋"/>
                <w:color w:val="000000" w:themeColor="text1"/>
                <w:kern w:val="0"/>
                <w:sz w:val="21"/>
                <w:szCs w:val="21"/>
                <w14:textFill>
                  <w14:solidFill>
                    <w14:schemeClr w14:val="tx1"/>
                  </w14:solidFill>
                </w14:textFill>
              </w:rPr>
              <w:t>的住房公积金等住房改革方</w:t>
            </w:r>
            <w:r>
              <w:rPr>
                <w:rFonts w:hint="eastAsia" w:ascii="仿宋" w:hAnsi="仿宋" w:eastAsia="仿宋" w:cs="仿宋"/>
                <w:color w:val="000000" w:themeColor="text1"/>
                <w:spacing w:val="-3"/>
                <w:kern w:val="0"/>
                <w:sz w:val="21"/>
                <w:szCs w:val="21"/>
                <w14:textFill>
                  <w14:solidFill>
                    <w14:schemeClr w14:val="tx1"/>
                  </w14:solidFill>
                </w14:textFill>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jc w:val="both"/>
              <w:rPr>
                <w:rFonts w:hint="eastAsia" w:ascii="仿宋_GB2312" w:hAnsi="微软雅黑" w:eastAsia="仿宋_GB2312" w:cs="仿宋_GB2312"/>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2021年底有一人退休，</w:t>
            </w:r>
            <w:r>
              <w:rPr>
                <w:rFonts w:hint="eastAsia" w:ascii="仿宋" w:hAnsi="仿宋" w:eastAsia="仿宋" w:cs="仿宋"/>
                <w:color w:val="000000" w:themeColor="text1"/>
                <w:kern w:val="0"/>
                <w:sz w:val="21"/>
                <w:szCs w:val="21"/>
                <w14:textFill>
                  <w14:solidFill>
                    <w14:schemeClr w14:val="tx1"/>
                  </w14:solidFill>
                </w14:textFill>
              </w:rPr>
              <w:t>住房公积金</w:t>
            </w:r>
            <w:r>
              <w:rPr>
                <w:rFonts w:hint="eastAsia" w:ascii="仿宋" w:hAnsi="仿宋" w:eastAsia="仿宋" w:cs="仿宋"/>
                <w:color w:val="000000" w:themeColor="text1"/>
                <w:kern w:val="0"/>
                <w:sz w:val="21"/>
                <w:szCs w:val="21"/>
                <w:lang w:eastAsia="zh-CN"/>
                <w14:textFill>
                  <w14:solidFill>
                    <w14:schemeClr w14:val="tx1"/>
                  </w14:solidFill>
                </w14:textFill>
              </w:rPr>
              <w:t>支出相应减少</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按照国家政策规定</w:t>
            </w:r>
            <w:r>
              <w:rPr>
                <w:rFonts w:hint="eastAsia" w:ascii="仿宋" w:hAnsi="仿宋" w:eastAsia="仿宋" w:cs="仿宋"/>
                <w:color w:val="000000" w:themeColor="text1"/>
                <w:kern w:val="0"/>
                <w:sz w:val="21"/>
                <w:szCs w:val="21"/>
                <w:lang w:eastAsia="zh-CN"/>
                <w14:textFill>
                  <w14:solidFill>
                    <w14:schemeClr w14:val="tx1"/>
                  </w14:solidFill>
                </w14:textFill>
              </w:rPr>
              <w:t>为</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缴纳</w:t>
            </w:r>
            <w:r>
              <w:rPr>
                <w:rFonts w:hint="eastAsia" w:ascii="仿宋" w:hAnsi="仿宋" w:eastAsia="仿宋" w:cs="仿宋"/>
                <w:color w:val="000000" w:themeColor="text1"/>
                <w:kern w:val="0"/>
                <w:sz w:val="21"/>
                <w:szCs w:val="21"/>
                <w14:textFill>
                  <w14:solidFill>
                    <w14:schemeClr w14:val="tx1"/>
                  </w14:solidFill>
                </w14:textFill>
              </w:rPr>
              <w:t>的住房公积金等住房改革方</w:t>
            </w:r>
            <w:r>
              <w:rPr>
                <w:rFonts w:hint="eastAsia" w:ascii="仿宋" w:hAnsi="仿宋" w:eastAsia="仿宋" w:cs="仿宋"/>
                <w:color w:val="000000" w:themeColor="text1"/>
                <w:spacing w:val="-3"/>
                <w:kern w:val="0"/>
                <w:sz w:val="21"/>
                <w:szCs w:val="21"/>
                <w14:textFill>
                  <w14:solidFill>
                    <w14:schemeClr w14:val="tx1"/>
                  </w14:solidFill>
                </w14:textFill>
              </w:rPr>
              <w:t>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jc w:val="both"/>
              <w:rPr>
                <w:rFonts w:hint="eastAsia" w:ascii="仿宋_GB2312" w:hAnsi="微软雅黑" w:eastAsia="仿宋_GB2312" w:cs="仿宋_GB2312"/>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2021年底有一人退休，</w:t>
            </w:r>
            <w:r>
              <w:rPr>
                <w:rFonts w:hint="eastAsia" w:ascii="仿宋" w:hAnsi="仿宋" w:eastAsia="仿宋" w:cs="仿宋"/>
                <w:color w:val="000000" w:themeColor="text1"/>
                <w:kern w:val="0"/>
                <w:sz w:val="21"/>
                <w:szCs w:val="21"/>
                <w14:textFill>
                  <w14:solidFill>
                    <w14:schemeClr w14:val="tx1"/>
                  </w14:solidFill>
                </w14:textFill>
              </w:rPr>
              <w:t>住房公积金</w:t>
            </w:r>
            <w:r>
              <w:rPr>
                <w:rFonts w:hint="eastAsia" w:ascii="仿宋" w:hAnsi="仿宋" w:eastAsia="仿宋" w:cs="仿宋"/>
                <w:color w:val="000000" w:themeColor="text1"/>
                <w:kern w:val="0"/>
                <w:sz w:val="21"/>
                <w:szCs w:val="21"/>
                <w:lang w:eastAsia="zh-CN"/>
                <w14:textFill>
                  <w14:solidFill>
                    <w14:schemeClr w14:val="tx1"/>
                  </w14:solidFill>
                </w14:textFill>
              </w:rPr>
              <w:t>支出相应减少</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21.68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0"/>
          <w:sz w:val="32"/>
          <w:szCs w:val="32"/>
          <w14:textFill>
            <w14:solidFill>
              <w14:schemeClr w14:val="tx1"/>
            </w14:solidFill>
          </w14:textFill>
        </w:rPr>
        <w:t>按照</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eastAsia="zh-CN"/>
          <w14:textFill>
            <w14:solidFill>
              <w14:schemeClr w14:val="tx1"/>
            </w14:solidFill>
          </w14:textFill>
        </w:rPr>
        <w:t>为提高</w:t>
      </w:r>
      <w:r>
        <w:rPr>
          <w:rFonts w:hint="eastAsia" w:ascii="仿宋" w:hAnsi="仿宋" w:eastAsia="仿宋" w:cs="仿宋"/>
          <w:color w:val="000000" w:themeColor="text1"/>
          <w:kern w:val="0"/>
          <w:sz w:val="32"/>
          <w:szCs w:val="32"/>
          <w14:textFill>
            <w14:solidFill>
              <w14:schemeClr w14:val="tx1"/>
            </w14:solidFill>
          </w14:textFill>
        </w:rPr>
        <w:t>职工</w:t>
      </w:r>
      <w:r>
        <w:rPr>
          <w:rFonts w:hint="eastAsia" w:ascii="仿宋" w:hAnsi="仿宋" w:eastAsia="仿宋" w:cs="仿宋"/>
          <w:color w:val="000000" w:themeColor="text1"/>
          <w:kern w:val="0"/>
          <w:sz w:val="32"/>
          <w:szCs w:val="32"/>
          <w:lang w:eastAsia="zh-CN"/>
          <w14:textFill>
            <w14:solidFill>
              <w14:schemeClr w14:val="tx1"/>
            </w14:solidFill>
          </w14:textFill>
        </w:rPr>
        <w:t>福利而发放的奖励性补贴</w:t>
      </w:r>
      <w:r>
        <w:rPr>
          <w:rFonts w:hint="eastAsia" w:ascii="仿宋" w:hAnsi="仿宋" w:eastAsia="仿宋" w:cs="仿宋"/>
          <w:color w:val="000000" w:themeColor="text1"/>
          <w:sz w:val="32"/>
          <w:szCs w:val="32"/>
          <w:highlight w:val="none"/>
          <w14:textFill>
            <w14:solidFill>
              <w14:schemeClr w14:val="tx1"/>
            </w14:solidFill>
          </w14:textFill>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w:t>
            </w:r>
            <w:r>
              <w:rPr>
                <w:rFonts w:hint="eastAsia" w:ascii="仿宋" w:hAnsi="仿宋" w:eastAsia="仿宋" w:cs="仿宋"/>
                <w:color w:val="000000" w:themeColor="text1"/>
                <w:kern w:val="0"/>
                <w:sz w:val="21"/>
                <w:szCs w:val="21"/>
                <w:lang w:eastAsia="zh-CN"/>
                <w14:textFill>
                  <w14:solidFill>
                    <w14:schemeClr w14:val="tx1"/>
                  </w14:solidFill>
                </w14:textFill>
              </w:rPr>
              <w:t>有关</w:t>
            </w:r>
            <w:r>
              <w:rPr>
                <w:rFonts w:hint="eastAsia" w:ascii="仿宋" w:hAnsi="仿宋" w:eastAsia="仿宋" w:cs="仿宋"/>
                <w:color w:val="000000" w:themeColor="text1"/>
                <w:kern w:val="0"/>
                <w:sz w:val="21"/>
                <w:szCs w:val="21"/>
                <w14:textFill>
                  <w14:solidFill>
                    <w14:schemeClr w14:val="tx1"/>
                  </w14:solidFill>
                </w14:textFill>
              </w:rPr>
              <w:t>规定</w:t>
            </w:r>
            <w:r>
              <w:rPr>
                <w:rFonts w:hint="eastAsia" w:ascii="仿宋" w:hAnsi="仿宋" w:eastAsia="仿宋" w:cs="仿宋"/>
                <w:color w:val="000000" w:themeColor="text1"/>
                <w:kern w:val="0"/>
                <w:sz w:val="21"/>
                <w:szCs w:val="21"/>
                <w:lang w:eastAsia="zh-CN"/>
                <w14:textFill>
                  <w14:solidFill>
                    <w14:schemeClr w14:val="tx1"/>
                  </w14:solidFill>
                </w14:textFill>
              </w:rPr>
              <w:t>为提高</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福利而发放的奖励性补贴</w:t>
            </w:r>
            <w:r>
              <w:rPr>
                <w:rFonts w:hint="eastAsia" w:ascii="仿宋" w:hAnsi="仿宋" w:eastAsia="仿宋" w:cs="仿宋"/>
                <w:color w:val="000000" w:themeColor="text1"/>
                <w:sz w:val="21"/>
                <w:szCs w:val="21"/>
                <w:highlight w:val="none"/>
                <w14:textFill>
                  <w14:solidFill>
                    <w14:schemeClr w14:val="tx1"/>
                  </w14:solidFill>
                </w14:textFill>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rightChars="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年初无预算，年中追加的经费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0"/>
                <w:sz w:val="21"/>
                <w:szCs w:val="21"/>
                <w14:textFill>
                  <w14:solidFill>
                    <w14:schemeClr w14:val="tx1"/>
                  </w14:solidFill>
                </w14:textFill>
              </w:rPr>
              <w:t>按照</w:t>
            </w:r>
            <w:r>
              <w:rPr>
                <w:rFonts w:hint="eastAsia" w:ascii="仿宋" w:hAnsi="仿宋" w:eastAsia="仿宋" w:cs="仿宋"/>
                <w:color w:val="000000" w:themeColor="text1"/>
                <w:kern w:val="0"/>
                <w:sz w:val="21"/>
                <w:szCs w:val="21"/>
                <w:lang w:eastAsia="zh-CN"/>
                <w14:textFill>
                  <w14:solidFill>
                    <w14:schemeClr w14:val="tx1"/>
                  </w14:solidFill>
                </w14:textFill>
              </w:rPr>
              <w:t>有关</w:t>
            </w:r>
            <w:r>
              <w:rPr>
                <w:rFonts w:hint="eastAsia" w:ascii="仿宋" w:hAnsi="仿宋" w:eastAsia="仿宋" w:cs="仿宋"/>
                <w:color w:val="000000" w:themeColor="text1"/>
                <w:kern w:val="0"/>
                <w:sz w:val="21"/>
                <w:szCs w:val="21"/>
                <w14:textFill>
                  <w14:solidFill>
                    <w14:schemeClr w14:val="tx1"/>
                  </w14:solidFill>
                </w14:textFill>
              </w:rPr>
              <w:t>规定</w:t>
            </w:r>
            <w:r>
              <w:rPr>
                <w:rFonts w:hint="eastAsia" w:ascii="仿宋" w:hAnsi="仿宋" w:eastAsia="仿宋" w:cs="仿宋"/>
                <w:color w:val="000000" w:themeColor="text1"/>
                <w:kern w:val="0"/>
                <w:sz w:val="21"/>
                <w:szCs w:val="21"/>
                <w:lang w:eastAsia="zh-CN"/>
                <w14:textFill>
                  <w14:solidFill>
                    <w14:schemeClr w14:val="tx1"/>
                  </w14:solidFill>
                </w14:textFill>
              </w:rPr>
              <w:t>为提高</w:t>
            </w:r>
            <w:r>
              <w:rPr>
                <w:rFonts w:hint="eastAsia" w:ascii="仿宋" w:hAnsi="仿宋" w:eastAsia="仿宋" w:cs="仿宋"/>
                <w:color w:val="000000" w:themeColor="text1"/>
                <w:kern w:val="0"/>
                <w:sz w:val="21"/>
                <w:szCs w:val="21"/>
                <w14:textFill>
                  <w14:solidFill>
                    <w14:schemeClr w14:val="tx1"/>
                  </w14:solidFill>
                </w14:textFill>
              </w:rPr>
              <w:t>职工</w:t>
            </w:r>
            <w:r>
              <w:rPr>
                <w:rFonts w:hint="eastAsia" w:ascii="仿宋" w:hAnsi="仿宋" w:eastAsia="仿宋" w:cs="仿宋"/>
                <w:color w:val="000000" w:themeColor="text1"/>
                <w:kern w:val="0"/>
                <w:sz w:val="21"/>
                <w:szCs w:val="21"/>
                <w:lang w:eastAsia="zh-CN"/>
                <w14:textFill>
                  <w14:solidFill>
                    <w14:schemeClr w14:val="tx1"/>
                  </w14:solidFill>
                </w14:textFill>
              </w:rPr>
              <w:t>福利而发放的奖励性补贴</w:t>
            </w:r>
            <w:r>
              <w:rPr>
                <w:rFonts w:hint="eastAsia" w:ascii="仿宋" w:hAnsi="仿宋" w:eastAsia="仿宋" w:cs="仿宋"/>
                <w:color w:val="000000" w:themeColor="text1"/>
                <w:sz w:val="21"/>
                <w:szCs w:val="21"/>
                <w:highlight w:val="none"/>
                <w14:textFill>
                  <w14:solidFill>
                    <w14:schemeClr w14:val="tx1"/>
                  </w14:solidFill>
                </w14:textFill>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rightChars="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年初无预算，年中追加的经费</w:t>
            </w: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环江毛南族自治县大数据发展局2022年度一般公共预算财政拨款基本支出</w:t>
      </w:r>
      <w:r>
        <w:rPr>
          <w:rFonts w:ascii="仿宋" w:hAnsi="仿宋" w:eastAsia="仿宋" w:cs="仿宋"/>
          <w:sz w:val="32"/>
          <w:u w:color="auto"/>
        </w:rPr>
        <w:t>135.01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122.69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12.32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121.25万元，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的</w:t>
      </w:r>
      <w:r>
        <w:rPr>
          <w:rFonts w:hint="eastAsia" w:ascii="仿宋" w:hAnsi="仿宋" w:eastAsia="仿宋" w:cs="仿宋"/>
          <w:sz w:val="32"/>
          <w:szCs w:val="32"/>
          <w:highlight w:val="none"/>
        </w:rPr>
        <w:t>92.65%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主要原因是：2021年底有一人退休，工资、社保、</w:t>
      </w:r>
      <w:r>
        <w:rPr>
          <w:rFonts w:hint="eastAsia" w:ascii="仿宋" w:hAnsi="仿宋" w:eastAsia="仿宋"/>
          <w:color w:val="000000" w:themeColor="text1"/>
          <w:sz w:val="32"/>
          <w:szCs w:val="32"/>
          <w:highlight w:val="none"/>
          <w14:textFill>
            <w14:solidFill>
              <w14:schemeClr w14:val="tx1"/>
            </w14:solidFill>
          </w14:textFill>
        </w:rPr>
        <w:t>住房保障支出</w:t>
      </w:r>
      <w:r>
        <w:rPr>
          <w:rFonts w:hint="eastAsia" w:ascii="仿宋" w:hAnsi="仿宋" w:eastAsia="仿宋" w:cs="仿宋"/>
          <w:color w:val="000000" w:themeColor="text1"/>
          <w:kern w:val="0"/>
          <w:sz w:val="32"/>
          <w:szCs w:val="32"/>
          <w:lang w:eastAsia="zh-CN"/>
          <w14:textFill>
            <w14:solidFill>
              <w14:schemeClr w14:val="tx1"/>
            </w14:solidFill>
          </w14:textFill>
        </w:rPr>
        <w:t>相应减少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33.65万元，30102津贴补贴17.45万元，30103奖金30.79万元，30106伙食补助费1.40万元，30108机关事业单位基本养老保险缴费8.24万元，30110职工基本医疗保险缴费3.38万元，30112其他社会保障缴费0.10万元，30113住房公积金8.56万元，30114医疗费0.10万元，30199其他工资福利支出17.57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12.32万元，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100.41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eastAsia="zh-CN"/>
        </w:rPr>
        <w:t>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主要原因是：资金四舍五入造成微小差异。</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30205水费0.01万元，30206电费0.56万元，30207邮电费1.09万元，30211差旅费1.16万元，30213维修（护）费0.27万元，30226劳务费1.10万元，30228工会经费1.82万元，30239其他交通费用6.30万元。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1.44万元，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236.07%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主要原因是：2021年底有一人退休，2022年度追加一名退休人员生活补助。</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30305生活补助1.42万元，30309奖励金0.01万元。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726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环江毛南族自治县大数据发展局</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环江毛南族自治县大数据发展局2022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环江毛南族自治县大数据发展局</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p>
    <w:p>
      <w:pPr>
        <w:jc w:val="both"/>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1.06</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增加1.06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主要原因是：预算资金不足（短收），2021年度的公务接待费全部未能支付，2022年度的公务接待费包含上一年度的公务接待费。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1.06</w:t>
      </w:r>
      <w:r>
        <w:rPr>
          <w:rFonts w:hint="eastAsia" w:ascii="仿宋" w:hAnsi="仿宋" w:eastAsia="仿宋" w:cs="仿宋"/>
          <w:sz w:val="32"/>
          <w:szCs w:val="32"/>
          <w:highlight w:val="none"/>
        </w:rPr>
        <w:t>万元。</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widowControl w:val="0"/>
        <w:numPr>
          <w:ilvl w:val="0"/>
          <w:numId w:val="0"/>
        </w:numPr>
        <w:suppressLineNumbers w:val="0"/>
        <w:spacing w:before="0" w:beforeAutospacing="0" w:after="0" w:afterAutospacing="0"/>
        <w:ind w:left="420" w:leftChars="0" w:right="0" w:rightChars="0"/>
        <w:jc w:val="both"/>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14:textFill>
            <w14:solidFill>
              <w14:schemeClr w14:val="tx1"/>
            </w14:solidFill>
          </w14:textFill>
        </w:rPr>
        <w:t>决算</w:t>
      </w:r>
      <w:r>
        <w:rPr>
          <w:rFonts w:hint="eastAsia" w:ascii="仿宋" w:hAnsi="仿宋" w:eastAsia="仿宋" w:cs="仿宋"/>
          <w:color w:val="000000" w:themeColor="text1"/>
          <w:sz w:val="32"/>
          <w:szCs w:val="32"/>
          <w:highlight w:val="none"/>
          <w:lang w:eastAsia="zh-CN"/>
          <w14:textFill>
            <w14:solidFill>
              <w14:schemeClr w14:val="tx1"/>
            </w14:solidFill>
          </w14:textFill>
        </w:rPr>
        <w:t>与</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无差异。</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，全年因公出国（境）团</w:t>
      </w:r>
      <w:r>
        <w:rPr>
          <w:rFonts w:hint="eastAsia" w:ascii="仿宋" w:hAnsi="仿宋" w:eastAsia="仿宋" w:cs="仿宋"/>
          <w:sz w:val="32"/>
          <w:szCs w:val="32"/>
          <w:highlight w:val="none"/>
        </w:rPr>
        <w:t>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5"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本部门无公务用车购置</w:t>
      </w:r>
      <w:bookmarkEnd w:id="5"/>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w:t>
      </w:r>
      <w:r>
        <w:rPr>
          <w:rFonts w:hint="eastAsia" w:ascii="仿宋" w:hAnsi="仿宋" w:eastAsia="仿宋" w:cs="仿宋"/>
          <w:sz w:val="32"/>
          <w:szCs w:val="32"/>
          <w:highlight w:val="none"/>
        </w:rPr>
        <w:t>公务用车运行维护支</w:t>
      </w:r>
      <w:r>
        <w:rPr>
          <w:rFonts w:hint="eastAsia" w:ascii="仿宋" w:hAnsi="仿宋" w:eastAsia="仿宋" w:cs="仿宋"/>
          <w:color w:val="000000" w:themeColor="text1"/>
          <w:sz w:val="32"/>
          <w:szCs w:val="32"/>
          <w:highlight w:val="none"/>
          <w14:textFill>
            <w14:solidFill>
              <w14:schemeClr w14:val="tx1"/>
            </w14:solidFill>
          </w14:textFill>
        </w:rPr>
        <w:t>出。</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1.06</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增加1.06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主要原因是：预算资金不足（短收），2021年度的公务接待费全部未能支付，2022年度的公务接待费包含上一年度的公务接待费。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95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both"/>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12.32</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增加0.05</w:t>
      </w:r>
      <w:r>
        <w:rPr>
          <w:rFonts w:hint="eastAsia" w:ascii="仿宋" w:hAnsi="仿宋" w:eastAsia="仿宋" w:cs="仿宋"/>
          <w:sz w:val="32"/>
          <w:szCs w:val="32"/>
          <w:highlight w:val="none"/>
        </w:rPr>
        <w:t>万元，</w:t>
      </w:r>
      <w:r>
        <w:rPr>
          <w:rFonts w:ascii="仿宋" w:hAnsi="仿宋" w:eastAsia="仿宋" w:cs="仿宋"/>
          <w:sz w:val="32"/>
          <w:szCs w:val="32"/>
          <w:highlight w:val="none"/>
        </w:rPr>
        <w:t>增长0.41%</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增加1.72</w:t>
      </w:r>
      <w:r>
        <w:rPr>
          <w:rFonts w:hint="eastAsia" w:ascii="仿宋" w:hAnsi="仿宋" w:eastAsia="仿宋" w:cs="仿宋"/>
          <w:sz w:val="32"/>
          <w:szCs w:val="32"/>
          <w:highlight w:val="none"/>
        </w:rPr>
        <w:t>万元，</w:t>
      </w:r>
      <w:r>
        <w:rPr>
          <w:rFonts w:ascii="仿宋" w:hAnsi="仿宋" w:eastAsia="仿宋" w:cs="仿宋"/>
          <w:sz w:val="32"/>
          <w:szCs w:val="32"/>
          <w:highlight w:val="none"/>
        </w:rPr>
        <w:t>增长16.23%</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单位工作职责增加，办公费、电费、差旅费支出相应</w:t>
      </w:r>
      <w:r>
        <w:rPr>
          <w:rFonts w:hint="eastAsia" w:ascii="仿宋" w:hAnsi="仿宋" w:eastAsia="仿宋" w:cs="仿宋"/>
          <w:color w:val="000000" w:themeColor="text1"/>
          <w:sz w:val="32"/>
          <w:szCs w:val="32"/>
          <w:highlight w:val="none"/>
          <w14:textFill>
            <w14:solidFill>
              <w14:schemeClr w14:val="tx1"/>
            </w14:solidFill>
          </w14:textFill>
        </w:rPr>
        <w:t>增加</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263.17</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263.17</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468.64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组织对“党支部组织生活费”等</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468.64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142.28</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468.64</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431.40</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92.05</w:t>
      </w:r>
      <w:r>
        <w:rPr>
          <w:rFonts w:hint="eastAsia" w:ascii="仿宋" w:hAnsi="仿宋" w:eastAsia="仿宋" w:cs="仿宋"/>
          <w:color w:val="000000" w:themeColor="text1"/>
          <w:sz w:val="32"/>
          <w:szCs w:val="32"/>
          <w14:textFill>
            <w14:solidFill>
              <w14:schemeClr w14:val="tx1"/>
            </w14:solidFill>
          </w14:textFill>
        </w:rPr>
        <w:t>%，自评结论：一等。</w:t>
      </w:r>
    </w:p>
    <w:p>
      <w:p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652.47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285.35</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652.47</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611.26</w:t>
      </w:r>
      <w:r>
        <w:rPr>
          <w:rFonts w:hint="eastAsia" w:ascii="仿宋" w:hAnsi="仿宋" w:eastAsia="仿宋" w:cs="仿宋"/>
          <w:color w:val="000000" w:themeColor="text1"/>
          <w:sz w:val="32"/>
          <w:szCs w:val="32"/>
          <w14:textFill>
            <w14:solidFill>
              <w14:schemeClr w14:val="tx1"/>
            </w14:solidFill>
          </w14:textFill>
        </w:rPr>
        <w:t>万元，完成执行率9</w:t>
      </w:r>
      <w:r>
        <w:rPr>
          <w:rFonts w:hint="eastAsia" w:ascii="仿宋" w:hAnsi="仿宋" w:eastAsia="仿宋" w:cs="仿宋"/>
          <w:color w:val="000000" w:themeColor="text1"/>
          <w:sz w:val="32"/>
          <w:szCs w:val="32"/>
          <w:lang w:val="en-US" w:eastAsia="zh-CN"/>
          <w14:textFill>
            <w14:solidFill>
              <w14:schemeClr w14:val="tx1"/>
            </w14:solidFill>
          </w14:textFill>
        </w:rPr>
        <w:t>3.68</w:t>
      </w:r>
      <w:r>
        <w:rPr>
          <w:rFonts w:hint="eastAsia" w:ascii="仿宋" w:hAnsi="仿宋" w:eastAsia="仿宋" w:cs="仿宋"/>
          <w:color w:val="000000" w:themeColor="text1"/>
          <w:sz w:val="32"/>
          <w:szCs w:val="32"/>
          <w14:textFill>
            <w14:solidFill>
              <w14:schemeClr w14:val="tx1"/>
            </w14:solidFill>
          </w14:textFill>
        </w:rPr>
        <w:t>%，自评结论：一等。</w:t>
      </w:r>
    </w:p>
    <w:p>
      <w:pPr>
        <w:numPr>
          <w:ilvl w:val="0"/>
          <w:numId w:val="2"/>
        </w:num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我部门根据年初设定的绩效目标，党支部组织生活费项目自评得分为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96.24</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预算资金不足（短收），资金拨付和支出进度慢</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有</w:t>
      </w:r>
      <w:r>
        <w:rPr>
          <w:rFonts w:hint="eastAsia" w:ascii="仿宋" w:hAnsi="仿宋" w:eastAsia="仿宋" w:cs="仿宋"/>
          <w:color w:val="000000" w:themeColor="text1"/>
          <w:sz w:val="32"/>
          <w:szCs w:val="32"/>
          <w:lang w:val="en-US" w:eastAsia="zh-CN"/>
          <w14:textFill>
            <w14:solidFill>
              <w14:schemeClr w14:val="tx1"/>
            </w14:solidFill>
          </w14:textFill>
        </w:rPr>
        <w:t>2名党员流动到外地，无法参加党组织民主生活会</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加快资金拨付和支出进度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动员流动党员回到党组织所在地参加党组织活动</w:t>
      </w:r>
      <w:r>
        <w:rPr>
          <w:rFonts w:hint="eastAsia" w:ascii="仿宋" w:hAnsi="仿宋" w:eastAsia="仿宋" w:cs="仿宋"/>
          <w:color w:val="000000" w:themeColor="text1"/>
          <w:sz w:val="32"/>
          <w:szCs w:val="32"/>
          <w14:textFill>
            <w14:solidFill>
              <w14:schemeClr w14:val="tx1"/>
            </w14:solidFill>
          </w14:textFill>
        </w:rPr>
        <w:t>。电子政务外网平台运维费项目自评得分为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预算资金不足（短收），资金拨付和支出进度慢</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网络偶尔短暂不畅通</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加快资金拨付和支出进度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督促移动和电信公司加强网络技术服务，降低故障率，提高办公效率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行政审批和“放管服”工作经费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96.23</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预算资金不足（短收），资金拨付和支出进度慢</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简政放权、</w:t>
      </w:r>
      <w:r>
        <w:rPr>
          <w:rFonts w:hint="eastAsia" w:ascii="仿宋" w:hAnsi="仿宋" w:eastAsia="仿宋" w:cs="仿宋"/>
          <w:color w:val="000000" w:themeColor="text1"/>
          <w:sz w:val="32"/>
          <w:szCs w:val="32"/>
          <w:lang w:val="en-US" w:eastAsia="zh-CN"/>
          <w14:textFill>
            <w14:solidFill>
              <w14:schemeClr w14:val="tx1"/>
            </w14:solidFill>
          </w14:textFill>
        </w:rPr>
        <w:t>优化服务不够不位</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加快资金拨付和支出进度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进一步简政放权，全面提高服务水平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电脑耗材费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未能全部利用环保材料</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有些材料未能做到循环使用</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有可以替代品的尽量用可替代品</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提高材料利用率</w:t>
      </w:r>
      <w:r>
        <w:rPr>
          <w:rFonts w:hint="eastAsia" w:ascii="仿宋" w:hAnsi="仿宋" w:eastAsia="仿宋" w:cs="仿宋"/>
          <w:color w:val="000000" w:themeColor="text1"/>
          <w:sz w:val="32"/>
          <w:szCs w:val="32"/>
          <w14:textFill>
            <w14:solidFill>
              <w14:schemeClr w14:val="tx1"/>
            </w14:solidFill>
          </w14:textFill>
        </w:rPr>
        <w:t>。电费项目自评得分为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分。发现的主要问题及原因：一是预算资金不足（短收），资金拨付和支出进度慢；二是</w:t>
      </w:r>
      <w:r>
        <w:rPr>
          <w:rFonts w:hint="eastAsia" w:ascii="仿宋" w:hAnsi="仿宋" w:eastAsia="仿宋" w:cs="仿宋"/>
          <w:color w:val="000000" w:themeColor="text1"/>
          <w:sz w:val="32"/>
          <w:szCs w:val="32"/>
          <w:lang w:eastAsia="zh-CN"/>
          <w14:textFill>
            <w14:solidFill>
              <w14:schemeClr w14:val="tx1"/>
            </w14:solidFill>
          </w14:textFill>
        </w:rPr>
        <w:t>偶尔断电</w:t>
      </w:r>
      <w:r>
        <w:rPr>
          <w:rFonts w:hint="eastAsia" w:ascii="仿宋" w:hAnsi="仿宋" w:eastAsia="仿宋" w:cs="仿宋"/>
          <w:color w:val="000000" w:themeColor="text1"/>
          <w:sz w:val="32"/>
          <w:szCs w:val="32"/>
          <w14:textFill>
            <w14:solidFill>
              <w14:schemeClr w14:val="tx1"/>
            </w14:solidFill>
          </w14:textFill>
        </w:rPr>
        <w:t>。下一步改进措施：一是加快资金拨付和支出进度；二是</w:t>
      </w:r>
      <w:r>
        <w:rPr>
          <w:rFonts w:hint="eastAsia" w:ascii="仿宋" w:hAnsi="仿宋" w:eastAsia="仿宋" w:cs="仿宋"/>
          <w:color w:val="000000" w:themeColor="text1"/>
          <w:sz w:val="32"/>
          <w:szCs w:val="32"/>
          <w:lang w:eastAsia="zh-CN"/>
          <w14:textFill>
            <w14:solidFill>
              <w14:schemeClr w14:val="tx1"/>
            </w14:solidFill>
          </w14:textFill>
        </w:rPr>
        <w:t>与供电公司沟通协调，加强合作，确保办公用电正常</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保洁用品</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97.65</w:t>
      </w:r>
      <w:r>
        <w:rPr>
          <w:rFonts w:hint="eastAsia" w:ascii="仿宋" w:hAnsi="仿宋" w:eastAsia="仿宋" w:cs="仿宋"/>
          <w:color w:val="000000" w:themeColor="text1"/>
          <w:sz w:val="32"/>
          <w:szCs w:val="32"/>
          <w14:textFill>
            <w14:solidFill>
              <w14:schemeClr w14:val="tx1"/>
            </w14:solidFill>
          </w14:textFill>
        </w:rPr>
        <w:t>分。发现的主要问题及原因：一是预算资金不足（短收），资金拨付和支出进度慢；二是</w:t>
      </w:r>
      <w:r>
        <w:rPr>
          <w:rFonts w:hint="eastAsia" w:ascii="仿宋" w:hAnsi="仿宋" w:eastAsia="仿宋" w:cs="仿宋"/>
          <w:color w:val="000000" w:themeColor="text1"/>
          <w:sz w:val="32"/>
          <w:szCs w:val="32"/>
          <w:lang w:eastAsia="zh-CN"/>
          <w14:textFill>
            <w14:solidFill>
              <w14:schemeClr w14:val="tx1"/>
            </w14:solidFill>
          </w14:textFill>
        </w:rPr>
        <w:t>使用办公用品不够节省</w:t>
      </w:r>
      <w:r>
        <w:rPr>
          <w:rFonts w:hint="eastAsia" w:ascii="仿宋" w:hAnsi="仿宋" w:eastAsia="仿宋" w:cs="仿宋"/>
          <w:color w:val="000000" w:themeColor="text1"/>
          <w:sz w:val="32"/>
          <w:szCs w:val="32"/>
          <w14:textFill>
            <w14:solidFill>
              <w14:schemeClr w14:val="tx1"/>
            </w14:solidFill>
          </w14:textFill>
        </w:rPr>
        <w:t>。下一步改进措施：一是加快资金拨付和支出进度；二是</w:t>
      </w:r>
      <w:r>
        <w:rPr>
          <w:rFonts w:hint="eastAsia" w:ascii="仿宋" w:hAnsi="仿宋" w:eastAsia="仿宋" w:cs="仿宋"/>
          <w:color w:val="000000" w:themeColor="text1"/>
          <w:sz w:val="32"/>
          <w:szCs w:val="32"/>
          <w:lang w:eastAsia="zh-CN"/>
          <w14:textFill>
            <w14:solidFill>
              <w14:schemeClr w14:val="tx1"/>
            </w14:solidFill>
          </w14:textFill>
        </w:rPr>
        <w:t>开展勤俭节约教育活动，提高干部职工节约意识，杜绝铺张浪费</w:t>
      </w:r>
      <w:r>
        <w:rPr>
          <w:rFonts w:hint="eastAsia" w:ascii="仿宋" w:hAnsi="仿宋" w:eastAsia="仿宋" w:cs="仿宋"/>
          <w:color w:val="000000" w:themeColor="text1"/>
          <w:sz w:val="32"/>
          <w:szCs w:val="32"/>
          <w14:textFill>
            <w14:solidFill>
              <w14:schemeClr w14:val="tx1"/>
            </w14:solidFill>
          </w14:textFill>
        </w:rPr>
        <w:t>。大数据局电话及网络费项目自评得分为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电话网络偶有不畅</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办公网络有时卡顿</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加强线路巡查测试，及时发现问题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加强线路检修</w:t>
      </w:r>
      <w:r>
        <w:rPr>
          <w:rFonts w:hint="eastAsia" w:ascii="仿宋" w:hAnsi="仿宋" w:eastAsia="仿宋" w:cs="仿宋"/>
          <w:color w:val="000000" w:themeColor="text1"/>
          <w:sz w:val="32"/>
          <w:szCs w:val="32"/>
          <w14:textFill>
            <w14:solidFill>
              <w14:schemeClr w14:val="tx1"/>
            </w14:solidFill>
          </w14:textFill>
        </w:rPr>
        <w:t>。水费项目自评得分为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94.14</w:t>
      </w:r>
      <w:r>
        <w:rPr>
          <w:rFonts w:hint="eastAsia" w:ascii="仿宋" w:hAnsi="仿宋" w:eastAsia="仿宋" w:cs="仿宋"/>
          <w:color w:val="000000" w:themeColor="text1"/>
          <w:sz w:val="32"/>
          <w:szCs w:val="32"/>
          <w14:textFill>
            <w14:solidFill>
              <w14:schemeClr w14:val="tx1"/>
            </w14:solidFill>
          </w14:textFill>
        </w:rPr>
        <w:t>分。发现的主要问题及原因：一是预算资金不足（短收），资金拨付和支出进度慢；二是</w:t>
      </w:r>
      <w:r>
        <w:rPr>
          <w:rFonts w:hint="eastAsia" w:ascii="仿宋" w:hAnsi="仿宋" w:eastAsia="仿宋" w:cs="仿宋"/>
          <w:color w:val="000000" w:themeColor="text1"/>
          <w:sz w:val="32"/>
          <w:szCs w:val="32"/>
          <w:lang w:eastAsia="zh-CN"/>
          <w14:textFill>
            <w14:solidFill>
              <w14:schemeClr w14:val="tx1"/>
            </w14:solidFill>
          </w14:textFill>
        </w:rPr>
        <w:t>偶有漏水现象</w:t>
      </w:r>
      <w:r>
        <w:rPr>
          <w:rFonts w:hint="eastAsia" w:ascii="仿宋" w:hAnsi="仿宋" w:eastAsia="仿宋" w:cs="仿宋"/>
          <w:color w:val="000000" w:themeColor="text1"/>
          <w:sz w:val="32"/>
          <w:szCs w:val="32"/>
          <w14:textFill>
            <w14:solidFill>
              <w14:schemeClr w14:val="tx1"/>
            </w14:solidFill>
          </w14:textFill>
        </w:rPr>
        <w:t xml:space="preserve"> 。下一步改进措施：一是加快资金拨付和支出进度；二是</w:t>
      </w:r>
      <w:r>
        <w:rPr>
          <w:rFonts w:hint="eastAsia" w:ascii="仿宋" w:hAnsi="仿宋" w:eastAsia="仿宋" w:cs="仿宋"/>
          <w:color w:val="000000" w:themeColor="text1"/>
          <w:sz w:val="32"/>
          <w:szCs w:val="32"/>
          <w:lang w:eastAsia="zh-CN"/>
          <w14:textFill>
            <w14:solidFill>
              <w14:schemeClr w14:val="tx1"/>
            </w14:solidFill>
          </w14:textFill>
        </w:rPr>
        <w:t>加强水管、冲水器检修，防止漏水浪费现象出现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保安保洁电工劳务费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分。发现的主要问题及原因：预算资金不足（短收），资金拨付和支出进度慢。下一步改进措施：加快资金拨付和支出进度</w:t>
      </w:r>
      <w:r>
        <w:rPr>
          <w:rFonts w:hint="eastAsia" w:ascii="仿宋" w:hAnsi="仿宋" w:eastAsia="仿宋" w:cs="仿宋"/>
          <w:color w:val="000000" w:themeColor="text1"/>
          <w:sz w:val="32"/>
          <w:szCs w:val="32"/>
          <w:lang w:eastAsia="zh-CN"/>
          <w14:textFill>
            <w14:solidFill>
              <w14:schemeClr w14:val="tx1"/>
            </w14:solidFill>
          </w14:textFill>
        </w:rPr>
        <w:t>，确保</w:t>
      </w:r>
      <w:r>
        <w:rPr>
          <w:rFonts w:hint="eastAsia" w:ascii="仿宋" w:hAnsi="仿宋" w:eastAsia="仿宋" w:cs="仿宋"/>
          <w:color w:val="000000" w:themeColor="text1"/>
          <w:sz w:val="32"/>
          <w:szCs w:val="32"/>
          <w:lang w:val="en-US" w:eastAsia="zh-CN"/>
          <w14:textFill>
            <w14:solidFill>
              <w14:schemeClr w14:val="tx1"/>
            </w14:solidFill>
          </w14:textFill>
        </w:rPr>
        <w:t>保安保洁电工工资发放到位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县乡村三级培训费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分。发现的主要问题及原因：一是预算资金不足（短收），资金拨付和支出进度慢；二是</w:t>
      </w:r>
      <w:r>
        <w:rPr>
          <w:rFonts w:hint="eastAsia" w:ascii="仿宋" w:hAnsi="仿宋" w:eastAsia="仿宋" w:cs="仿宋"/>
          <w:color w:val="000000" w:themeColor="text1"/>
          <w:sz w:val="32"/>
          <w:szCs w:val="32"/>
          <w:lang w:eastAsia="zh-CN"/>
          <w14:textFill>
            <w14:solidFill>
              <w14:schemeClr w14:val="tx1"/>
            </w14:solidFill>
          </w14:textFill>
        </w:rPr>
        <w:t>部分单位工作人员业务不精</w:t>
      </w:r>
      <w:r>
        <w:rPr>
          <w:rFonts w:hint="eastAsia" w:ascii="仿宋" w:hAnsi="仿宋" w:eastAsia="仿宋" w:cs="仿宋"/>
          <w:color w:val="000000" w:themeColor="text1"/>
          <w:sz w:val="32"/>
          <w:szCs w:val="32"/>
          <w14:textFill>
            <w14:solidFill>
              <w14:schemeClr w14:val="tx1"/>
            </w14:solidFill>
          </w14:textFill>
        </w:rPr>
        <w:t>。下一步改进措施：一是加快资金拨付和支出进度；二是</w:t>
      </w:r>
      <w:r>
        <w:rPr>
          <w:rFonts w:hint="eastAsia" w:ascii="仿宋" w:hAnsi="仿宋" w:eastAsia="仿宋" w:cs="仿宋"/>
          <w:color w:val="000000" w:themeColor="text1"/>
          <w:sz w:val="32"/>
          <w:szCs w:val="32"/>
          <w:lang w:eastAsia="zh-CN"/>
          <w14:textFill>
            <w14:solidFill>
              <w14:schemeClr w14:val="tx1"/>
            </w14:solidFill>
          </w14:textFill>
        </w:rPr>
        <w:t>加强业务培训，提高工作人员业务水平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村级政务中心网络费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 xml:space="preserve">100 </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办公网络偶有卡顿</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督促电信公司进行网络升级改造，保障村级办公网络畅通。</w:t>
      </w:r>
      <w:r>
        <w:rPr>
          <w:rFonts w:hint="eastAsia" w:ascii="仿宋" w:hAnsi="仿宋" w:eastAsia="仿宋" w:cs="仿宋"/>
          <w:color w:val="000000" w:themeColor="text1"/>
          <w:sz w:val="32"/>
          <w:szCs w:val="32"/>
          <w:lang w:val="en-US" w:eastAsia="zh-CN"/>
          <w14:textFill>
            <w14:solidFill>
              <w14:schemeClr w14:val="tx1"/>
            </w14:solidFill>
          </w14:textFill>
        </w:rPr>
        <w:t>环江县人民政府网站维护费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网站安全偶有漏洞</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加强网站安全管理，聘请技术人员进行监管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电子政务外网（备）用线路电信服务费、维护费及机房维护费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偶尔出现网络故障，无法办公</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督促电信和移动公司安排技术人员实时监控网络情况，发现问题及时检修，保障全县办公正常</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远程异地评标智慧调度和网上开标系统建设经费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98.13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预算资金不足（短收），资金拨付和支出进度慢</w:t>
      </w:r>
      <w:r>
        <w:rPr>
          <w:rFonts w:hint="eastAsia" w:ascii="仿宋" w:hAnsi="仿宋" w:eastAsia="仿宋" w:cs="仿宋"/>
          <w:color w:val="000000" w:themeColor="text1"/>
          <w:sz w:val="32"/>
          <w:szCs w:val="32"/>
          <w:lang w:eastAsia="zh-CN"/>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平台容纳有限，在些招投标项目进场需要等待排标</w:t>
      </w:r>
      <w:r>
        <w:rPr>
          <w:rFonts w:hint="eastAsia" w:ascii="仿宋" w:hAnsi="仿宋" w:eastAsia="仿宋" w:cs="仿宋"/>
          <w:color w:val="000000" w:themeColor="text1"/>
          <w:sz w:val="32"/>
          <w:szCs w:val="32"/>
          <w14:textFill>
            <w14:solidFill>
              <w14:schemeClr w14:val="tx1"/>
            </w14:solidFill>
          </w14:textFill>
        </w:rPr>
        <w:t>。下一步改进措施：一是加快资金拨付和支出进度</w:t>
      </w:r>
      <w:r>
        <w:rPr>
          <w:rFonts w:hint="eastAsia" w:ascii="仿宋" w:hAnsi="仿宋" w:eastAsia="仿宋" w:cs="仿宋"/>
          <w:color w:val="000000" w:themeColor="text1"/>
          <w:sz w:val="32"/>
          <w:szCs w:val="32"/>
          <w:lang w:eastAsia="zh-CN"/>
          <w14:textFill>
            <w14:solidFill>
              <w14:schemeClr w14:val="tx1"/>
            </w14:solidFill>
          </w14:textFill>
        </w:rPr>
        <w:t>；二是扩建交易平台</w:t>
      </w:r>
      <w:r>
        <w:rPr>
          <w:rFonts w:hint="eastAsia" w:ascii="仿宋" w:hAnsi="仿宋" w:eastAsia="仿宋" w:cs="仿宋"/>
          <w:color w:val="000000" w:themeColor="text1"/>
          <w:sz w:val="32"/>
          <w:szCs w:val="32"/>
          <w:lang w:val="en-US" w:eastAsia="zh-CN"/>
          <w14:textFill>
            <w14:solidFill>
              <w14:schemeClr w14:val="tx1"/>
            </w14:solidFill>
          </w14:textFill>
        </w:rPr>
        <w:t>。综合办公平台国产终端设备经费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98.82</w:t>
      </w:r>
      <w:r>
        <w:rPr>
          <w:rFonts w:hint="eastAsia" w:ascii="仿宋" w:hAnsi="仿宋" w:eastAsia="仿宋" w:cs="仿宋"/>
          <w:color w:val="000000" w:themeColor="text1"/>
          <w:sz w:val="32"/>
          <w:szCs w:val="32"/>
          <w14:textFill>
            <w14:solidFill>
              <w14:schemeClr w14:val="tx1"/>
            </w14:solidFill>
          </w14:textFill>
        </w:rPr>
        <w:t>分。发现的主要问题及原因：预算资金不足（短收），资金拨付和支出进度慢。下一步改进措施：</w:t>
      </w:r>
      <w:r>
        <w:rPr>
          <w:rFonts w:hint="eastAsia" w:ascii="仿宋" w:hAnsi="仿宋" w:eastAsia="仿宋" w:cs="仿宋"/>
          <w:color w:val="000000" w:themeColor="text1"/>
          <w:sz w:val="32"/>
          <w:szCs w:val="32"/>
          <w:lang w:eastAsia="zh-CN"/>
          <w14:textFill>
            <w14:solidFill>
              <w14:schemeClr w14:val="tx1"/>
            </w14:solidFill>
          </w14:textFill>
        </w:rPr>
        <w:t>加快资金拨付进度</w:t>
      </w: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分。发现的主要问题及原因：预算资金不足（短收），资金拨付和支出进度慢。下一步改进措施：</w:t>
      </w:r>
      <w:r>
        <w:rPr>
          <w:rFonts w:hint="eastAsia" w:ascii="仿宋" w:hAnsi="仿宋" w:eastAsia="仿宋" w:cs="仿宋"/>
          <w:color w:val="000000" w:themeColor="text1"/>
          <w:sz w:val="32"/>
          <w:szCs w:val="32"/>
          <w:lang w:eastAsia="zh-CN"/>
          <w14:textFill>
            <w14:solidFill>
              <w14:schemeClr w14:val="tx1"/>
            </w14:solidFill>
          </w14:textFill>
        </w:rPr>
        <w:t>加快资金拨付进度</w:t>
      </w:r>
      <w:r>
        <w:rPr>
          <w:rFonts w:hint="eastAsia" w:ascii="仿宋" w:hAnsi="仿宋" w:eastAsia="仿宋" w:cs="仿宋"/>
          <w:color w:val="000000" w:themeColor="text1"/>
          <w:sz w:val="32"/>
          <w:szCs w:val="32"/>
          <w:lang w:val="en-US" w:eastAsia="zh-CN"/>
          <w14:textFill>
            <w14:solidFill>
              <w14:schemeClr w14:val="tx1"/>
            </w14:solidFill>
          </w14:textFill>
        </w:rPr>
        <w:t>。办公费用</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有些能循环利用的办公用品未能做到循环利用</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使用办公用品不够节省</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加强工作人员循环利用教育，提高循环利用和环保意识</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开展勤俭节约教育活动，提高干部职工节约意识，杜绝铺张浪费</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公开的</w:t>
      </w:r>
      <w:r>
        <w:rPr>
          <w:rFonts w:hint="eastAsia" w:ascii="仿宋" w:hAnsi="仿宋" w:eastAsia="仿宋" w:cs="仿宋"/>
          <w:color w:val="000000" w:themeColor="text1"/>
          <w:sz w:val="32"/>
          <w:szCs w:val="32"/>
          <w14:textFill>
            <w14:solidFill>
              <w14:schemeClr w14:val="tx1"/>
            </w14:solidFill>
          </w14:textFill>
        </w:rPr>
        <w:t>《项目支出绩效自评表》</w:t>
      </w:r>
      <w:r>
        <w:rPr>
          <w:rFonts w:hint="eastAsia" w:ascii="仿宋" w:hAnsi="仿宋" w:eastAsia="仿宋" w:cs="仿宋"/>
          <w:color w:val="000000" w:themeColor="text1"/>
          <w:sz w:val="32"/>
          <w:szCs w:val="32"/>
          <w:lang w:eastAsia="zh-CN"/>
          <w14:textFill>
            <w14:solidFill>
              <w14:schemeClr w14:val="tx1"/>
            </w14:solidFill>
          </w14:textFill>
        </w:rPr>
        <w:t>共</w:t>
      </w:r>
      <w:r>
        <w:rPr>
          <w:rFonts w:hint="eastAsia" w:ascii="仿宋" w:hAnsi="仿宋" w:eastAsia="仿宋" w:cs="仿宋"/>
          <w:color w:val="000000" w:themeColor="text1"/>
          <w:sz w:val="32"/>
          <w:szCs w:val="32"/>
          <w:lang w:val="en-US" w:eastAsia="zh-CN"/>
          <w14:textFill>
            <w14:solidFill>
              <w14:schemeClr w14:val="tx1"/>
            </w14:solidFill>
          </w14:textFill>
        </w:rPr>
        <w:t>21个（附后，</w:t>
      </w:r>
      <w:r>
        <w:rPr>
          <w:rFonts w:hint="eastAsia" w:ascii="仿宋" w:hAnsi="仿宋" w:eastAsia="仿宋" w:cs="仿宋"/>
          <w:color w:val="000000" w:themeColor="text1"/>
          <w:sz w:val="32"/>
          <w:szCs w:val="32"/>
          <w:lang w:eastAsia="zh-CN"/>
          <w14:textFill>
            <w14:solidFill>
              <w14:schemeClr w14:val="tx1"/>
            </w14:solidFill>
          </w14:textFill>
        </w:rPr>
        <w:t>详见附件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both"/>
        <w:rPr>
          <w:rFonts w:hint="eastAsia" w:ascii="仿宋" w:hAnsi="仿宋" w:eastAsia="仿宋" w:cs="仿宋"/>
          <w:sz w:val="32"/>
          <w:szCs w:val="32"/>
          <w:highlight w:val="none"/>
        </w:rPr>
      </w:pPr>
      <w:bookmarkStart w:id="6" w:name="_GoBack"/>
      <w:bookmarkEnd w:id="6"/>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92859"/>
    <w:multiLevelType w:val="singleLevel"/>
    <w:tmpl w:val="D8F92859"/>
    <w:lvl w:ilvl="0" w:tentative="0">
      <w:start w:val="2"/>
      <w:numFmt w:val="decimal"/>
      <w:lvlText w:val="%1."/>
      <w:lvlJc w:val="left"/>
      <w:pPr>
        <w:tabs>
          <w:tab w:val="left" w:pos="312"/>
        </w:tabs>
      </w:p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F49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46D18"/>
    <w:rsid w:val="01565DA4"/>
    <w:rsid w:val="015F1951"/>
    <w:rsid w:val="020C171D"/>
    <w:rsid w:val="0216715F"/>
    <w:rsid w:val="028352AE"/>
    <w:rsid w:val="02E0291A"/>
    <w:rsid w:val="03020A00"/>
    <w:rsid w:val="03541703"/>
    <w:rsid w:val="035B4AE9"/>
    <w:rsid w:val="0465544F"/>
    <w:rsid w:val="04E54546"/>
    <w:rsid w:val="0536769A"/>
    <w:rsid w:val="05891508"/>
    <w:rsid w:val="05986704"/>
    <w:rsid w:val="05992762"/>
    <w:rsid w:val="05CF2054"/>
    <w:rsid w:val="05DB2305"/>
    <w:rsid w:val="062E0FB2"/>
    <w:rsid w:val="06F73936"/>
    <w:rsid w:val="070B0919"/>
    <w:rsid w:val="071E4749"/>
    <w:rsid w:val="07B0770E"/>
    <w:rsid w:val="08F01BD2"/>
    <w:rsid w:val="0942143F"/>
    <w:rsid w:val="09642C78"/>
    <w:rsid w:val="09BE680A"/>
    <w:rsid w:val="09D232AC"/>
    <w:rsid w:val="0A100FD0"/>
    <w:rsid w:val="0A415C80"/>
    <w:rsid w:val="0A503B7A"/>
    <w:rsid w:val="0A620CAA"/>
    <w:rsid w:val="0B82302D"/>
    <w:rsid w:val="0D100297"/>
    <w:rsid w:val="0D130DFF"/>
    <w:rsid w:val="0D202B45"/>
    <w:rsid w:val="0D470FDC"/>
    <w:rsid w:val="0D8670CB"/>
    <w:rsid w:val="0E3B1187"/>
    <w:rsid w:val="0E9C6708"/>
    <w:rsid w:val="0EB12E2A"/>
    <w:rsid w:val="0EC15CE0"/>
    <w:rsid w:val="0F002BA9"/>
    <w:rsid w:val="0F8D4C87"/>
    <w:rsid w:val="10505FAA"/>
    <w:rsid w:val="105A7962"/>
    <w:rsid w:val="105F7E7E"/>
    <w:rsid w:val="1081305B"/>
    <w:rsid w:val="10A77A62"/>
    <w:rsid w:val="115971B4"/>
    <w:rsid w:val="11AD150E"/>
    <w:rsid w:val="11E56B5B"/>
    <w:rsid w:val="120B6FD0"/>
    <w:rsid w:val="12516798"/>
    <w:rsid w:val="125C77AB"/>
    <w:rsid w:val="135463C6"/>
    <w:rsid w:val="137455F6"/>
    <w:rsid w:val="13B02C1E"/>
    <w:rsid w:val="13FE2870"/>
    <w:rsid w:val="143E43CD"/>
    <w:rsid w:val="14663E36"/>
    <w:rsid w:val="146D1D12"/>
    <w:rsid w:val="14CB726E"/>
    <w:rsid w:val="14D058B3"/>
    <w:rsid w:val="15460CB0"/>
    <w:rsid w:val="165669B3"/>
    <w:rsid w:val="16B75753"/>
    <w:rsid w:val="16E52D9F"/>
    <w:rsid w:val="173F21B4"/>
    <w:rsid w:val="17AC4D67"/>
    <w:rsid w:val="17E92249"/>
    <w:rsid w:val="17F760DF"/>
    <w:rsid w:val="184B7D68"/>
    <w:rsid w:val="185041F0"/>
    <w:rsid w:val="18D269DB"/>
    <w:rsid w:val="18D304F1"/>
    <w:rsid w:val="19622BC3"/>
    <w:rsid w:val="196C6D74"/>
    <w:rsid w:val="1985358E"/>
    <w:rsid w:val="198D747A"/>
    <w:rsid w:val="19F32577"/>
    <w:rsid w:val="19F45B80"/>
    <w:rsid w:val="1A644D3A"/>
    <w:rsid w:val="1AA475A6"/>
    <w:rsid w:val="1B0C078D"/>
    <w:rsid w:val="1B2B31E2"/>
    <w:rsid w:val="1B4C295A"/>
    <w:rsid w:val="1B6E7990"/>
    <w:rsid w:val="1B973C63"/>
    <w:rsid w:val="1BA1001E"/>
    <w:rsid w:val="1BBC5511"/>
    <w:rsid w:val="1C9B221C"/>
    <w:rsid w:val="1CA86413"/>
    <w:rsid w:val="1CE92A10"/>
    <w:rsid w:val="1D317259"/>
    <w:rsid w:val="1D6B3F53"/>
    <w:rsid w:val="1E3C6958"/>
    <w:rsid w:val="1E664F5B"/>
    <w:rsid w:val="1E6A20D2"/>
    <w:rsid w:val="1EB34BE1"/>
    <w:rsid w:val="1F8846CE"/>
    <w:rsid w:val="1FE26B5A"/>
    <w:rsid w:val="200A2D12"/>
    <w:rsid w:val="201B628A"/>
    <w:rsid w:val="201C1DB9"/>
    <w:rsid w:val="201D6D3F"/>
    <w:rsid w:val="204D64F5"/>
    <w:rsid w:val="20AC1AA6"/>
    <w:rsid w:val="20D81670"/>
    <w:rsid w:val="215E639F"/>
    <w:rsid w:val="215E734B"/>
    <w:rsid w:val="21701F90"/>
    <w:rsid w:val="21820804"/>
    <w:rsid w:val="21B45B5C"/>
    <w:rsid w:val="21EC3183"/>
    <w:rsid w:val="220A0AE9"/>
    <w:rsid w:val="225D726E"/>
    <w:rsid w:val="225E72CD"/>
    <w:rsid w:val="229C47D4"/>
    <w:rsid w:val="23305048"/>
    <w:rsid w:val="23B74027"/>
    <w:rsid w:val="23E434ED"/>
    <w:rsid w:val="23E45DF0"/>
    <w:rsid w:val="23F604A2"/>
    <w:rsid w:val="24362756"/>
    <w:rsid w:val="24641BC2"/>
    <w:rsid w:val="246E2F77"/>
    <w:rsid w:val="24D4317A"/>
    <w:rsid w:val="24F2272A"/>
    <w:rsid w:val="254B4E2B"/>
    <w:rsid w:val="25832019"/>
    <w:rsid w:val="26430DD2"/>
    <w:rsid w:val="26810F32"/>
    <w:rsid w:val="2762122A"/>
    <w:rsid w:val="27E22DFD"/>
    <w:rsid w:val="27F14200"/>
    <w:rsid w:val="281B645A"/>
    <w:rsid w:val="283A348C"/>
    <w:rsid w:val="283D7C94"/>
    <w:rsid w:val="287610F2"/>
    <w:rsid w:val="2880617F"/>
    <w:rsid w:val="28D31856"/>
    <w:rsid w:val="28D72411"/>
    <w:rsid w:val="290F2DF1"/>
    <w:rsid w:val="29480E03"/>
    <w:rsid w:val="2983634D"/>
    <w:rsid w:val="29D25B2C"/>
    <w:rsid w:val="2A2C67C1"/>
    <w:rsid w:val="2BB02055"/>
    <w:rsid w:val="2C575A56"/>
    <w:rsid w:val="2C9F6F43"/>
    <w:rsid w:val="2DCF5AB1"/>
    <w:rsid w:val="2DE2055F"/>
    <w:rsid w:val="2ED8336B"/>
    <w:rsid w:val="2F257714"/>
    <w:rsid w:val="2F3275E5"/>
    <w:rsid w:val="2F58713C"/>
    <w:rsid w:val="2F6973D6"/>
    <w:rsid w:val="2FD51F89"/>
    <w:rsid w:val="301B2C2C"/>
    <w:rsid w:val="30463541"/>
    <w:rsid w:val="30AA08EF"/>
    <w:rsid w:val="30D23D1C"/>
    <w:rsid w:val="31221CF5"/>
    <w:rsid w:val="31400178"/>
    <w:rsid w:val="31961F6A"/>
    <w:rsid w:val="31BC0B24"/>
    <w:rsid w:val="31D729D3"/>
    <w:rsid w:val="32036D1A"/>
    <w:rsid w:val="321E3342"/>
    <w:rsid w:val="32296F5A"/>
    <w:rsid w:val="327759C8"/>
    <w:rsid w:val="32FC18D5"/>
    <w:rsid w:val="33185FE3"/>
    <w:rsid w:val="337323F4"/>
    <w:rsid w:val="33873B20"/>
    <w:rsid w:val="33EE55C1"/>
    <w:rsid w:val="340D03F4"/>
    <w:rsid w:val="34EE2E36"/>
    <w:rsid w:val="352F4060"/>
    <w:rsid w:val="354D5B85"/>
    <w:rsid w:val="35584B93"/>
    <w:rsid w:val="35D963E6"/>
    <w:rsid w:val="36372F61"/>
    <w:rsid w:val="36777241"/>
    <w:rsid w:val="36F570EA"/>
    <w:rsid w:val="371E78D5"/>
    <w:rsid w:val="3743343A"/>
    <w:rsid w:val="376D32DF"/>
    <w:rsid w:val="37BE2D84"/>
    <w:rsid w:val="37FE3B6D"/>
    <w:rsid w:val="38194CD8"/>
    <w:rsid w:val="38A951DB"/>
    <w:rsid w:val="38B31605"/>
    <w:rsid w:val="39003F4F"/>
    <w:rsid w:val="393328E5"/>
    <w:rsid w:val="39A62C24"/>
    <w:rsid w:val="39C635AA"/>
    <w:rsid w:val="3A96252C"/>
    <w:rsid w:val="3AAC6B77"/>
    <w:rsid w:val="3B0D74E4"/>
    <w:rsid w:val="3B3955B9"/>
    <w:rsid w:val="3B7943C2"/>
    <w:rsid w:val="3BA23390"/>
    <w:rsid w:val="3BAF0A7B"/>
    <w:rsid w:val="3C07002B"/>
    <w:rsid w:val="3C2506B9"/>
    <w:rsid w:val="3CFD619E"/>
    <w:rsid w:val="3D0D152A"/>
    <w:rsid w:val="3D4A2A1A"/>
    <w:rsid w:val="3D4A629D"/>
    <w:rsid w:val="3D4B3D1F"/>
    <w:rsid w:val="3D625643"/>
    <w:rsid w:val="3DEC38A8"/>
    <w:rsid w:val="3DF62756"/>
    <w:rsid w:val="3E071ED4"/>
    <w:rsid w:val="3EC42D2E"/>
    <w:rsid w:val="3F1B7587"/>
    <w:rsid w:val="40751C4D"/>
    <w:rsid w:val="409C35D8"/>
    <w:rsid w:val="415725C5"/>
    <w:rsid w:val="41E57B4F"/>
    <w:rsid w:val="42791558"/>
    <w:rsid w:val="430116F2"/>
    <w:rsid w:val="432F26F6"/>
    <w:rsid w:val="43880F63"/>
    <w:rsid w:val="441C5A6F"/>
    <w:rsid w:val="44C44FCC"/>
    <w:rsid w:val="44CC7369"/>
    <w:rsid w:val="44CF2B6F"/>
    <w:rsid w:val="44EF1E27"/>
    <w:rsid w:val="453C66A3"/>
    <w:rsid w:val="457F5108"/>
    <w:rsid w:val="462B052A"/>
    <w:rsid w:val="465161EB"/>
    <w:rsid w:val="467576A4"/>
    <w:rsid w:val="46951B6B"/>
    <w:rsid w:val="46D66444"/>
    <w:rsid w:val="473906E7"/>
    <w:rsid w:val="47B425AF"/>
    <w:rsid w:val="484F022F"/>
    <w:rsid w:val="48733219"/>
    <w:rsid w:val="48E1779E"/>
    <w:rsid w:val="499140BE"/>
    <w:rsid w:val="49A34401"/>
    <w:rsid w:val="4A3E30AB"/>
    <w:rsid w:val="4A5F4669"/>
    <w:rsid w:val="4A8658D0"/>
    <w:rsid w:val="4AC14DAC"/>
    <w:rsid w:val="4AF62C56"/>
    <w:rsid w:val="4B4E19A3"/>
    <w:rsid w:val="4BAD69B7"/>
    <w:rsid w:val="4BBF46D3"/>
    <w:rsid w:val="4BEB0A1B"/>
    <w:rsid w:val="4C251FC6"/>
    <w:rsid w:val="4C3265F7"/>
    <w:rsid w:val="4CB074DF"/>
    <w:rsid w:val="4D154C85"/>
    <w:rsid w:val="4D5411DB"/>
    <w:rsid w:val="4D561478"/>
    <w:rsid w:val="4DAB09FB"/>
    <w:rsid w:val="4EB35ECE"/>
    <w:rsid w:val="4EE4617A"/>
    <w:rsid w:val="4F3533FC"/>
    <w:rsid w:val="4FB61D55"/>
    <w:rsid w:val="504D0FCF"/>
    <w:rsid w:val="508F4E24"/>
    <w:rsid w:val="509136C3"/>
    <w:rsid w:val="51326E43"/>
    <w:rsid w:val="51461E90"/>
    <w:rsid w:val="51463753"/>
    <w:rsid w:val="5186674D"/>
    <w:rsid w:val="51FD2858"/>
    <w:rsid w:val="52553A93"/>
    <w:rsid w:val="52CF79E9"/>
    <w:rsid w:val="52E4190F"/>
    <w:rsid w:val="53492636"/>
    <w:rsid w:val="53521F8B"/>
    <w:rsid w:val="535C08D2"/>
    <w:rsid w:val="537D36C3"/>
    <w:rsid w:val="53E22F47"/>
    <w:rsid w:val="540F0375"/>
    <w:rsid w:val="54522FF8"/>
    <w:rsid w:val="547E5829"/>
    <w:rsid w:val="54E71189"/>
    <w:rsid w:val="55450629"/>
    <w:rsid w:val="556D7822"/>
    <w:rsid w:val="56260D65"/>
    <w:rsid w:val="56692963"/>
    <w:rsid w:val="568B0F48"/>
    <w:rsid w:val="5691212F"/>
    <w:rsid w:val="56B85D12"/>
    <w:rsid w:val="56FB2042"/>
    <w:rsid w:val="57260908"/>
    <w:rsid w:val="5750174C"/>
    <w:rsid w:val="5786217B"/>
    <w:rsid w:val="57936D3D"/>
    <w:rsid w:val="57CA1416"/>
    <w:rsid w:val="57DC4BB3"/>
    <w:rsid w:val="58244A84"/>
    <w:rsid w:val="586D2206"/>
    <w:rsid w:val="58BA31BA"/>
    <w:rsid w:val="58DD7FD9"/>
    <w:rsid w:val="58EA3A6C"/>
    <w:rsid w:val="58EF2D91"/>
    <w:rsid w:val="59337A15"/>
    <w:rsid w:val="59810274"/>
    <w:rsid w:val="59A92BA5"/>
    <w:rsid w:val="59F43024"/>
    <w:rsid w:val="5A062F3F"/>
    <w:rsid w:val="5A130056"/>
    <w:rsid w:val="5A141E65"/>
    <w:rsid w:val="5A556541"/>
    <w:rsid w:val="5A6978B4"/>
    <w:rsid w:val="5B0D3AF1"/>
    <w:rsid w:val="5BCB73A7"/>
    <w:rsid w:val="5C0A270F"/>
    <w:rsid w:val="5C334FC4"/>
    <w:rsid w:val="5C3A6E47"/>
    <w:rsid w:val="5CA96A00"/>
    <w:rsid w:val="5CEA705B"/>
    <w:rsid w:val="5CF730BC"/>
    <w:rsid w:val="5E246282"/>
    <w:rsid w:val="5E5F0DCE"/>
    <w:rsid w:val="5E7F7895"/>
    <w:rsid w:val="5F820FCF"/>
    <w:rsid w:val="5FA40A7B"/>
    <w:rsid w:val="5FD56D29"/>
    <w:rsid w:val="5FEC7F3F"/>
    <w:rsid w:val="5FF067F2"/>
    <w:rsid w:val="5FF5765E"/>
    <w:rsid w:val="600317E9"/>
    <w:rsid w:val="60937300"/>
    <w:rsid w:val="60F74BC3"/>
    <w:rsid w:val="617D3BF8"/>
    <w:rsid w:val="61841F6A"/>
    <w:rsid w:val="61A85B43"/>
    <w:rsid w:val="61B52C5B"/>
    <w:rsid w:val="623007A9"/>
    <w:rsid w:val="623E52F2"/>
    <w:rsid w:val="624F2F20"/>
    <w:rsid w:val="62A173E0"/>
    <w:rsid w:val="62FD5ECD"/>
    <w:rsid w:val="637D7558"/>
    <w:rsid w:val="63B24C9F"/>
    <w:rsid w:val="63BB7B2D"/>
    <w:rsid w:val="63E324D3"/>
    <w:rsid w:val="64104931"/>
    <w:rsid w:val="644F19AC"/>
    <w:rsid w:val="648457C5"/>
    <w:rsid w:val="65282282"/>
    <w:rsid w:val="659D2AED"/>
    <w:rsid w:val="65A966C3"/>
    <w:rsid w:val="65AA4920"/>
    <w:rsid w:val="65AD3AAA"/>
    <w:rsid w:val="65E31D0B"/>
    <w:rsid w:val="668E08CF"/>
    <w:rsid w:val="67192A32"/>
    <w:rsid w:val="67694F1E"/>
    <w:rsid w:val="681B135B"/>
    <w:rsid w:val="6893229E"/>
    <w:rsid w:val="692D249D"/>
    <w:rsid w:val="69597934"/>
    <w:rsid w:val="696A0640"/>
    <w:rsid w:val="699356C4"/>
    <w:rsid w:val="69A10322"/>
    <w:rsid w:val="69A84C67"/>
    <w:rsid w:val="69C45FA2"/>
    <w:rsid w:val="69D55F77"/>
    <w:rsid w:val="69EF47D1"/>
    <w:rsid w:val="6A9816EF"/>
    <w:rsid w:val="6AD205CF"/>
    <w:rsid w:val="6AF51A88"/>
    <w:rsid w:val="6AFC4C97"/>
    <w:rsid w:val="6B1E73CA"/>
    <w:rsid w:val="6B567FE5"/>
    <w:rsid w:val="6B5A722E"/>
    <w:rsid w:val="6B7928A2"/>
    <w:rsid w:val="6B964DDC"/>
    <w:rsid w:val="6C5A7AD2"/>
    <w:rsid w:val="6C783074"/>
    <w:rsid w:val="6CB829EE"/>
    <w:rsid w:val="6CEE1C9F"/>
    <w:rsid w:val="6D3909BE"/>
    <w:rsid w:val="6D9E3F65"/>
    <w:rsid w:val="6D9E65C6"/>
    <w:rsid w:val="6DA81947"/>
    <w:rsid w:val="6DCD7D1E"/>
    <w:rsid w:val="6DF663E9"/>
    <w:rsid w:val="6E361083"/>
    <w:rsid w:val="6E465678"/>
    <w:rsid w:val="6EB66DE2"/>
    <w:rsid w:val="6EBD43BD"/>
    <w:rsid w:val="6ED3075F"/>
    <w:rsid w:val="6F0E60E2"/>
    <w:rsid w:val="6F2A2D4B"/>
    <w:rsid w:val="6F7C56F5"/>
    <w:rsid w:val="6F7D4C0E"/>
    <w:rsid w:val="6F8A0C1E"/>
    <w:rsid w:val="6FC54822"/>
    <w:rsid w:val="6FDE6227"/>
    <w:rsid w:val="703F45D4"/>
    <w:rsid w:val="70547956"/>
    <w:rsid w:val="715D6546"/>
    <w:rsid w:val="71602412"/>
    <w:rsid w:val="71BE069E"/>
    <w:rsid w:val="72401A80"/>
    <w:rsid w:val="72944B4C"/>
    <w:rsid w:val="72F737AD"/>
    <w:rsid w:val="7362505B"/>
    <w:rsid w:val="73686F64"/>
    <w:rsid w:val="73953409"/>
    <w:rsid w:val="73E069A3"/>
    <w:rsid w:val="745820F0"/>
    <w:rsid w:val="74AF2AFE"/>
    <w:rsid w:val="758F436B"/>
    <w:rsid w:val="777A3593"/>
    <w:rsid w:val="78104AA8"/>
    <w:rsid w:val="786E2ED7"/>
    <w:rsid w:val="78933AAC"/>
    <w:rsid w:val="78E257C5"/>
    <w:rsid w:val="78F45D01"/>
    <w:rsid w:val="794B35BE"/>
    <w:rsid w:val="797D61CD"/>
    <w:rsid w:val="79AC65A0"/>
    <w:rsid w:val="79D07A75"/>
    <w:rsid w:val="79F10230"/>
    <w:rsid w:val="79FE2930"/>
    <w:rsid w:val="7A9131A4"/>
    <w:rsid w:val="7ADD519D"/>
    <w:rsid w:val="7B0A3A31"/>
    <w:rsid w:val="7B3360ED"/>
    <w:rsid w:val="7B523204"/>
    <w:rsid w:val="7B7C1EA8"/>
    <w:rsid w:val="7BDF037E"/>
    <w:rsid w:val="7BF50948"/>
    <w:rsid w:val="7C7D2F74"/>
    <w:rsid w:val="7CB763AC"/>
    <w:rsid w:val="7CC678C0"/>
    <w:rsid w:val="7CE66A78"/>
    <w:rsid w:val="7D23564C"/>
    <w:rsid w:val="7D5E062D"/>
    <w:rsid w:val="7D897FB0"/>
    <w:rsid w:val="7DF76CD8"/>
    <w:rsid w:val="7E0A7F58"/>
    <w:rsid w:val="7EEB1F98"/>
    <w:rsid w:val="7F497674"/>
    <w:rsid w:val="7F695C26"/>
    <w:rsid w:val="7F8E2A25"/>
    <w:rsid w:val="7FBE2E21"/>
    <w:rsid w:val="7FCF62D3"/>
    <w:rsid w:val="7FE536E9"/>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3"/>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611.26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261.62</c:v>
                </c:pt>
                <c:pt idx="1">
                  <c:v>6.05</c:v>
                </c:pt>
                <c:pt idx="2">
                  <c:v>9.54</c:v>
                </c:pt>
                <c:pt idx="3">
                  <c:v>25.23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576.5</c:v>
                </c:pt>
                <c:pt idx="1">
                  <c:v>4.52</c:v>
                </c:pt>
                <c:pt idx="2">
                  <c:v>8.56</c:v>
                </c:pt>
                <c:pt idx="3">
                  <c:v>21.68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2010301</c:v>
                </c:pt>
                <c:pt idx="1">
                  <c:v>2010302</c:v>
                </c:pt>
                <c:pt idx="2">
                  <c:v>2012999</c:v>
                </c:pt>
                <c:pt idx="3">
                  <c:v>201x</c:v>
                </c:pt>
              </c:strCache>
            </c:strRef>
          </c:cat>
          <c:val>
            <c:numRef>
              <c:f>Sheet1!$B$2:$B$5</c:f>
              <c:numCache>
                <c:formatCode>General</c:formatCode>
                <c:ptCount val="4"/>
                <c:pt idx="0">
                  <c:v>528.88</c:v>
                </c:pt>
                <c:pt idx="1">
                  <c:v>45.8</c:v>
                </c:pt>
                <c:pt idx="2">
                  <c:v>1.82</c:v>
                </c:pt>
                <c:pt idx="3">
                  <c:v>576.5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4.52</c:v>
                </c:pt>
                <c:pt idx="1">
                  <c:v>4.52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8.56</c:v>
                </c:pt>
                <c:pt idx="1">
                  <c:v>8.56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21.68</c:v>
                </c:pt>
                <c:pt idx="1">
                  <c:v>21.68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33.65</c:v>
                </c:pt>
                <c:pt idx="1">
                  <c:v>17.45</c:v>
                </c:pt>
                <c:pt idx="2">
                  <c:v>30.79</c:v>
                </c:pt>
                <c:pt idx="3">
                  <c:v>1.4</c:v>
                </c:pt>
                <c:pt idx="4">
                  <c:v>0</c:v>
                </c:pt>
                <c:pt idx="5">
                  <c:v>8.24</c:v>
                </c:pt>
                <c:pt idx="6">
                  <c:v>0</c:v>
                </c:pt>
                <c:pt idx="7">
                  <c:v>3.38</c:v>
                </c:pt>
                <c:pt idx="8">
                  <c:v>0</c:v>
                </c:pt>
                <c:pt idx="9">
                  <c:v>0.1</c:v>
                </c:pt>
                <c:pt idx="10">
                  <c:v>8.56</c:v>
                </c:pt>
                <c:pt idx="11">
                  <c:v>0.1</c:v>
                </c:pt>
                <c:pt idx="12">
                  <c:v>17.57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0.01</c:v>
                </c:pt>
                <c:pt idx="5">
                  <c:v>0.56</c:v>
                </c:pt>
                <c:pt idx="6">
                  <c:v>1.09</c:v>
                </c:pt>
                <c:pt idx="7">
                  <c:v>0</c:v>
                </c:pt>
                <c:pt idx="8">
                  <c:v>0</c:v>
                </c:pt>
                <c:pt idx="9">
                  <c:v>1.16</c:v>
                </c:pt>
                <c:pt idx="10">
                  <c:v>0</c:v>
                </c:pt>
                <c:pt idx="11">
                  <c:v>0.27</c:v>
                </c:pt>
                <c:pt idx="12">
                  <c:v>0</c:v>
                </c:pt>
                <c:pt idx="13">
                  <c:v>0</c:v>
                </c:pt>
                <c:pt idx="14">
                  <c:v>0</c:v>
                </c:pt>
                <c:pt idx="15">
                  <c:v>0</c:v>
                </c:pt>
                <c:pt idx="16">
                  <c:v>0</c:v>
                </c:pt>
                <c:pt idx="17">
                  <c:v>0</c:v>
                </c:pt>
                <c:pt idx="18">
                  <c:v>0</c:v>
                </c:pt>
                <c:pt idx="19">
                  <c:v>1.1</c:v>
                </c:pt>
                <c:pt idx="20">
                  <c:v>0</c:v>
                </c:pt>
                <c:pt idx="21">
                  <c:v>1.82</c:v>
                </c:pt>
                <c:pt idx="22">
                  <c:v>0</c:v>
                </c:pt>
                <c:pt idx="23">
                  <c:v>0</c:v>
                </c:pt>
                <c:pt idx="24">
                  <c:v>6.3</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1.42</c:v>
                </c:pt>
                <c:pt idx="5">
                  <c:v>0</c:v>
                </c:pt>
                <c:pt idx="6">
                  <c:v>0</c:v>
                </c:pt>
                <c:pt idx="7">
                  <c:v>0</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2023-11-29T08:24:55Z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EE96AEC7145646CC8E6B27FBCD412603</vt:lpwstr>
  </property>
</Properties>
</file>