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6"/>
          <w:szCs w:val="36"/>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中共环江毛南族自治县委员会环江毛南族自治县人民政府信访局2022年度部门决算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中共环江毛南族自治县委员会环江毛南族自治县人民政府信访局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中共环江毛南族自治县委员会环江毛南族自治县人民政府信访局</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中共环江毛南族自治县委员会环江毛南族自治县人民政府信访局</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中共环江毛南族自治县委员会环江毛南族自治县人民政府信访局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56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（一）负责处理县内外群众通过信访渠道给县委、县人民政府及其领导同志的来信来电，接待来访。受理向县人民政府举报、投诉的行政案件。</w:t>
      </w:r>
    </w:p>
    <w:p>
      <w:pPr>
        <w:spacing w:line="56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二）承担督促检查领导同志信访批示件落实情况的责任，承办上级有关部门向县委、县人民政府转送、交办和县委、县人民政府领导同志批示交办的重要信访事项。负责向我县各乡（镇）各部门和单位交办、转办、移送信访事项，督促检查信访事项办理落实情况。</w:t>
      </w:r>
    </w:p>
    <w:p>
      <w:pPr>
        <w:spacing w:line="56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（三）负责向县委、县人民政府反映群众来信来电来访中提出的重要建议、意见和问题，综合研判信访信息，开展调查研究，提出完善有关政策、法律法规和解决信访问题的意见和建议。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（四）承担协调处理群众赴邕进京非正常上访的责任，负责组织协调处理跨乡（镇）、跨部门、跨行业的信访事项。</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（五）承担县人民政府负责的信访事项复查工作；指导复杂疑难信访事项的听证工作。</w:t>
      </w:r>
    </w:p>
    <w:p>
      <w:pPr>
        <w:spacing w:line="56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（六）协调、检查、指导全县信访工作；起草有关信访工作的指导性文件和规章制度、办法草案；对信访事项办理过程中存在的问题和不足，提出改进工作和责任追究的意见和建议。</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highlight w:val="none"/>
          <w:lang w:val="en-US" w:eastAsia="zh-CN"/>
        </w:rPr>
        <w:t>人员编制总数为9人，其中行政编制5人，事业编制4人，机关后勤服务中心聘用人员控制数0人。实有财政供养人数9人，其中行政在职5人，事业在职4人，离退休人员3人（其中离休0人）。</w:t>
      </w:r>
    </w:p>
    <w:p>
      <w:pPr>
        <w:jc w:val="both"/>
        <w:rPr>
          <w:rFonts w:hint="eastAsia"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中共环江毛南族自治县委员会环江毛南族自治县人民政府信访局</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广西河池市中共环江毛南族自治县委员会环江毛南族自治县人民政府信访局</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207.24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156.38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11.79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26.07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207.24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207.24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207.24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207.24</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广西河池市中共环江毛南族自治县委员会环江毛南族自治县人民政府信访局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207.24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207.24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156.38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156.38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政府办公厅（室）及相关机构事务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151.77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151.77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100.15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100.15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信访事务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20136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其他共产党事务支出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2013601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广西河池市中共环江毛南族自治县委员会环江毛南族自治县人民政府信访局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207.24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155.53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51.71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156.38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104.67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51.71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政府办公厅（室）及相关机构事务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102.89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48.88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100.15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100.15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信访事务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48.88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20136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其他共产党事务支出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2013601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11.79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11.79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11.79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广西河池市中共环江毛南族自治县委员会环江毛南族自治县人民政府信访局</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207.24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156.38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156.38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12.99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11.79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11.79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26.07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26.07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207.24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207.24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207.24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207.24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207.24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207.24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广西河池市中共环江毛南族自治县委员会环江毛南族自治县人民政府信访局</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207.24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155.53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51.71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156.38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104.67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51.71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政府办公厅（室）及相关机构事务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151.77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102.89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48.88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100.15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100.15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2010308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信访事务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48.88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20136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其他共产党事务支出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2013601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广西河池市中共环江毛南族自治县委员会环江毛南族自治县人民政府信访局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146.16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45.48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37.07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0.73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150.66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4.87</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广西河池市中共环江毛南族自治县委员会环江毛南族自治县人民政府信访局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rPr>
              <w:t>本部门202</w:t>
            </w:r>
            <w:r>
              <w:rPr>
                <w:rFonts w:hint="eastAsia" w:ascii="宋体" w:hAnsi="宋体" w:eastAsia="宋体" w:cs="宋体"/>
                <w:color w:val="000000"/>
                <w:kern w:val="0"/>
                <w:sz w:val="22"/>
                <w:lang w:val="en-US" w:eastAsia="zh-CN"/>
              </w:rPr>
              <w:t>2</w:t>
            </w:r>
            <w:r>
              <w:rPr>
                <w:rFonts w:hint="default" w:ascii="宋体" w:hAnsi="宋体" w:eastAsia="宋体" w:cs="宋体"/>
                <w:color w:val="000000"/>
                <w:kern w:val="0"/>
                <w:sz w:val="22"/>
              </w:rPr>
              <w:t>年度没有政府性基金资金收入，也没有政府性基金资金安排的支出，故本表无数据</w:t>
            </w:r>
            <w:r>
              <w:rPr>
                <w:rFonts w:hint="eastAsia" w:ascii="宋体" w:hAnsi="宋体" w:eastAsia="宋体" w:cs="宋体"/>
                <w:color w:val="000000"/>
                <w:kern w:val="0"/>
                <w:sz w:val="22"/>
              </w:rPr>
              <w:t>。</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广西河池市中共环江毛南族自治县委员会环江毛南族自治县人民政府信访局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widowControl/>
        <w:jc w:val="left"/>
        <w:textAlignment w:val="center"/>
        <w:rPr>
          <w:rFonts w:ascii="宋体" w:hAnsi="宋体" w:eastAsia="宋体" w:cs="宋体"/>
          <w:color w:val="000000"/>
          <w:kern w:val="0"/>
          <w:sz w:val="22"/>
        </w:rPr>
      </w:pPr>
      <w:r>
        <w:rPr>
          <w:rFonts w:ascii="宋体" w:hAnsi="宋体" w:eastAsia="宋体" w:cs="宋体"/>
          <w:color w:val="000000"/>
          <w:kern w:val="0"/>
          <w:sz w:val="22"/>
        </w:rPr>
        <w:t>本部门202</w:t>
      </w:r>
      <w:r>
        <w:rPr>
          <w:rFonts w:hint="eastAsia" w:ascii="宋体" w:hAnsi="宋体" w:eastAsia="宋体" w:cs="宋体"/>
          <w:color w:val="000000"/>
          <w:kern w:val="0"/>
          <w:sz w:val="22"/>
          <w:lang w:val="en-US" w:eastAsia="zh-CN"/>
        </w:rPr>
        <w:t>2</w:t>
      </w:r>
      <w:r>
        <w:rPr>
          <w:rFonts w:ascii="宋体" w:hAnsi="宋体" w:eastAsia="宋体" w:cs="宋体"/>
          <w:color w:val="000000"/>
          <w:kern w:val="0"/>
          <w:sz w:val="22"/>
        </w:rPr>
        <w:t>年度没有国有资本经营资金收入，也没有国有资本经营资金安排的支出，故本表无数据</w:t>
      </w:r>
      <w:r>
        <w:rPr>
          <w:rFonts w:hint="eastAsia" w:ascii="宋体" w:hAnsi="宋体" w:eastAsia="宋体" w:cs="宋体"/>
          <w:color w:val="000000"/>
          <w:kern w:val="0"/>
          <w:sz w:val="22"/>
        </w:rPr>
        <w:t>。</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广西河池市中共环江毛南族自治县委员会环江毛南族自治县人民政府信访局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sz w:val="22"/>
                <w:szCs w:val="22"/>
              </w:rPr>
              <w:t>本部门2022年度没有一般公共预算财政拨款“三公”经费收入，也没有一般公共预算财政拨款“三公”经费安排的支出，故本表无数据”。</w:t>
            </w: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中共环江毛南族自治县委员会环江毛南族自治县人民政府信访局</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207.24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减少31.33</w:t>
      </w:r>
      <w:r>
        <w:rPr>
          <w:rFonts w:hint="eastAsia" w:ascii="仿宋" w:hAnsi="仿宋" w:eastAsia="仿宋" w:cs="仿宋"/>
          <w:sz w:val="32"/>
          <w:szCs w:val="32"/>
          <w:highlight w:val="none"/>
        </w:rPr>
        <w:t>万元，</w:t>
      </w:r>
      <w:r>
        <w:rPr>
          <w:rFonts w:ascii="仿宋" w:hAnsi="仿宋" w:eastAsia="仿宋" w:cs="仿宋"/>
          <w:sz w:val="32"/>
          <w:u w:color="auto"/>
        </w:rPr>
        <w:t>下降13.13%</w:t>
      </w:r>
      <w:r>
        <w:rPr>
          <w:rFonts w:hint="eastAsia" w:ascii="仿宋" w:hAnsi="仿宋" w:eastAsia="仿宋" w:cs="仿宋"/>
          <w:sz w:val="32"/>
          <w:szCs w:val="32"/>
          <w:highlight w:val="none"/>
        </w:rPr>
        <w:t>，其中本年收入</w:t>
      </w:r>
      <w:r>
        <w:rPr>
          <w:rFonts w:ascii="仿宋" w:hAnsi="仿宋" w:eastAsia="仿宋" w:cs="仿宋"/>
          <w:sz w:val="32"/>
          <w:u w:color="auto"/>
        </w:rPr>
        <w:t>207.24</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207.24</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减少12.95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下降5.88%</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主要原因：主要原因2021年初有财政拨款结转和结余，2022年没有结余。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主要原因：本单位无</w:t>
      </w:r>
      <w:r>
        <w:rPr>
          <w:rFonts w:hint="eastAsia" w:ascii="仿宋" w:hAnsi="仿宋" w:eastAsia="仿宋" w:cs="仿宋"/>
          <w:kern w:val="2"/>
          <w:sz w:val="32"/>
          <w:szCs w:val="32"/>
          <w:highlight w:val="none"/>
          <w:lang w:val="en-US" w:eastAsia="zh-CN" w:bidi="ar"/>
        </w:rPr>
        <w:t>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w:t>
      </w:r>
      <w:r>
        <w:rPr>
          <w:rFonts w:hint="eastAsia" w:ascii="仿宋" w:hAnsi="仿宋" w:eastAsia="仿宋" w:cs="仿宋"/>
          <w:color w:val="auto"/>
          <w:kern w:val="2"/>
          <w:sz w:val="32"/>
          <w:szCs w:val="32"/>
          <w:highlight w:val="none"/>
          <w:lang w:val="en-US" w:eastAsia="zh-CN" w:bidi="ar"/>
        </w:rPr>
        <w:t>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减少18.38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w:t>
      </w:r>
      <w:r>
        <w:rPr>
          <w:rFonts w:hint="eastAsia" w:ascii="仿宋" w:hAnsi="仿宋" w:eastAsia="仿宋" w:cs="仿宋"/>
          <w:color w:val="auto"/>
          <w:kern w:val="2"/>
          <w:sz w:val="32"/>
          <w:szCs w:val="32"/>
          <w:highlight w:val="none"/>
          <w:lang w:val="en-US" w:eastAsia="zh-CN" w:bidi="ar"/>
        </w:rPr>
        <w:t>要原因：部分项目已在本年执行完毕，不需要结转至下年继续执行。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353435"/>
            <wp:effectExtent l="4445" t="4445" r="20955"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207.24</w:t>
      </w:r>
      <w:r>
        <w:rPr>
          <w:rFonts w:hint="eastAsia" w:ascii="仿宋" w:hAnsi="仿宋" w:eastAsia="仿宋" w:cs="仿宋"/>
          <w:sz w:val="32"/>
          <w:szCs w:val="32"/>
          <w:highlight w:val="none"/>
        </w:rPr>
        <w:t>万元，其中本年支出</w:t>
      </w:r>
      <w:r>
        <w:rPr>
          <w:rFonts w:ascii="仿宋" w:hAnsi="仿宋" w:eastAsia="仿宋" w:cs="仿宋"/>
          <w:sz w:val="32"/>
          <w:u w:color="auto"/>
        </w:rPr>
        <w:t>207.24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减少31.33</w:t>
      </w:r>
      <w:r>
        <w:rPr>
          <w:rFonts w:hint="eastAsia" w:ascii="仿宋" w:hAnsi="仿宋" w:eastAsia="仿宋" w:cs="仿宋"/>
          <w:sz w:val="32"/>
          <w:szCs w:val="32"/>
          <w:highlight w:val="none"/>
        </w:rPr>
        <w:t>万元，</w:t>
      </w:r>
      <w:r>
        <w:rPr>
          <w:rFonts w:ascii="仿宋" w:hAnsi="仿宋" w:eastAsia="仿宋" w:cs="仿宋"/>
          <w:sz w:val="32"/>
          <w:u w:color="auto"/>
        </w:rPr>
        <w:t>下降13.13%</w:t>
      </w:r>
      <w:r>
        <w:rPr>
          <w:rFonts w:hint="eastAsia" w:ascii="仿宋" w:hAnsi="仿宋" w:eastAsia="仿宋" w:cs="仿宋"/>
          <w:sz w:val="32"/>
          <w:szCs w:val="32"/>
          <w:highlight w:val="none"/>
        </w:rPr>
        <w:t>。支出具体情况如下：</w:t>
      </w:r>
    </w:p>
    <w:p>
      <w:pPr>
        <w:autoSpaceDE w:val="0"/>
        <w:autoSpaceDN w:val="0"/>
        <w:adjustRightInd w:val="0"/>
        <w:spacing w:line="560" w:lineRule="exact"/>
        <w:ind w:firstLine="640" w:firstLineChars="200"/>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156.38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rPr>
        <w:t>本部门为保证日常运转发生的基本支出和为完成各项工作任务、保障单位事业发展而发生的项目支出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减少17.96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下降10.30%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rPr>
        <w:t>有1人调出，人员经费支出减少。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sz w:val="32"/>
          <w:szCs w:val="32"/>
          <w:highlight w:val="none"/>
          <w:lang w:val="en-US" w:eastAsia="zh-CN"/>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12.99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333333"/>
          <w:sz w:val="32"/>
          <w:szCs w:val="32"/>
          <w:shd w:val="clear" w:color="auto" w:fill="FFFFFF"/>
        </w:rPr>
        <w:t>机关事业单位基本养老保险缴费支出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减少3.06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下降19.07%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rPr>
        <w:t>有1人调出</w:t>
      </w:r>
      <w:r>
        <w:rPr>
          <w:rFonts w:hint="eastAsia" w:ascii="仿宋_GB2312" w:hAnsi="仿宋_GB2312" w:eastAsia="仿宋_GB2312" w:cs="仿宋_GB2312"/>
          <w:kern w:val="0"/>
          <w:sz w:val="32"/>
          <w:szCs w:val="32"/>
          <w:lang w:eastAsia="zh-CN"/>
        </w:rPr>
        <w:t>，</w:t>
      </w:r>
      <w:r>
        <w:rPr>
          <w:rFonts w:hint="eastAsia" w:ascii="Times New Roman" w:hAnsi="Times New Roman" w:eastAsia="仿宋_GB2312" w:cs="Times New Roman"/>
          <w:kern w:val="0"/>
          <w:sz w:val="32"/>
          <w:szCs w:val="32"/>
        </w:rPr>
        <w:t>人员经费支出减少</w:t>
      </w:r>
      <w:r>
        <w:rPr>
          <w:rFonts w:hint="eastAsia" w:ascii="Times New Roman" w:hAnsi="Times New Roman" w:eastAsia="仿宋_GB2312" w:cs="Times New Roman"/>
          <w:kern w:val="0"/>
          <w:sz w:val="32"/>
          <w:szCs w:val="32"/>
          <w:lang w:eastAsia="zh-CN"/>
        </w:rPr>
        <w:t>。</w:t>
      </w:r>
    </w:p>
    <w:p>
      <w:pPr>
        <w:numPr>
          <w:ilvl w:val="0"/>
          <w:numId w:val="0"/>
        </w:numPr>
        <w:autoSpaceDE w:val="0"/>
        <w:autoSpaceDN w:val="0"/>
        <w:adjustRightInd w:val="0"/>
        <w:spacing w:line="560" w:lineRule="exact"/>
        <w:ind w:firstLine="640" w:firstLineChars="200"/>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11.79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333333"/>
          <w:sz w:val="32"/>
          <w:szCs w:val="32"/>
          <w:shd w:val="clear" w:color="auto" w:fill="FFFFFF"/>
        </w:rPr>
        <w:t>本部门及所属事业单位按规定的比例计缴的住房公积金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减少0.10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下降0.84%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333333"/>
          <w:sz w:val="32"/>
          <w:szCs w:val="32"/>
          <w:shd w:val="clear" w:color="auto" w:fill="FFFFFF"/>
        </w:rPr>
        <w:t>年初预算安排是根据上年度人员工资基数编制年初预算，受公积金基数调整的影响，导致</w:t>
      </w:r>
      <w:r>
        <w:rPr>
          <w:rFonts w:hint="eastAsia" w:ascii="仿宋_GB2312" w:hAnsi="仿宋_GB2312" w:eastAsia="仿宋_GB2312" w:cs="仿宋_GB2312"/>
          <w:color w:val="333333"/>
          <w:sz w:val="32"/>
          <w:szCs w:val="32"/>
          <w:shd w:val="clear" w:color="auto" w:fill="FFFFFF"/>
          <w:lang w:eastAsia="zh-CN"/>
        </w:rPr>
        <w:t>经费支出减少</w:t>
      </w:r>
      <w:r>
        <w:rPr>
          <w:rFonts w:hint="eastAsia" w:ascii="仿宋_GB2312" w:hAnsi="仿宋_GB2312" w:eastAsia="仿宋_GB2312" w:cs="仿宋_GB2312"/>
          <w:color w:val="333333"/>
          <w:sz w:val="32"/>
          <w:szCs w:val="32"/>
          <w:shd w:val="clear" w:color="auto" w:fill="FFFFFF"/>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color w:val="auto"/>
          <w:sz w:val="32"/>
          <w:szCs w:val="32"/>
          <w:highlight w:val="none"/>
        </w:rPr>
        <w:t>4</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26.07</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_GB2312" w:hAnsi="仿宋_GB2312" w:eastAsia="仿宋_GB2312" w:cs="仿宋_GB2312"/>
          <w:color w:val="333333"/>
          <w:sz w:val="32"/>
          <w:szCs w:val="32"/>
          <w:highlight w:val="none"/>
          <w:shd w:val="clear" w:color="auto" w:fill="FFFFFF"/>
        </w:rPr>
        <w:t>奖励性绩效补贴支出</w:t>
      </w:r>
      <w:r>
        <w:rPr>
          <w:rFonts w:hint="eastAsia" w:ascii="仿宋_GB2312" w:hAnsi="仿宋_GB2312" w:eastAsia="仿宋_GB2312" w:cs="仿宋_GB2312"/>
          <w:color w:val="333333"/>
          <w:sz w:val="32"/>
          <w:szCs w:val="32"/>
          <w:highlight w:val="none"/>
          <w:shd w:val="clear" w:color="auto" w:fill="FFFFFF"/>
          <w:lang w:eastAsia="zh-CN"/>
        </w:rPr>
        <w:t>。</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减少10.22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下降28.16%</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仿宋_GB2312" w:eastAsia="仿宋_GB2312" w:cs="仿宋_GB2312"/>
          <w:color w:val="333333"/>
          <w:sz w:val="32"/>
          <w:szCs w:val="32"/>
          <w:highlight w:val="none"/>
          <w:shd w:val="clear" w:color="auto" w:fill="FFFFFF"/>
        </w:rPr>
        <w:t>其他支出年初未列入部门预算安排，导致了预决算数差异的存在。</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本单位没有</w:t>
      </w:r>
      <w:r>
        <w:rPr>
          <w:rFonts w:hint="default" w:ascii="仿宋_GB2312" w:hAnsi="微软雅黑" w:eastAsia="仿宋_GB2312" w:cs="仿宋_GB2312"/>
          <w:i w:val="0"/>
          <w:iCs w:val="0"/>
          <w:caps w:val="0"/>
          <w:color w:val="000000"/>
          <w:spacing w:val="0"/>
          <w:sz w:val="31"/>
          <w:szCs w:val="31"/>
          <w:highlight w:val="none"/>
          <w:shd w:val="clear" w:color="auto" w:fill="FFFFFF"/>
        </w:rPr>
        <w:t>为事业单位按规定提取的专用结余、缴纳所得税和转入非财政拨款结余</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sz w:val="32"/>
          <w:szCs w:val="32"/>
          <w:highlight w:val="none"/>
        </w:rPr>
        <w:t>年末结转和结余</w:t>
      </w:r>
      <w:r>
        <w:rPr>
          <w:rFonts w:hint="eastAsia" w:ascii="仿宋" w:hAnsi="仿宋" w:eastAsia="仿宋" w:cs="仿宋"/>
          <w:sz w:val="32"/>
          <w:szCs w:val="32"/>
          <w:highlight w:val="none"/>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中共环江毛南族自治县委员会环江毛南族自治县人民政府信访局2022年度一般公共预算财政拨款支出</w:t>
      </w:r>
      <w:r>
        <w:rPr>
          <w:rFonts w:ascii="仿宋" w:hAnsi="仿宋" w:eastAsia="仿宋" w:cs="仿宋"/>
          <w:sz w:val="32"/>
          <w:u w:color="auto"/>
        </w:rPr>
        <w:t>207.24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减少31.33</w:t>
      </w:r>
      <w:r>
        <w:rPr>
          <w:rFonts w:hint="eastAsia" w:ascii="仿宋" w:hAnsi="仿宋" w:eastAsia="仿宋" w:cs="仿宋"/>
          <w:sz w:val="32"/>
          <w:szCs w:val="32"/>
          <w:highlight w:val="none"/>
        </w:rPr>
        <w:t>万元，</w:t>
      </w:r>
      <w:r>
        <w:rPr>
          <w:rFonts w:ascii="仿宋" w:hAnsi="仿宋" w:eastAsia="仿宋" w:cs="仿宋"/>
          <w:sz w:val="32"/>
          <w:u w:color="auto"/>
        </w:rPr>
        <w:t>下降13.13%</w:t>
      </w:r>
      <w:r>
        <w:rPr>
          <w:rFonts w:hint="eastAsia" w:ascii="仿宋" w:hAnsi="仿宋" w:eastAsia="仿宋" w:cs="仿宋"/>
          <w:sz w:val="32"/>
          <w:szCs w:val="32"/>
          <w:highlight w:val="none"/>
        </w:rPr>
        <w:t>。其中：基本支出</w:t>
      </w:r>
      <w:r>
        <w:rPr>
          <w:rFonts w:ascii="仿宋" w:hAnsi="仿宋" w:eastAsia="仿宋" w:cs="仿宋"/>
          <w:sz w:val="32"/>
          <w:u w:color="auto"/>
        </w:rPr>
        <w:t>155.53</w:t>
      </w:r>
      <w:r>
        <w:rPr>
          <w:rFonts w:hint="eastAsia" w:ascii="仿宋" w:hAnsi="仿宋" w:eastAsia="仿宋" w:cs="仿宋"/>
          <w:sz w:val="32"/>
          <w:szCs w:val="32"/>
          <w:highlight w:val="none"/>
        </w:rPr>
        <w:t>万元，项目支出</w:t>
      </w:r>
      <w:r>
        <w:rPr>
          <w:rFonts w:ascii="仿宋" w:hAnsi="仿宋" w:eastAsia="仿宋" w:cs="仿宋"/>
          <w:sz w:val="32"/>
          <w:u w:color="auto"/>
        </w:rPr>
        <w:t>51.71</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中共环江毛南族自治县委员会环江毛南族自治县人民政府信访局2022 年度一般公共预算财政拨款支出年初预算为</w:t>
      </w:r>
      <w:r>
        <w:rPr>
          <w:rFonts w:ascii="仿宋" w:hAnsi="仿宋" w:eastAsia="仿宋" w:cs="仿宋"/>
          <w:sz w:val="32"/>
          <w:u w:color="auto"/>
        </w:rPr>
        <w:t>144.64</w:t>
      </w:r>
      <w:r>
        <w:rPr>
          <w:rFonts w:hint="eastAsia" w:ascii="仿宋" w:hAnsi="仿宋" w:eastAsia="仿宋" w:cs="仿宋"/>
          <w:sz w:val="32"/>
          <w:szCs w:val="32"/>
          <w:highlight w:val="none"/>
        </w:rPr>
        <w:t>万元，支出决算为</w:t>
      </w:r>
      <w:r>
        <w:rPr>
          <w:rFonts w:ascii="仿宋" w:hAnsi="仿宋" w:eastAsia="仿宋" w:cs="仿宋"/>
          <w:sz w:val="32"/>
          <w:u w:color="auto"/>
        </w:rPr>
        <w:t>207.24</w:t>
      </w:r>
      <w:r>
        <w:rPr>
          <w:rFonts w:hint="eastAsia" w:ascii="仿宋" w:hAnsi="仿宋" w:eastAsia="仿宋" w:cs="仿宋"/>
          <w:sz w:val="32"/>
          <w:szCs w:val="32"/>
          <w:highlight w:val="none"/>
        </w:rPr>
        <w:t>万元，完成年初预算的</w:t>
      </w:r>
      <w:r>
        <w:rPr>
          <w:rFonts w:ascii="仿宋" w:hAnsi="仿宋" w:eastAsia="仿宋" w:cs="仿宋"/>
          <w:sz w:val="32"/>
          <w:u w:color="auto"/>
        </w:rPr>
        <w:t>143.28%</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119.69</w:t>
      </w:r>
      <w:r>
        <w:rPr>
          <w:rFonts w:hint="eastAsia" w:ascii="仿宋" w:hAnsi="仿宋" w:eastAsia="仿宋"/>
          <w:sz w:val="32"/>
          <w:szCs w:val="32"/>
          <w:highlight w:val="none"/>
        </w:rPr>
        <w:t>万元，支出决算为</w:t>
      </w:r>
      <w:r>
        <w:rPr>
          <w:rFonts w:ascii="仿宋" w:hAnsi="仿宋" w:eastAsia="仿宋"/>
          <w:sz w:val="32"/>
          <w:szCs w:val="32"/>
          <w:highlight w:val="none"/>
        </w:rPr>
        <w:t>156.38</w:t>
      </w:r>
      <w:r>
        <w:rPr>
          <w:rFonts w:hint="eastAsia" w:ascii="仿宋" w:hAnsi="仿宋" w:eastAsia="仿宋"/>
          <w:sz w:val="32"/>
          <w:szCs w:val="32"/>
          <w:highlight w:val="none"/>
        </w:rPr>
        <w:t>万元，完成年初预算的</w:t>
      </w:r>
      <w:r>
        <w:rPr>
          <w:rFonts w:ascii="仿宋" w:hAnsi="仿宋" w:eastAsia="仿宋"/>
          <w:sz w:val="32"/>
          <w:szCs w:val="32"/>
          <w:highlight w:val="none"/>
        </w:rPr>
        <w:t>130.65%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sz w:val="32"/>
          <w:szCs w:val="32"/>
          <w:highlight w:val="none"/>
          <w:lang w:val="en-US" w:eastAsia="zh-CN"/>
        </w:rPr>
        <w:t>年初预算编制与决算支出功能科目有调整。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93.17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100.15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107.49%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sz w:val="18"/>
                <w:szCs w:val="18"/>
              </w:rPr>
              <w:t>为保证日常运转发生的基本支出和按规定预留的绩效工资。如根据国家规定的基本工资和津补贴标准等安排的人员经费支出，确保机关正常运转的办公费、印刷费、水电费、培训费、差旅费、会议费等日常公用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年初预算编制与决算支出功能科目有调整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信访事务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208.65%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于机关正常运转的办公费、印刷费、水电费、培训费、差旅费、会议费等日常公用经费支出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年中追加及调整预算来按排，且调整了支出功能科目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sz w:val="18"/>
                <w:szCs w:val="18"/>
              </w:rPr>
              <w:t>要用于工会经费支出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2013601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其他共产党事务支出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119.69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156.38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eastAsia" w:eastAsia="仿宋"/>
          <w:color w:val="FF0000"/>
          <w:highlight w:val="none"/>
          <w:lang w:val="en-US" w:eastAsia="zh-CN"/>
        </w:rPr>
      </w:pPr>
      <w:r>
        <w:rPr>
          <w:rFonts w:hint="eastAsia" w:ascii="仿宋" w:hAnsi="仿宋" w:eastAsia="仿宋"/>
          <w:sz w:val="32"/>
          <w:szCs w:val="32"/>
          <w:highlight w:val="none"/>
          <w:lang w:eastAsia="zh-CN"/>
        </w:rPr>
        <w:t>（二）</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14.21</w:t>
      </w:r>
      <w:r>
        <w:rPr>
          <w:rFonts w:hint="eastAsia" w:ascii="仿宋" w:hAnsi="仿宋" w:eastAsia="仿宋"/>
          <w:sz w:val="32"/>
          <w:szCs w:val="32"/>
          <w:highlight w:val="none"/>
        </w:rPr>
        <w:t>万元，支出决算为</w:t>
      </w:r>
      <w:r>
        <w:rPr>
          <w:rFonts w:ascii="仿宋" w:hAnsi="仿宋" w:eastAsia="仿宋"/>
          <w:sz w:val="32"/>
          <w:szCs w:val="32"/>
          <w:highlight w:val="none"/>
        </w:rPr>
        <w:t>12.99</w:t>
      </w:r>
      <w:r>
        <w:rPr>
          <w:rFonts w:hint="eastAsia" w:ascii="仿宋" w:hAnsi="仿宋" w:eastAsia="仿宋"/>
          <w:sz w:val="32"/>
          <w:szCs w:val="32"/>
          <w:highlight w:val="none"/>
        </w:rPr>
        <w:t>万元，完成年初预算的</w:t>
      </w:r>
      <w:r>
        <w:rPr>
          <w:rFonts w:ascii="仿宋" w:hAnsi="仿宋" w:eastAsia="仿宋"/>
          <w:sz w:val="32"/>
          <w:szCs w:val="32"/>
          <w:highlight w:val="none"/>
        </w:rPr>
        <w:t>91.41%</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kern w:val="0"/>
          <w:sz w:val="32"/>
          <w:szCs w:val="32"/>
        </w:rPr>
        <w:t>有1人调出</w:t>
      </w:r>
      <w:r>
        <w:rPr>
          <w:rFonts w:hint="eastAsia" w:ascii="仿宋_GB2312" w:hAnsi="仿宋_GB2312" w:eastAsia="仿宋_GB2312" w:cs="仿宋_GB2312"/>
          <w:kern w:val="0"/>
          <w:sz w:val="32"/>
          <w:szCs w:val="32"/>
          <w:lang w:eastAsia="zh-CN"/>
        </w:rPr>
        <w:t>，</w:t>
      </w:r>
      <w:r>
        <w:rPr>
          <w:rFonts w:hint="eastAsia" w:ascii="Times New Roman" w:hAnsi="Times New Roman" w:eastAsia="仿宋_GB2312" w:cs="Times New Roman"/>
          <w:kern w:val="0"/>
          <w:sz w:val="32"/>
          <w:szCs w:val="32"/>
        </w:rPr>
        <w:t>人员经费支出减少</w:t>
      </w:r>
      <w:r>
        <w:rPr>
          <w:rFonts w:hint="eastAsia"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91.41%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333333"/>
                <w:sz w:val="18"/>
                <w:szCs w:val="18"/>
                <w:shd w:val="clear" w:color="auto" w:fill="FFFFFF"/>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kern w:val="0"/>
                <w:sz w:val="18"/>
                <w:szCs w:val="18"/>
              </w:rPr>
              <w:t>有1人调出</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人员经费支出减少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eastAsia" w:eastAsia="仿宋"/>
          <w:color w:val="FF0000"/>
          <w:highlight w:val="none"/>
          <w:lang w:val="en-US" w:eastAsia="zh-CN"/>
        </w:rPr>
      </w:pPr>
      <w:r>
        <w:rPr>
          <w:rFonts w:hint="eastAsia" w:ascii="仿宋" w:hAnsi="仿宋" w:eastAsia="仿宋"/>
          <w:sz w:val="32"/>
          <w:szCs w:val="32"/>
          <w:highlight w:val="none"/>
          <w:lang w:eastAsia="zh-CN"/>
        </w:rPr>
        <w:t>（三）</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10.74</w:t>
      </w:r>
      <w:r>
        <w:rPr>
          <w:rFonts w:hint="eastAsia" w:ascii="仿宋" w:hAnsi="仿宋" w:eastAsia="仿宋"/>
          <w:sz w:val="32"/>
          <w:szCs w:val="32"/>
          <w:highlight w:val="none"/>
        </w:rPr>
        <w:t>万元，支出决算为</w:t>
      </w:r>
      <w:r>
        <w:rPr>
          <w:rFonts w:ascii="仿宋" w:hAnsi="仿宋" w:eastAsia="仿宋"/>
          <w:sz w:val="32"/>
          <w:szCs w:val="32"/>
          <w:highlight w:val="none"/>
        </w:rPr>
        <w:t>11.79</w:t>
      </w:r>
      <w:r>
        <w:rPr>
          <w:rFonts w:hint="eastAsia" w:ascii="仿宋" w:hAnsi="仿宋" w:eastAsia="仿宋"/>
          <w:sz w:val="32"/>
          <w:szCs w:val="32"/>
          <w:highlight w:val="none"/>
        </w:rPr>
        <w:t>万元，完成年初预算的</w:t>
      </w:r>
      <w:r>
        <w:rPr>
          <w:rFonts w:ascii="仿宋" w:hAnsi="仿宋" w:eastAsia="仿宋"/>
          <w:sz w:val="32"/>
          <w:szCs w:val="32"/>
          <w:highlight w:val="none"/>
        </w:rPr>
        <w:t>109.78%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sz w:val="32"/>
          <w:szCs w:val="32"/>
          <w:highlight w:val="none"/>
          <w:lang w:val="en-US" w:eastAsia="zh-CN"/>
        </w:rPr>
        <w:t>年初预算安排是根据上年度人员工资基数编制年初预算，受公积金基数调整的影响，导致经费支出增加。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109.78%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住房公积金缴费支出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年初预算安排是根据上年度人员工资基数编制年初预算，受公积金基数调整的影响，导致经费支出增加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eastAsia" w:ascii="仿宋" w:hAnsi="仿宋" w:eastAsia="仿宋" w:cs="仿宋"/>
          <w:color w:val="FF0000"/>
          <w:sz w:val="32"/>
          <w:szCs w:val="32"/>
          <w:highlight w:val="none"/>
          <w:lang w:val="en-US" w:eastAsia="zh-CN"/>
        </w:rPr>
      </w:pPr>
      <w:r>
        <w:rPr>
          <w:rFonts w:hint="eastAsia" w:ascii="仿宋" w:hAnsi="仿宋" w:eastAsia="仿宋"/>
          <w:sz w:val="32"/>
          <w:szCs w:val="32"/>
          <w:highlight w:val="none"/>
          <w:lang w:eastAsia="zh-CN"/>
        </w:rPr>
        <w:t>（四）</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26.07</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333333"/>
          <w:sz w:val="32"/>
          <w:szCs w:val="32"/>
          <w:shd w:val="clear" w:color="auto" w:fill="FFFFFF"/>
        </w:rPr>
        <w:t>奖励性绩效补贴支出</w:t>
      </w:r>
      <w:r>
        <w:rPr>
          <w:rFonts w:hint="eastAsia" w:ascii="仿宋" w:hAnsi="仿宋" w:eastAsia="仿宋" w:cs="仿宋"/>
          <w:color w:val="333333"/>
          <w:sz w:val="32"/>
          <w:szCs w:val="32"/>
          <w:shd w:val="clear" w:color="auto" w:fill="FFFFFF"/>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26.07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333333"/>
                <w:sz w:val="20"/>
                <w:szCs w:val="20"/>
                <w:shd w:val="clear" w:color="auto" w:fill="FFFFFF"/>
              </w:rPr>
              <w:t>奖励性绩效补贴支出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333333"/>
                <w:sz w:val="20"/>
                <w:szCs w:val="20"/>
                <w:shd w:val="clear" w:color="auto" w:fill="FFFFFF"/>
              </w:rPr>
              <w:t>奖励性绩效补贴基数的提高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26.07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中共环江毛南族自治县委员会环江毛南族自治县人民政府信访局2022年度一般公共预算财政拨款基本支出</w:t>
      </w:r>
      <w:r>
        <w:rPr>
          <w:rFonts w:ascii="仿宋" w:hAnsi="仿宋" w:eastAsia="仿宋" w:cs="仿宋"/>
          <w:sz w:val="32"/>
          <w:u w:color="auto"/>
        </w:rPr>
        <w:t>155.53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150.66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4.87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146.16万元，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134.13%</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sz w:val="32"/>
          <w:szCs w:val="32"/>
          <w:highlight w:val="none"/>
          <w:shd w:val="clear" w:color="auto" w:fill="FFFFFF"/>
        </w:rPr>
        <w:t>年初预算安排是根据上年度人员工资基数编制年初预算，受人员工资的增资调资的影响，在项目执行过程中，只能通过追加经费、调整预算来按排。</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45.48万元，30102津贴补贴19.40万元，30103奖金37.07万元，30106伙食补助费1.80万元，30107绩效工资8.38万元，30108机关事业单位基本养老保险缴费14.40万元，30110职工基本医疗保险缴费6.20万元，30112其他社会保障缴费0.40万元，30113住房公积金11.79万元，30199其他工资福利支出1.25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4.87万元，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57.77%</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rPr>
        <w:t>认真贯彻落实中央“八项规定”精神和厉行节约要求，严控和压缩办公经费支出。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30201办公费2.23万元，30206电费0.08万元，30207邮电费0.73万元，30228工会经费1.78万元，30299其他商品和服务支出0.05万元。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4.50万元，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180%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rPr>
        <w:t>退休人员生活补助，独生子女保健费支出。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30305生活补助2.50万元，30306救济费2.00万元。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w:t>
      </w:r>
      <w:r>
        <w:rPr>
          <w:rFonts w:hint="eastAsia" w:ascii="仿宋" w:hAnsi="仿宋" w:eastAsia="仿宋" w:cs="仿宋"/>
          <w:sz w:val="32"/>
          <w:szCs w:val="32"/>
          <w:highlight w:val="none"/>
        </w:rPr>
        <w:t>资本性支</w:t>
      </w:r>
      <w:r>
        <w:rPr>
          <w:rFonts w:hint="eastAsia" w:ascii="仿宋" w:hAnsi="仿宋" w:eastAsia="仿宋" w:cs="仿宋"/>
          <w:color w:val="auto"/>
          <w:sz w:val="32"/>
          <w:szCs w:val="32"/>
          <w:highlight w:val="none"/>
        </w:rPr>
        <w:t>出</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是：本单位无其他支出。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中共环江毛南族自治县委员会环江毛南族自治县人民政府信访局</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color w:val="auto"/>
          <w:sz w:val="32"/>
          <w:szCs w:val="32"/>
          <w:highlight w:val="none"/>
        </w:rPr>
        <w:t>五、2022年度国有资本经营预算支出决算</w:t>
      </w:r>
      <w:r>
        <w:rPr>
          <w:rFonts w:hint="eastAsia" w:ascii="黑体" w:hAnsi="黑体" w:eastAsia="黑体" w:cs="黑体"/>
          <w:sz w:val="32"/>
          <w:szCs w:val="32"/>
          <w:highlight w:val="none"/>
        </w:rPr>
        <w:t>情况</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中共环江毛南族自治县委员会环江毛南族自治县人民政府信访局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减少0.23</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rPr>
        <w:t>业务量的增加，各项工作检查的增多</w:t>
      </w:r>
      <w:r>
        <w:rPr>
          <w:rFonts w:hint="eastAsia" w:ascii="Times New Roman" w:hAnsi="Times New Roman" w:eastAsia="仿宋_GB2312" w:cs="Times New Roman"/>
          <w:kern w:val="0"/>
          <w:sz w:val="32"/>
          <w:szCs w:val="32"/>
          <w:lang w:eastAsia="zh-CN"/>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w:t>
      </w:r>
      <w:r>
        <w:rPr>
          <w:rFonts w:hint="eastAsia" w:ascii="仿宋" w:hAnsi="仿宋" w:eastAsia="仿宋" w:cs="仿宋"/>
          <w:color w:val="auto"/>
          <w:sz w:val="32"/>
          <w:szCs w:val="32"/>
          <w:highlight w:val="none"/>
        </w:rPr>
        <w:t>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_GB2312" w:hAnsi="Times New Roman" w:eastAsia="仿宋_GB2312" w:cs="Times New Roman"/>
          <w:color w:val="auto"/>
          <w:sz w:val="32"/>
          <w:szCs w:val="32"/>
          <w:lang w:val="en-US" w:eastAsia="zh-CN"/>
        </w:rPr>
        <w:t>（请根实际情况自行补充原因）。</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eastAsia="zh-CN"/>
        </w:rPr>
        <w:t>局</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w:t>
      </w:r>
      <w:r>
        <w:rPr>
          <w:rFonts w:hint="eastAsia" w:ascii="仿宋" w:hAnsi="仿宋" w:eastAsia="仿宋" w:cs="仿宋"/>
          <w:sz w:val="32"/>
          <w:szCs w:val="32"/>
          <w:highlight w:val="none"/>
        </w:rPr>
        <w:t>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_GB2312" w:hAnsi="Times New Roman" w:eastAsia="仿宋_GB2312" w:cs="Times New Roman"/>
          <w:color w:val="000000" w:themeColor="text1"/>
          <w:sz w:val="32"/>
          <w:szCs w:val="32"/>
          <w14:textFill>
            <w14:solidFill>
              <w14:schemeClr w14:val="tx1"/>
            </w14:solidFill>
          </w14:textFill>
        </w:rPr>
        <w:t>开支内容包括：</w:t>
      </w:r>
      <w:r>
        <w:rPr>
          <w:rFonts w:hint="eastAsia" w:ascii="仿宋_GB2312" w:hAnsi="Times New Roman" w:eastAsia="仿宋_GB2312" w:cs="Times New Roman"/>
          <w:color w:val="auto"/>
          <w:sz w:val="32"/>
          <w:szCs w:val="32"/>
          <w:lang w:eastAsia="zh-CN"/>
        </w:rPr>
        <w:t>无</w:t>
      </w:r>
      <w:r>
        <w:rPr>
          <w:rFonts w:hint="eastAsia" w:ascii="仿宋_GB2312" w:hAnsi="Times New Roman" w:eastAsia="仿宋_GB2312" w:cs="Times New Roman"/>
          <w:color w:val="auto"/>
          <w:sz w:val="32"/>
          <w:szCs w:val="32"/>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本部门无公务用车购置</w:t>
      </w:r>
      <w:r>
        <w:rPr>
          <w:rFonts w:hint="eastAsia" w:ascii="仿宋" w:hAnsi="仿宋" w:eastAsia="仿宋" w:cs="仿宋"/>
          <w:color w:val="auto"/>
          <w:sz w:val="32"/>
          <w:szCs w:val="32"/>
          <w:lang w:eastAsia="zh-CN"/>
        </w:rPr>
        <w:t>。</w:t>
      </w:r>
      <w:r>
        <w:rPr>
          <w:rFonts w:hint="eastAsia" w:ascii="仿宋" w:hAnsi="仿宋" w:eastAsia="仿宋" w:cs="仿宋"/>
          <w:sz w:val="32"/>
          <w:szCs w:val="32"/>
          <w:highlight w:val="none"/>
        </w:rPr>
        <w:t>2022年</w:t>
      </w:r>
      <w:r>
        <w:rPr>
          <w:rFonts w:ascii="仿宋" w:hAnsi="仿宋" w:eastAsia="仿宋" w:cs="仿宋"/>
          <w:sz w:val="32"/>
          <w:u w:color="auto"/>
        </w:rPr>
        <w:t>广西河池市中共环江毛南族自治县委员会环江毛</w:t>
      </w:r>
      <w:r>
        <w:rPr>
          <w:rFonts w:ascii="仿宋" w:hAnsi="仿宋" w:eastAsia="仿宋" w:cs="仿宋"/>
          <w:color w:val="auto"/>
          <w:sz w:val="32"/>
          <w:u w:color="auto"/>
        </w:rPr>
        <w:t>南族自治县人民政府信访局</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平均每辆   </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 xml:space="preserve"> 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减少0.23</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主要原因是：本单位没有公务接待费支出。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rPr>
      </w:pPr>
      <w:bookmarkStart w:id="6" w:name="_GoBack"/>
      <w:bookmarkEnd w:id="6"/>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4.87</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减少3.56</w:t>
      </w:r>
      <w:r>
        <w:rPr>
          <w:rFonts w:hint="eastAsia" w:ascii="仿宋" w:hAnsi="仿宋" w:eastAsia="仿宋" w:cs="仿宋"/>
          <w:sz w:val="32"/>
          <w:szCs w:val="32"/>
          <w:highlight w:val="none"/>
        </w:rPr>
        <w:t>万元，</w:t>
      </w:r>
      <w:r>
        <w:rPr>
          <w:rFonts w:ascii="仿宋" w:hAnsi="仿宋" w:eastAsia="仿宋" w:cs="仿宋"/>
          <w:sz w:val="32"/>
          <w:szCs w:val="32"/>
          <w:highlight w:val="none"/>
        </w:rPr>
        <w:t>下降42.23%</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增加3.27</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w:t>
      </w:r>
      <w:r>
        <w:rPr>
          <w:rFonts w:ascii="仿宋" w:hAnsi="仿宋" w:eastAsia="仿宋" w:cs="仿宋"/>
          <w:color w:val="auto"/>
          <w:sz w:val="32"/>
          <w:szCs w:val="32"/>
          <w:highlight w:val="none"/>
        </w:rPr>
        <w:t>增长204.38%</w:t>
      </w:r>
      <w:r>
        <w:rPr>
          <w:rFonts w:hint="eastAsia" w:ascii="仿宋" w:hAnsi="仿宋" w:eastAsia="仿宋" w:cs="仿宋"/>
          <w:color w:val="auto"/>
          <w:sz w:val="32"/>
          <w:szCs w:val="32"/>
          <w:highlight w:val="none"/>
        </w:rPr>
        <w:t>。主要原因是：信息系统运行维护支出增加、人员编制数量减少、落实过紧日子要求压减机关运行经费支出等。</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根据财政预算管理要求，</w:t>
      </w:r>
      <w:r>
        <w:rPr>
          <w:rFonts w:hint="eastAsia" w:ascii="仿宋" w:hAnsi="仿宋" w:eastAsia="仿宋" w:cs="仿宋"/>
          <w:color w:val="000000" w:themeColor="text1"/>
          <w:sz w:val="32"/>
          <w:szCs w:val="32"/>
          <w:highlight w:val="none"/>
          <w:lang w:eastAsia="zh-CN"/>
          <w14:textFill>
            <w14:solidFill>
              <w14:schemeClr w14:val="tx1"/>
            </w14:solidFill>
          </w14:textFill>
        </w:rPr>
        <w:t>对本单位2022年</w:t>
      </w:r>
      <w:r>
        <w:rPr>
          <w:rFonts w:hint="eastAsia" w:ascii="仿宋" w:hAnsi="仿宋" w:eastAsia="仿宋" w:cs="仿宋"/>
          <w:color w:val="000000" w:themeColor="text1"/>
          <w:sz w:val="32"/>
          <w:szCs w:val="32"/>
          <w:highlight w:val="none"/>
          <w14:textFill>
            <w14:solidFill>
              <w14:schemeClr w14:val="tx1"/>
            </w14:solidFill>
          </w14:textFill>
        </w:rPr>
        <w:t>度一般公共预算项目支出全面开展绩效自评</w:t>
      </w:r>
      <w:r>
        <w:rPr>
          <w:rFonts w:hint="eastAsia" w:ascii="仿宋" w:hAnsi="仿宋" w:eastAsia="仿宋" w:cs="仿宋"/>
          <w:color w:val="000000" w:themeColor="text1"/>
          <w:sz w:val="32"/>
          <w:szCs w:val="32"/>
          <w:highlight w:val="none"/>
          <w:lang w:eastAsia="zh-CN"/>
          <w14:textFill>
            <w14:solidFill>
              <w14:schemeClr w14:val="tx1"/>
            </w14:solidFill>
          </w14:textFill>
        </w:rPr>
        <w:t>，共涉及</w:t>
      </w:r>
      <w:r>
        <w:rPr>
          <w:rFonts w:hint="eastAsia" w:ascii="仿宋" w:hAnsi="仿宋" w:eastAsia="仿宋" w:cs="仿宋"/>
          <w:color w:val="000000" w:themeColor="text1"/>
          <w:sz w:val="32"/>
          <w:szCs w:val="32"/>
          <w:highlight w:val="none"/>
          <w:lang w:val="en-US" w:eastAsia="zh-CN"/>
          <w14:textFill>
            <w14:solidFill>
              <w14:schemeClr w14:val="tx1"/>
            </w14:solidFill>
          </w14:textFill>
        </w:rPr>
        <w:t>10个</w:t>
      </w:r>
      <w:r>
        <w:rPr>
          <w:rFonts w:hint="eastAsia" w:ascii="仿宋" w:hAnsi="仿宋" w:eastAsia="仿宋" w:cs="仿宋"/>
          <w:color w:val="000000" w:themeColor="text1"/>
          <w:sz w:val="32"/>
          <w:szCs w:val="32"/>
          <w:highlight w:val="none"/>
          <w14:textFill>
            <w14:solidFill>
              <w14:schemeClr w14:val="tx1"/>
            </w14:solidFill>
          </w14:textFill>
        </w:rPr>
        <w:t>项目</w:t>
      </w:r>
      <w:r>
        <w:rPr>
          <w:rFonts w:hint="eastAsia" w:ascii="仿宋" w:hAnsi="仿宋" w:eastAsia="仿宋" w:cs="仿宋"/>
          <w:color w:val="000000" w:themeColor="text1"/>
          <w:sz w:val="32"/>
          <w:szCs w:val="32"/>
          <w:highlight w:val="none"/>
          <w:lang w:eastAsia="zh-CN"/>
          <w14:textFill>
            <w14:solidFill>
              <w14:schemeClr w14:val="tx1"/>
            </w14:solidFill>
          </w14:textFill>
        </w:rPr>
        <w:t>及部门整体绩效自评</w:t>
      </w:r>
      <w:r>
        <w:rPr>
          <w:rFonts w:hint="eastAsia" w:ascii="仿宋" w:hAnsi="仿宋" w:eastAsia="仿宋" w:cs="仿宋"/>
          <w:color w:val="000000" w:themeColor="text1"/>
          <w:sz w:val="32"/>
          <w:szCs w:val="32"/>
          <w:highlight w:val="none"/>
          <w:lang w:val="en-US" w:eastAsia="zh-CN"/>
          <w14:textFill>
            <w14:solidFill>
              <w14:schemeClr w14:val="tx1"/>
            </w14:solidFill>
          </w14:textFill>
        </w:rPr>
        <w:t>1个，</w:t>
      </w:r>
      <w:r>
        <w:rPr>
          <w:rFonts w:hint="eastAsia" w:ascii="仿宋" w:hAnsi="仿宋" w:eastAsia="仿宋" w:cs="仿宋"/>
          <w:color w:val="000000" w:themeColor="text1"/>
          <w:sz w:val="32"/>
          <w:szCs w:val="32"/>
          <w:highlight w:val="none"/>
          <w14:textFill>
            <w14:solidFill>
              <w14:schemeClr w14:val="tx1"/>
            </w14:solidFill>
          </w14:textFill>
        </w:rPr>
        <w:t>共涉及资金</w:t>
      </w:r>
      <w:r>
        <w:rPr>
          <w:rFonts w:hint="eastAsia" w:ascii="仿宋" w:hAnsi="仿宋" w:eastAsia="仿宋" w:cs="仿宋"/>
          <w:color w:val="000000" w:themeColor="text1"/>
          <w:sz w:val="32"/>
          <w:szCs w:val="32"/>
          <w:highlight w:val="none"/>
          <w:lang w:val="en-US" w:eastAsia="zh-CN"/>
          <w14:textFill>
            <w14:solidFill>
              <w14:schemeClr w14:val="tx1"/>
            </w14:solidFill>
          </w14:textFill>
        </w:rPr>
        <w:t>207.239</w:t>
      </w:r>
      <w:r>
        <w:rPr>
          <w:rFonts w:hint="eastAsia" w:ascii="仿宋" w:hAnsi="仿宋" w:eastAsia="仿宋" w:cs="仿宋"/>
          <w:color w:val="000000" w:themeColor="text1"/>
          <w:sz w:val="32"/>
          <w:szCs w:val="32"/>
          <w:highlight w:val="none"/>
          <w14:textFill>
            <w14:solidFill>
              <w14:schemeClr w14:val="tx1"/>
            </w14:solidFill>
          </w14:textFill>
        </w:rPr>
        <w:t>万元，占一般公共预算项目支出总额的</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w:t>
      </w:r>
      <w:r>
        <w:rPr>
          <w:rFonts w:hint="eastAsia" w:ascii="仿宋" w:hAnsi="仿宋" w:eastAsia="仿宋" w:cs="仿宋"/>
          <w:color w:val="auto"/>
          <w:sz w:val="32"/>
          <w:szCs w:val="32"/>
        </w:rPr>
        <w:t>果。</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highlight w:val="none"/>
          <w14:textFill>
            <w14:solidFill>
              <w14:schemeClr w14:val="tx1"/>
            </w14:solidFill>
          </w14:textFill>
        </w:rPr>
        <w:t>我部门根据年初设定的绩效目标，</w:t>
      </w:r>
      <w:r>
        <w:rPr>
          <w:rFonts w:hint="eastAsia" w:ascii="仿宋" w:hAnsi="仿宋" w:eastAsia="仿宋" w:cs="仿宋"/>
          <w:color w:val="000000" w:themeColor="text1"/>
          <w:sz w:val="32"/>
          <w:szCs w:val="32"/>
          <w:highlight w:val="none"/>
          <w:lang w:val="en-US" w:eastAsia="zh-CN"/>
          <w14:textFill>
            <w14:solidFill>
              <w14:schemeClr w14:val="tx1"/>
            </w14:solidFill>
          </w14:textFill>
        </w:rPr>
        <w:t>北京、南宁值班费，会议费</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_GB2312" w:hAnsi="仿宋_GB2312" w:eastAsia="仿宋_GB2312" w:cs="Times New Roman"/>
          <w:kern w:val="2"/>
          <w:sz w:val="32"/>
          <w:szCs w:val="32"/>
          <w:lang w:val="en-US" w:eastAsia="zh-CN" w:bidi="ar-SA"/>
        </w:rPr>
        <w:t>96.82</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党支部组织生活经费项目自评得分为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接访、劝返经费，会议费项目自评得分为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99.99</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水、电费项目自评得分为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通讯网络费,办公费用项目自评得分为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99.98</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宣传费项目自评得分为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97.48</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解决建立乡镇信访联席会议机制急需经费项目自评得分为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auto"/>
          <w:sz w:val="32"/>
          <w:szCs w:val="32"/>
          <w:highlight w:val="none"/>
        </w:rPr>
        <w:t>2022年奖励性补贴项目自评得分为</w:t>
      </w:r>
      <w:r>
        <w:rPr>
          <w:rFonts w:hint="eastAsia" w:ascii="仿宋" w:hAnsi="仿宋" w:eastAsia="仿宋" w:cs="仿宋"/>
          <w:color w:val="auto"/>
          <w:sz w:val="32"/>
          <w:szCs w:val="32"/>
          <w:highlight w:val="none"/>
          <w:lang w:val="en-US" w:eastAsia="zh-CN"/>
        </w:rPr>
        <w:t>90</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奖励性补贴项目自评得分为</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解决疑难信访问题救助资金项目自评得分为</w:t>
      </w:r>
      <w:r>
        <w:rPr>
          <w:rFonts w:hint="eastAsia" w:ascii="仿宋" w:hAnsi="仿宋" w:eastAsia="仿宋" w:cs="仿宋"/>
          <w:color w:val="auto"/>
          <w:sz w:val="32"/>
          <w:szCs w:val="32"/>
          <w:highlight w:val="none"/>
          <w:lang w:val="en-US" w:eastAsia="zh-CN"/>
        </w:rPr>
        <w:t>92</w:t>
      </w:r>
      <w:r>
        <w:rPr>
          <w:rFonts w:hint="eastAsia" w:ascii="仿宋" w:hAnsi="仿宋" w:eastAsia="仿宋" w:cs="仿宋"/>
          <w:color w:val="auto"/>
          <w:sz w:val="32"/>
          <w:szCs w:val="32"/>
          <w:highlight w:val="none"/>
        </w:rPr>
        <w:t>分。</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637730"/>
    <w:rsid w:val="04E54546"/>
    <w:rsid w:val="05992762"/>
    <w:rsid w:val="07B0770E"/>
    <w:rsid w:val="0942143F"/>
    <w:rsid w:val="0A2A173C"/>
    <w:rsid w:val="0D100297"/>
    <w:rsid w:val="0D202B45"/>
    <w:rsid w:val="0F534BB2"/>
    <w:rsid w:val="0F8D4C87"/>
    <w:rsid w:val="10505FAA"/>
    <w:rsid w:val="105F7E7E"/>
    <w:rsid w:val="115E4E0F"/>
    <w:rsid w:val="11E56B5B"/>
    <w:rsid w:val="125C77AB"/>
    <w:rsid w:val="146C09B3"/>
    <w:rsid w:val="14CB726E"/>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3CB6042"/>
    <w:rsid w:val="246E2F77"/>
    <w:rsid w:val="254B4E2B"/>
    <w:rsid w:val="283D7C94"/>
    <w:rsid w:val="28916E8B"/>
    <w:rsid w:val="29480E03"/>
    <w:rsid w:val="2983634D"/>
    <w:rsid w:val="2BB02055"/>
    <w:rsid w:val="2C575A56"/>
    <w:rsid w:val="2F257714"/>
    <w:rsid w:val="2F3275E5"/>
    <w:rsid w:val="30AA08EF"/>
    <w:rsid w:val="30D23D1C"/>
    <w:rsid w:val="31221CF5"/>
    <w:rsid w:val="31400178"/>
    <w:rsid w:val="321E3342"/>
    <w:rsid w:val="327759C8"/>
    <w:rsid w:val="33185FE3"/>
    <w:rsid w:val="33C90C05"/>
    <w:rsid w:val="34EE2E36"/>
    <w:rsid w:val="36777241"/>
    <w:rsid w:val="371E78D5"/>
    <w:rsid w:val="38A951DB"/>
    <w:rsid w:val="38B31605"/>
    <w:rsid w:val="39003F4F"/>
    <w:rsid w:val="3A80099D"/>
    <w:rsid w:val="3C07002B"/>
    <w:rsid w:val="3D0D152A"/>
    <w:rsid w:val="3DF62756"/>
    <w:rsid w:val="3F1B7587"/>
    <w:rsid w:val="41E57B4F"/>
    <w:rsid w:val="432F26F6"/>
    <w:rsid w:val="43880F63"/>
    <w:rsid w:val="43F565F9"/>
    <w:rsid w:val="441C5A6F"/>
    <w:rsid w:val="44803990"/>
    <w:rsid w:val="44C44FCC"/>
    <w:rsid w:val="44CC7369"/>
    <w:rsid w:val="453C63D8"/>
    <w:rsid w:val="457F5108"/>
    <w:rsid w:val="46951B6B"/>
    <w:rsid w:val="49A34401"/>
    <w:rsid w:val="4A3E30AB"/>
    <w:rsid w:val="4AC14DAC"/>
    <w:rsid w:val="4CC22C7C"/>
    <w:rsid w:val="4D154C85"/>
    <w:rsid w:val="4EB35ECE"/>
    <w:rsid w:val="508F4E24"/>
    <w:rsid w:val="51461E90"/>
    <w:rsid w:val="51463753"/>
    <w:rsid w:val="52553A93"/>
    <w:rsid w:val="53521F8B"/>
    <w:rsid w:val="53E22F47"/>
    <w:rsid w:val="54522FF8"/>
    <w:rsid w:val="55450629"/>
    <w:rsid w:val="56692963"/>
    <w:rsid w:val="568B0F48"/>
    <w:rsid w:val="5786217B"/>
    <w:rsid w:val="584742D2"/>
    <w:rsid w:val="59337A15"/>
    <w:rsid w:val="59810274"/>
    <w:rsid w:val="5A263E0D"/>
    <w:rsid w:val="5B9D2DC1"/>
    <w:rsid w:val="5CA96A00"/>
    <w:rsid w:val="5CF730BC"/>
    <w:rsid w:val="5E5F0DCE"/>
    <w:rsid w:val="5FA40A7B"/>
    <w:rsid w:val="5FD56D29"/>
    <w:rsid w:val="5FEC7F3F"/>
    <w:rsid w:val="60F74BC3"/>
    <w:rsid w:val="617D3BF8"/>
    <w:rsid w:val="61841F6A"/>
    <w:rsid w:val="623007A9"/>
    <w:rsid w:val="637D7558"/>
    <w:rsid w:val="63F10007"/>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47A2373"/>
    <w:rsid w:val="75126AA5"/>
    <w:rsid w:val="78104AA8"/>
    <w:rsid w:val="78E257C5"/>
    <w:rsid w:val="794B35BE"/>
    <w:rsid w:val="7B0A3A31"/>
    <w:rsid w:val="7B3360ED"/>
    <w:rsid w:val="7BDF037E"/>
    <w:rsid w:val="7BF50948"/>
    <w:rsid w:val="7CE66A78"/>
    <w:rsid w:val="7D23564C"/>
    <w:rsid w:val="7D5E062D"/>
    <w:rsid w:val="7DF76CD8"/>
    <w:rsid w:val="7F59567B"/>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207.24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174.34</c:v>
                </c:pt>
                <c:pt idx="1">
                  <c:v>16.05</c:v>
                </c:pt>
                <c:pt idx="2">
                  <c:v>11.89</c:v>
                </c:pt>
                <c:pt idx="3">
                  <c:v>36.29</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156.38</c:v>
                </c:pt>
                <c:pt idx="1">
                  <c:v>12.99</c:v>
                </c:pt>
                <c:pt idx="2">
                  <c:v>11.79</c:v>
                </c:pt>
                <c:pt idx="3">
                  <c:v>26.07</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45.48</c:v>
                </c:pt>
                <c:pt idx="1">
                  <c:v>19.4</c:v>
                </c:pt>
                <c:pt idx="2">
                  <c:v>37.07</c:v>
                </c:pt>
                <c:pt idx="3">
                  <c:v>1.8</c:v>
                </c:pt>
                <c:pt idx="4">
                  <c:v>8.38</c:v>
                </c:pt>
                <c:pt idx="5">
                  <c:v>14.4</c:v>
                </c:pt>
                <c:pt idx="6">
                  <c:v>0</c:v>
                </c:pt>
                <c:pt idx="7">
                  <c:v>6.2</c:v>
                </c:pt>
                <c:pt idx="8">
                  <c:v>0</c:v>
                </c:pt>
                <c:pt idx="9">
                  <c:v>0.4</c:v>
                </c:pt>
                <c:pt idx="10">
                  <c:v>11.79</c:v>
                </c:pt>
                <c:pt idx="11">
                  <c:v>0</c:v>
                </c:pt>
                <c:pt idx="12">
                  <c:v>1.25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2.23</c:v>
                </c:pt>
                <c:pt idx="1">
                  <c:v>0</c:v>
                </c:pt>
                <c:pt idx="2">
                  <c:v>0</c:v>
                </c:pt>
                <c:pt idx="3">
                  <c:v>0</c:v>
                </c:pt>
                <c:pt idx="4">
                  <c:v>0</c:v>
                </c:pt>
                <c:pt idx="5">
                  <c:v>0.08</c:v>
                </c:pt>
                <c:pt idx="6">
                  <c:v>0.73</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1.78</c:v>
                </c:pt>
                <c:pt idx="22">
                  <c:v>0</c:v>
                </c:pt>
                <c:pt idx="23">
                  <c:v>0</c:v>
                </c:pt>
                <c:pt idx="24">
                  <c:v>0</c:v>
                </c:pt>
                <c:pt idx="25">
                  <c:v>0</c:v>
                </c:pt>
                <c:pt idx="26">
                  <c:v>0.05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2.5</c:v>
                </c:pt>
                <c:pt idx="5">
                  <c:v>2</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247</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2023-11-29T08:29:06Z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