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bookmarkStart w:id="5" w:name="_GoBack"/>
      <w:r>
        <w:rPr>
          <w:rFonts w:hint="eastAsia" w:ascii="黑体" w:hAnsi="黑体" w:eastAsia="黑体" w:cs="黑体"/>
          <w:b/>
          <w:bCs/>
          <w:color w:val="auto"/>
          <w:sz w:val="52"/>
          <w:szCs w:val="52"/>
          <w:highlight w:val="none"/>
        </w:rPr>
        <w:t>环江毛南族自治县公共资源交易中心</w:t>
      </w:r>
      <w:bookmarkEnd w:id="5"/>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highlight w:val="none"/>
          <w:u w:color="auto"/>
        </w:rPr>
        <w:t>环江毛南族自治县公共资源交易中心</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highlight w:val="none"/>
          <w:u w:color="auto"/>
        </w:rPr>
        <w:t>环江毛南族自治县公共资源交易中心</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highlight w:val="none"/>
          <w:u w:color="auto"/>
        </w:rPr>
        <w:t>环江毛南族自治县公共资源交易中心</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ascii="黑体" w:hAnsi="黑体" w:eastAsia="黑体" w:cs="黑体"/>
          <w:b/>
          <w:color w:val="auto"/>
          <w:sz w:val="32"/>
          <w:highlight w:val="none"/>
          <w:u w:color="auto"/>
        </w:rPr>
        <w:t>环江毛南族自治县公共资源交易中心</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履行建设工程招投标、土地使用权出让、产权交易、政府采购等各类公共资源交易活动的组织、管理、服务职责，具体包括：</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（一）贯彻执行国家和省、市有关招投标、政府采购、土地矿权出让等法律、法规和政策；制定有关招投标和集中采购以及矿权出让的具体操作方案和内部操作规程。</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（二）组织具体的招投标活动；负责政府采购、招标报名活动，专户专人收取投标人保证金和中标人履约保证金；负责招投标活动后期执行情况的跟踪检查。</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（三）统一发布招投标、政府采购、土地矿权出让等各类交易信息。</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（四）为公共资源招投标、政府采购、土地矿权出让等活动提供交易场所和服务。</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（五）接受采购人的委托，组织实施县级政府集中采购目录内的项目采购；接受委托代理县级机关集中采购目录以外项目的采购；负责集中采购活动后期执行情况的跟踪。</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（六）向社会提供有关企业资质、专业人员、项目信息、交易情况及相关政策法规咨询服务。</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（七）负责对参与交易活动的评审专家进行考核，并及时将考核结果报县交管办和有关职能部门。</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（八）为行政主管部门实施管理和监督提供办公条件。</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（九）对进入县公共资源交易中心的招投标、政府采购、土地矿权出让等各类交易活动进行场内管理监督。</w:t>
      </w:r>
    </w:p>
    <w:p>
      <w:pPr>
        <w:widowControl/>
        <w:spacing w:line="600" w:lineRule="exact"/>
        <w:ind w:firstLine="640" w:firstLineChars="200"/>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（十）协助各职能部门、监察部门对有关投诉进行调查处理。</w:t>
      </w:r>
    </w:p>
    <w:p>
      <w:pPr>
        <w:spacing w:line="6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（十一）完成县委、县政府、主管部门交办的其它工作任务。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pStyle w:val="5"/>
        <w:widowControl/>
        <w:shd w:val="clear" w:color="auto" w:fill="FFFFFF"/>
        <w:spacing w:beforeAutospacing="0" w:afterAutospacing="0" w:line="600" w:lineRule="exact"/>
        <w:ind w:firstLine="646"/>
        <w:rPr>
          <w:rFonts w:ascii="仿宋" w:hAnsi="仿宋" w:eastAsia="仿宋" w:cs="仿宋"/>
          <w:color w:val="auto"/>
          <w:sz w:val="32"/>
          <w:szCs w:val="32"/>
          <w:highlight w:val="none"/>
        </w:rPr>
      </w:pPr>
      <w:r>
        <w:rPr>
          <w:rFonts w:hint="eastAsia" w:ascii="黑体" w:hAnsi="黑体" w:eastAsia="黑体" w:cs="仿宋"/>
          <w:color w:val="auto"/>
          <w:sz w:val="32"/>
          <w:szCs w:val="32"/>
          <w:highlight w:val="none"/>
        </w:rPr>
        <w:t>1.单位基本情况。</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年度</w:t>
      </w:r>
      <w:r>
        <w:rPr>
          <w:rFonts w:hint="eastAsia" w:ascii="仿宋" w:hAnsi="仿宋" w:eastAsia="仿宋" w:cs="仿宋"/>
          <w:color w:val="auto"/>
          <w:sz w:val="32"/>
          <w:szCs w:val="32"/>
          <w:highlight w:val="none"/>
        </w:rPr>
        <w:t>环江毛南族自治县公共资源交易中心的汇总决算报表由1个单位决算报表构成。即环江毛南族自治县公共资源交易中心本级，为财政全额拨款事业单位。</w:t>
      </w:r>
    </w:p>
    <w:p>
      <w:pPr>
        <w:pStyle w:val="5"/>
        <w:widowControl/>
        <w:shd w:val="clear" w:color="auto" w:fill="FFFFFF"/>
        <w:spacing w:beforeAutospacing="0" w:afterAutospacing="0" w:line="600" w:lineRule="exact"/>
        <w:ind w:firstLine="646"/>
        <w:rPr>
          <w:rFonts w:hint="eastAsia" w:ascii="仿宋" w:hAnsi="仿宋" w:eastAsia="仿宋" w:cs="仿宋"/>
          <w:color w:val="auto"/>
          <w:sz w:val="32"/>
          <w:szCs w:val="32"/>
          <w:highlight w:val="none"/>
          <w:lang w:eastAsia="zh-CN"/>
        </w:rPr>
      </w:pPr>
      <w:r>
        <w:rPr>
          <w:rFonts w:hint="eastAsia" w:ascii="黑体" w:hAnsi="黑体" w:eastAsia="黑体" w:cs="黑体"/>
          <w:color w:val="auto"/>
          <w:sz w:val="32"/>
          <w:szCs w:val="32"/>
          <w:highlight w:val="none"/>
        </w:rPr>
        <w:t>2、人员构成情况。</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年环江县公共资源交易中心人员编制总数为8人，其中行政编制0人，事业编制8人，离退休人员 0 人（其中离休0人），编外在职实有人数0人</w:t>
      </w:r>
      <w:r>
        <w:rPr>
          <w:rFonts w:hint="eastAsia" w:ascii="仿宋" w:hAnsi="仿宋" w:eastAsia="仿宋" w:cs="仿宋"/>
          <w:color w:val="auto"/>
          <w:sz w:val="32"/>
          <w:szCs w:val="32"/>
          <w:highlight w:val="none"/>
          <w:lang w:eastAsia="zh-CN"/>
        </w:rPr>
        <w:t>。</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我部门没有下属单位，按照部门决算编报要求，单独编制本部门决算。</w:t>
      </w:r>
    </w:p>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highlight w:val="none"/>
          <w:u w:color="auto"/>
        </w:rPr>
        <w:t>环江毛南族自治县公共资源交易中心</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83.17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95.85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95.85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81.83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81.83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信访事务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95.85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91.67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83.17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78.99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81.83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77.65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信访事务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49.46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83.17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83.17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95.85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95.85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95.85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95.85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91.67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81.83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77.65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信访事务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49.46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49.46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28.84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highlight w:val="none"/>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highlight w:val="none"/>
                <w:u w:color="auto"/>
              </w:rPr>
              <w:t>广西河池市环江毛南族自治县公共资源交易中心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highlight w:val="none"/>
          <w:u w:color="auto"/>
        </w:rPr>
        <w:t>环江毛南族自治县公共资源交易中心</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增加6.53</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增长7.31%</w:t>
      </w:r>
      <w:r>
        <w:rPr>
          <w:rFonts w:hint="eastAsia" w:ascii="仿宋" w:hAnsi="仿宋" w:eastAsia="仿宋" w:cs="仿宋"/>
          <w:color w:val="auto"/>
          <w:sz w:val="32"/>
          <w:szCs w:val="32"/>
          <w:highlight w:val="none"/>
        </w:rPr>
        <w:t>，其中本年收入</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highlight w:val="none"/>
          <w:u w:color="auto"/>
        </w:rPr>
        <w:t>95.85</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增加6.53</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增长7.31%</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kern w:val="0"/>
          <w:sz w:val="32"/>
          <w:szCs w:val="32"/>
          <w:highlight w:val="none"/>
          <w:lang w:eastAsia="zh-CN"/>
        </w:rPr>
        <w:t>开展公共资源交易活动业务量增多，电费、办公费、维修（护）费等随之增加。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0"/>
          <w:sz w:val="32"/>
          <w:szCs w:val="32"/>
          <w:highlight w:val="none"/>
          <w:lang w:val="en-US" w:eastAsia="zh-CN"/>
        </w:rPr>
        <w:t xml:space="preserve"> 2.</w:t>
      </w:r>
      <w:r>
        <w:rPr>
          <w:rFonts w:hint="eastAsia" w:ascii="仿宋" w:hAnsi="仿宋" w:eastAsia="仿宋" w:cs="仿宋"/>
          <w:color w:val="auto"/>
          <w:kern w:val="2"/>
          <w:sz w:val="32"/>
          <w:szCs w:val="32"/>
          <w:highlight w:val="none"/>
          <w:lang w:val="en-US" w:eastAsia="zh-CN" w:bidi="ar"/>
        </w:rPr>
        <w:t>政府性基金预算财政拨款收入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，主要原因：本单位上年度和本年度均无政府性基金预算财政拨款收入。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，主要原因：本单位上年度和本年度均无国有资本经营预算财政拨款收入。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，主要原因：本单位上年度和本年度均无上级补助收入。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，主要原因是：本单位上年度和本年度均无事业收入。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，主要原因是：本单位上年度和本年度均无经营收入。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，主要原因是：本单位上年度和本年度均无附属单位上缴收入。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，主要原因是：本单位上年度和本年度均无其他收入。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，主要原因是：本单位上年度和本年度均无使用非财政拨款结余。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highlight w:val="none"/>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增长0%</w:t>
      </w:r>
      <w:r>
        <w:rPr>
          <w:rFonts w:hint="eastAsia" w:ascii="仿宋" w:hAnsi="仿宋" w:eastAsia="仿宋" w:cs="仿宋"/>
          <w:color w:val="auto"/>
          <w:kern w:val="2"/>
          <w:sz w:val="32"/>
          <w:szCs w:val="32"/>
          <w:highlight w:val="none"/>
          <w:lang w:val="en-US" w:eastAsia="zh-CN" w:bidi="ar"/>
        </w:rPr>
        <w:t>，主要原因：所有项目已在本年执行完毕，不需要结转至下年继续执行。</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增加6.53</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增长7.31%</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83.17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本部门为保证日常运转发生的基本支出和为完成各项工作任务、保障</w:t>
      </w:r>
      <w:r>
        <w:rPr>
          <w:rFonts w:hint="eastAsia" w:ascii="仿宋" w:hAnsi="仿宋" w:eastAsia="仿宋" w:cs="仿宋"/>
          <w:color w:val="auto"/>
          <w:kern w:val="0"/>
          <w:sz w:val="32"/>
          <w:szCs w:val="32"/>
          <w:highlight w:val="none"/>
        </w:rPr>
        <w:t>单位事业</w:t>
      </w:r>
      <w:r>
        <w:rPr>
          <w:rFonts w:hint="eastAsia" w:ascii="仿宋" w:hAnsi="仿宋" w:eastAsia="仿宋" w:cs="仿宋"/>
          <w:color w:val="auto"/>
          <w:sz w:val="32"/>
          <w:szCs w:val="32"/>
          <w:highlight w:val="none"/>
        </w:rPr>
        <w:t>发展而发生的项目支出。较2021年度决算数</w:t>
      </w:r>
      <w:r>
        <w:rPr>
          <w:rFonts w:hint="eastAsia" w:ascii="仿宋" w:hAnsi="仿宋" w:eastAsia="仿宋" w:cs="仿宋"/>
          <w:color w:val="auto"/>
          <w:sz w:val="32"/>
          <w:szCs w:val="32"/>
          <w:highlight w:val="none"/>
          <w:lang w:bidi="ar"/>
        </w:rPr>
        <w:t>增加27.03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增长48.15%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0"/>
          <w:sz w:val="32"/>
          <w:szCs w:val="32"/>
          <w:highlight w:val="none"/>
          <w:lang w:eastAsia="zh-CN"/>
        </w:rPr>
        <w:t>本年度社保缴费基数有所提高</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eastAsia="zh-CN"/>
        </w:rPr>
        <w:t>社保</w:t>
      </w:r>
      <w:r>
        <w:rPr>
          <w:rFonts w:hint="eastAsia" w:ascii="仿宋" w:hAnsi="仿宋" w:eastAsia="仿宋" w:cs="仿宋"/>
          <w:color w:val="auto"/>
          <w:kern w:val="0"/>
          <w:sz w:val="32"/>
          <w:szCs w:val="32"/>
          <w:highlight w:val="none"/>
        </w:rPr>
        <w:t>费用</w:t>
      </w:r>
      <w:r>
        <w:rPr>
          <w:rFonts w:hint="eastAsia" w:ascii="仿宋" w:hAnsi="仿宋" w:eastAsia="仿宋" w:cs="仿宋"/>
          <w:color w:val="auto"/>
          <w:kern w:val="0"/>
          <w:sz w:val="32"/>
          <w:szCs w:val="32"/>
          <w:highlight w:val="none"/>
          <w:lang w:eastAsia="zh-CN"/>
        </w:rPr>
        <w:t>相应</w:t>
      </w:r>
      <w:r>
        <w:rPr>
          <w:rFonts w:hint="eastAsia" w:ascii="仿宋" w:hAnsi="仿宋" w:eastAsia="仿宋" w:cs="仿宋"/>
          <w:color w:val="auto"/>
          <w:kern w:val="0"/>
          <w:sz w:val="32"/>
          <w:szCs w:val="32"/>
          <w:highlight w:val="none"/>
        </w:rPr>
        <w:t>增加</w:t>
      </w:r>
      <w:r>
        <w:rPr>
          <w:rFonts w:hint="eastAsia" w:ascii="仿宋" w:hAnsi="仿宋" w:eastAsia="仿宋" w:cs="仿宋"/>
          <w:color w:val="auto"/>
          <w:kern w:val="0"/>
          <w:sz w:val="32"/>
          <w:szCs w:val="32"/>
          <w:highlight w:val="none"/>
          <w:lang w:eastAsia="zh-CN"/>
        </w:rPr>
        <w:t>；开展公共资源交易活动次数增加，电费、办公费等随之增加。</w:t>
      </w:r>
    </w:p>
    <w:p>
      <w:pPr>
        <w:widowControl/>
        <w:spacing w:line="600" w:lineRule="exact"/>
        <w:ind w:firstLine="640" w:firstLineChars="200"/>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1.62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0"/>
          <w:sz w:val="32"/>
          <w:szCs w:val="32"/>
          <w:highlight w:val="none"/>
        </w:rPr>
        <w:t>按照国家政策规定缴纳职工养老保险等社保方面的支出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减少4.87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下降75.04%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kern w:val="0"/>
          <w:sz w:val="32"/>
          <w:szCs w:val="32"/>
          <w:highlight w:val="none"/>
          <w:lang w:eastAsia="zh-CN"/>
        </w:rPr>
        <w:t>年初预算基数偏高。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highlight w:val="none"/>
        </w:rPr>
        <w:t>3</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7.02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0"/>
          <w:sz w:val="32"/>
          <w:szCs w:val="32"/>
          <w:highlight w:val="none"/>
        </w:rPr>
        <w:t>按照国家政策规定向职工发放的住房公积金、提租补贴、购房补贴等住房改革方</w:t>
      </w:r>
      <w:r>
        <w:rPr>
          <w:rFonts w:hint="eastAsia" w:ascii="仿宋" w:hAnsi="仿宋" w:eastAsia="仿宋" w:cs="仿宋"/>
          <w:color w:val="auto"/>
          <w:spacing w:val="-3"/>
          <w:kern w:val="0"/>
          <w:sz w:val="32"/>
          <w:szCs w:val="32"/>
          <w:highlight w:val="none"/>
        </w:rPr>
        <w:t>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减少0.64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下降8.36%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0"/>
          <w:sz w:val="32"/>
          <w:szCs w:val="32"/>
          <w:highlight w:val="none"/>
        </w:rPr>
        <w:t>住房</w:t>
      </w:r>
      <w:r>
        <w:rPr>
          <w:rFonts w:hint="eastAsia" w:ascii="仿宋" w:hAnsi="仿宋" w:eastAsia="仿宋" w:cs="仿宋"/>
          <w:color w:val="auto"/>
          <w:kern w:val="0"/>
          <w:sz w:val="32"/>
          <w:szCs w:val="32"/>
          <w:highlight w:val="none"/>
          <w:lang w:eastAsia="zh-CN"/>
        </w:rPr>
        <w:t>保障支出年初预算基数偏高。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4.04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2"/>
          <w:sz w:val="32"/>
          <w:szCs w:val="32"/>
          <w:highlight w:val="none"/>
          <w:lang w:val="en-US" w:eastAsia="zh-CN" w:bidi="ar"/>
        </w:rPr>
        <w:t>按照相关规定向职工发放奖励性补贴方面的支出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减少15.00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下降78.78%</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主要原因是：向职工发放奖励性补贴标准降低。</w:t>
      </w:r>
    </w:p>
    <w:p>
      <w:pPr>
        <w:keepNext w:val="0"/>
        <w:keepLines w:val="0"/>
        <w:widowControl w:val="0"/>
        <w:suppressLineNumbers w:val="0"/>
        <w:spacing w:before="0" w:beforeAutospacing="0" w:after="0" w:afterAutospacing="0"/>
        <w:ind w:left="0" w:right="0" w:firstLine="620" w:firstLineChars="200"/>
        <w:jc w:val="left"/>
        <w:rPr>
          <w:rFonts w:hint="eastAsia" w:ascii="仿宋_GB2312" w:hAnsi="仿宋_GB2312" w:eastAsia="仿宋_GB2312" w:cs="仿宋_GB2312"/>
          <w:color w:val="auto"/>
          <w:spacing w:val="6"/>
          <w:kern w:val="0"/>
          <w:sz w:val="32"/>
          <w:szCs w:val="32"/>
          <w:highlight w:val="none"/>
        </w:rPr>
      </w:pP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w:t>
      </w:r>
      <w:r>
        <w:rPr>
          <w:rFonts w:hint="eastAsia" w:ascii="仿宋_GB2312" w:hAnsi="仿宋_GB2312" w:eastAsia="仿宋_GB2312" w:cs="仿宋_GB2312"/>
          <w:color w:val="auto"/>
          <w:spacing w:val="6"/>
          <w:kern w:val="0"/>
          <w:sz w:val="32"/>
          <w:szCs w:val="32"/>
          <w:highlight w:val="none"/>
        </w:rPr>
        <w:t>本年度和上年度结余分配均为0万元。</w:t>
      </w:r>
    </w:p>
    <w:p>
      <w:pPr>
        <w:keepNext w:val="0"/>
        <w:keepLines w:val="0"/>
        <w:widowControl w:val="0"/>
        <w:suppressLineNumbers w:val="0"/>
        <w:spacing w:before="0" w:beforeAutospacing="0" w:after="0" w:afterAutospacing="0"/>
        <w:ind w:left="0" w:right="0" w:firstLine="664" w:firstLineChars="200"/>
        <w:jc w:val="left"/>
        <w:rPr>
          <w:rFonts w:ascii="仿宋" w:hAnsi="仿宋" w:eastAsia="仿宋" w:cs="仿宋"/>
          <w:color w:val="auto"/>
          <w:sz w:val="32"/>
          <w:szCs w:val="32"/>
          <w:highlight w:val="none"/>
        </w:rPr>
      </w:pPr>
      <w:r>
        <w:rPr>
          <w:rFonts w:hint="eastAsia" w:ascii="仿宋_GB2312" w:hAnsi="仿宋_GB2312" w:eastAsia="仿宋_GB2312" w:cs="仿宋_GB2312"/>
          <w:color w:val="auto"/>
          <w:spacing w:val="6"/>
          <w:kern w:val="0"/>
          <w:sz w:val="32"/>
          <w:szCs w:val="32"/>
          <w:highlight w:val="none"/>
          <w:lang w:val="en-US" w:eastAsia="zh-CN"/>
        </w:rPr>
        <w:t>6.</w:t>
      </w:r>
      <w:r>
        <w:rPr>
          <w:rFonts w:hint="eastAsia" w:ascii="仿宋" w:hAnsi="仿宋" w:eastAsia="仿宋" w:cs="仿宋"/>
          <w:color w:val="auto"/>
          <w:sz w:val="32"/>
          <w:szCs w:val="32"/>
          <w:highlight w:val="none"/>
        </w:rPr>
        <w:t>年末结转和结余</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spacing w:val="6"/>
          <w:kern w:val="0"/>
          <w:sz w:val="32"/>
          <w:szCs w:val="32"/>
          <w:highlight w:val="none"/>
        </w:rPr>
        <w:t>本年度和上年度</w:t>
      </w:r>
      <w:r>
        <w:rPr>
          <w:rFonts w:hint="eastAsia" w:ascii="仿宋_GB2312" w:hAnsi="仿宋_GB2312" w:eastAsia="仿宋_GB2312" w:cs="仿宋_GB2312"/>
          <w:color w:val="auto"/>
          <w:spacing w:val="6"/>
          <w:kern w:val="0"/>
          <w:sz w:val="32"/>
          <w:szCs w:val="32"/>
          <w:highlight w:val="none"/>
          <w:lang w:eastAsia="zh-CN"/>
        </w:rPr>
        <w:t>年末结转和结余</w:t>
      </w:r>
      <w:r>
        <w:rPr>
          <w:rFonts w:hint="eastAsia" w:ascii="仿宋_GB2312" w:hAnsi="仿宋_GB2312" w:eastAsia="仿宋_GB2312" w:cs="仿宋_GB2312"/>
          <w:color w:val="auto"/>
          <w:spacing w:val="6"/>
          <w:kern w:val="0"/>
          <w:sz w:val="32"/>
          <w:szCs w:val="32"/>
          <w:highlight w:val="none"/>
        </w:rPr>
        <w:t>均为0万元。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p>
    <w:p>
      <w:pPr>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环江毛南族自治县公共资源交易中心2022年度一般公共预算财政拨款支出</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highlight w:val="none"/>
          <w:u w:color="auto"/>
        </w:rPr>
        <w:t>增加6.53</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增长7.31%</w:t>
      </w:r>
      <w:r>
        <w:rPr>
          <w:rFonts w:hint="eastAsia" w:ascii="仿宋" w:hAnsi="仿宋" w:eastAsia="仿宋" w:cs="仿宋"/>
          <w:color w:val="auto"/>
          <w:sz w:val="32"/>
          <w:szCs w:val="32"/>
          <w:highlight w:val="none"/>
        </w:rPr>
        <w:t>。其中：基本支出</w:t>
      </w:r>
      <w:r>
        <w:rPr>
          <w:rFonts w:ascii="仿宋" w:hAnsi="仿宋" w:eastAsia="仿宋" w:cs="仿宋"/>
          <w:color w:val="auto"/>
          <w:sz w:val="32"/>
          <w:highlight w:val="none"/>
          <w:u w:color="auto"/>
        </w:rPr>
        <w:t>91.67</w:t>
      </w:r>
      <w:r>
        <w:rPr>
          <w:rFonts w:hint="eastAsia" w:ascii="仿宋" w:hAnsi="仿宋" w:eastAsia="仿宋" w:cs="仿宋"/>
          <w:color w:val="auto"/>
          <w:sz w:val="32"/>
          <w:szCs w:val="32"/>
          <w:highlight w:val="none"/>
        </w:rPr>
        <w:t>万元，项目支出</w:t>
      </w:r>
      <w:r>
        <w:rPr>
          <w:rFonts w:ascii="仿宋" w:hAnsi="仿宋" w:eastAsia="仿宋" w:cs="仿宋"/>
          <w:color w:val="auto"/>
          <w:sz w:val="32"/>
          <w:highlight w:val="none"/>
          <w:u w:color="auto"/>
        </w:rPr>
        <w:t>4.18</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rPr>
        <w:t>环江毛南族自治县公共资源交易中心2022 年度一般公共预算财政拨款支出年初预算为</w:t>
      </w:r>
      <w:r>
        <w:rPr>
          <w:rFonts w:ascii="仿宋" w:hAnsi="仿宋" w:eastAsia="仿宋" w:cs="仿宋"/>
          <w:color w:val="auto"/>
          <w:sz w:val="32"/>
          <w:highlight w:val="none"/>
          <w:u w:color="auto"/>
        </w:rPr>
        <w:t>94.08</w:t>
      </w:r>
      <w:r>
        <w:rPr>
          <w:rFonts w:hint="eastAsia" w:ascii="仿宋" w:hAnsi="仿宋" w:eastAsia="仿宋" w:cs="仿宋"/>
          <w:color w:val="auto"/>
          <w:sz w:val="32"/>
          <w:szCs w:val="32"/>
          <w:highlight w:val="none"/>
        </w:rPr>
        <w:t>万元，支出决算为</w:t>
      </w:r>
      <w:r>
        <w:rPr>
          <w:rFonts w:ascii="仿宋" w:hAnsi="仿宋" w:eastAsia="仿宋" w:cs="仿宋"/>
          <w:color w:val="auto"/>
          <w:sz w:val="32"/>
          <w:highlight w:val="none"/>
          <w:u w:color="auto"/>
        </w:rPr>
        <w:t>95.85</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101.88%</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highlight w:val="none"/>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75.21</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83.17</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110.58%</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0"/>
          <w:sz w:val="32"/>
          <w:szCs w:val="32"/>
          <w:highlight w:val="none"/>
          <w:lang w:eastAsia="zh-CN"/>
        </w:rPr>
        <w:t>开展公共资源交易活动业务量增多，电费、办公费、维修（护）费等随之增加</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73.87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32.30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43.73%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年初预算基数偏低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2010308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信访事务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其他社会保障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2010350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49.46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年初预算基数偏低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年初预算与决算金额相同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75.21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auto"/>
          <w:highlight w:val="none"/>
          <w:lang w:val="en-US" w:eastAsia="zh-CN"/>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highlight w:val="none"/>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10.73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1.62</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15.10%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_GB2312" w:hAnsi="仿宋_GB2312" w:eastAsia="仿宋_GB2312" w:cs="仿宋_GB2312"/>
          <w:bCs/>
          <w:color w:val="auto"/>
          <w:kern w:val="0"/>
          <w:sz w:val="32"/>
          <w:szCs w:val="32"/>
          <w:highlight w:val="none"/>
        </w:rPr>
        <w:t>年初预算基数偏高，下达指标高于按规定的比例计缴金额</w:t>
      </w:r>
      <w:r>
        <w:rPr>
          <w:rFonts w:hint="eastAsia" w:ascii="仿宋_GB2312" w:hAnsi="仿宋_GB2312" w:eastAsia="仿宋_GB2312" w:cs="仿宋_GB2312"/>
          <w:bCs/>
          <w:color w:val="auto"/>
          <w:kern w:val="0"/>
          <w:sz w:val="32"/>
          <w:szCs w:val="32"/>
          <w:highlight w:val="none"/>
          <w:lang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15.10%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年初预算基数偏高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6917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highlight w:val="none"/>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8.14</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7.02</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86.24%</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_GB2312" w:hAnsi="仿宋_GB2312" w:eastAsia="仿宋_GB2312" w:cs="仿宋_GB2312"/>
          <w:bCs/>
          <w:color w:val="auto"/>
          <w:kern w:val="0"/>
          <w:sz w:val="32"/>
          <w:szCs w:val="32"/>
          <w:highlight w:val="none"/>
        </w:rPr>
        <w:t>年初预算基数偏</w:t>
      </w:r>
      <w:r>
        <w:rPr>
          <w:rFonts w:hint="eastAsia" w:ascii="仿宋_GB2312" w:hAnsi="仿宋_GB2312" w:eastAsia="仿宋_GB2312" w:cs="仿宋_GB2312"/>
          <w:bCs/>
          <w:color w:val="auto"/>
          <w:kern w:val="0"/>
          <w:sz w:val="32"/>
          <w:szCs w:val="32"/>
          <w:highlight w:val="none"/>
          <w:lang w:eastAsia="zh-CN"/>
        </w:rPr>
        <w:t>高</w:t>
      </w:r>
      <w:r>
        <w:rPr>
          <w:rFonts w:hint="eastAsia" w:ascii="仿宋_GB2312" w:hAnsi="仿宋_GB2312" w:eastAsia="仿宋_GB2312" w:cs="仿宋_GB2312"/>
          <w:bCs/>
          <w:color w:val="auto"/>
          <w:kern w:val="0"/>
          <w:sz w:val="32"/>
          <w:szCs w:val="32"/>
          <w:highlight w:val="none"/>
        </w:rPr>
        <w:t>，下达指标高于按规定的比例计缴金额</w:t>
      </w:r>
      <w:r>
        <w:rPr>
          <w:rFonts w:hint="eastAsia" w:ascii="仿宋_GB2312" w:hAnsi="仿宋_GB2312" w:eastAsia="仿宋_GB2312" w:cs="仿宋_GB2312"/>
          <w:bCs/>
          <w:color w:val="auto"/>
          <w:kern w:val="0"/>
          <w:sz w:val="32"/>
          <w:szCs w:val="32"/>
          <w:highlight w:val="none"/>
          <w:lang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年初预算基数偏高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highlight w:val="none"/>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1.34</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4.04</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301.49%</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_GB2312" w:hAnsi="仿宋_GB2312" w:eastAsia="仿宋_GB2312" w:cs="仿宋_GB2312"/>
          <w:bCs/>
          <w:color w:val="auto"/>
          <w:kern w:val="0"/>
          <w:sz w:val="32"/>
          <w:szCs w:val="32"/>
          <w:highlight w:val="none"/>
        </w:rPr>
        <w:t>年初预算基数偏</w:t>
      </w:r>
      <w:r>
        <w:rPr>
          <w:rFonts w:hint="eastAsia" w:ascii="仿宋_GB2312" w:hAnsi="仿宋_GB2312" w:eastAsia="仿宋_GB2312" w:cs="仿宋_GB2312"/>
          <w:bCs/>
          <w:color w:val="auto"/>
          <w:kern w:val="0"/>
          <w:sz w:val="32"/>
          <w:szCs w:val="32"/>
          <w:highlight w:val="none"/>
          <w:lang w:eastAsia="zh-CN"/>
        </w:rPr>
        <w:t>低</w:t>
      </w:r>
      <w:r>
        <w:rPr>
          <w:rFonts w:hint="eastAsia" w:ascii="仿宋_GB2312" w:hAnsi="仿宋_GB2312" w:eastAsia="仿宋_GB2312" w:cs="仿宋_GB2312"/>
          <w:bCs/>
          <w:color w:val="auto"/>
          <w:kern w:val="0"/>
          <w:sz w:val="32"/>
          <w:szCs w:val="32"/>
          <w:highlight w:val="none"/>
        </w:rPr>
        <w:t>，下达指标</w:t>
      </w:r>
      <w:r>
        <w:rPr>
          <w:rFonts w:hint="eastAsia" w:ascii="仿宋_GB2312" w:hAnsi="仿宋_GB2312" w:eastAsia="仿宋_GB2312" w:cs="仿宋_GB2312"/>
          <w:bCs/>
          <w:color w:val="auto"/>
          <w:kern w:val="0"/>
          <w:sz w:val="32"/>
          <w:szCs w:val="32"/>
          <w:highlight w:val="none"/>
          <w:lang w:eastAsia="zh-CN"/>
        </w:rPr>
        <w:t>低</w:t>
      </w:r>
      <w:r>
        <w:rPr>
          <w:rFonts w:hint="eastAsia" w:ascii="仿宋_GB2312" w:hAnsi="仿宋_GB2312" w:eastAsia="仿宋_GB2312" w:cs="仿宋_GB2312"/>
          <w:bCs/>
          <w:color w:val="auto"/>
          <w:kern w:val="0"/>
          <w:sz w:val="32"/>
          <w:szCs w:val="32"/>
          <w:highlight w:val="none"/>
        </w:rPr>
        <w:t>于按规定的比例计缴金额</w:t>
      </w:r>
      <w:r>
        <w:rPr>
          <w:rFonts w:hint="eastAsia" w:ascii="仿宋_GB2312" w:hAnsi="仿宋_GB2312" w:eastAsia="仿宋_GB2312" w:cs="仿宋_GB2312"/>
          <w:bCs/>
          <w:color w:val="auto"/>
          <w:kern w:val="0"/>
          <w:sz w:val="32"/>
          <w:szCs w:val="32"/>
          <w:highlight w:val="none"/>
          <w:lang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发放职工奖励补贴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年初预算基数偏低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p>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环江毛南族自治县公共资源交易中心2022年度一般公共预算财政拨款基本支出</w:t>
      </w:r>
      <w:r>
        <w:rPr>
          <w:rFonts w:ascii="仿宋" w:hAnsi="仿宋" w:eastAsia="仿宋" w:cs="仿宋"/>
          <w:color w:val="auto"/>
          <w:sz w:val="32"/>
          <w:highlight w:val="none"/>
          <w:u w:color="auto"/>
        </w:rPr>
        <w:t>91.67</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89.97</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1.70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r>
        <w:rPr>
          <w:rFonts w:hint="eastAsia" w:ascii="仿宋" w:hAnsi="仿宋" w:eastAsia="仿宋" w:cs="仿宋"/>
          <w:color w:val="auto"/>
          <w:sz w:val="32"/>
          <w:szCs w:val="32"/>
          <w:highlight w:val="none"/>
          <w:lang w:val="en-US" w:eastAsia="zh-CN"/>
        </w:rPr>
        <w:tab/>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工资福利支出</w:t>
      </w:r>
      <w:r>
        <w:rPr>
          <w:rFonts w:ascii="仿宋" w:hAnsi="仿宋" w:eastAsia="仿宋" w:cs="仿宋"/>
          <w:color w:val="auto"/>
          <w:sz w:val="32"/>
          <w:highlight w:val="none"/>
          <w:u w:color="auto"/>
        </w:rPr>
        <w:t>89.97万元，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115.45%</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Cs/>
          <w:color w:val="auto"/>
          <w:kern w:val="0"/>
          <w:sz w:val="32"/>
          <w:szCs w:val="32"/>
          <w:highlight w:val="none"/>
        </w:rPr>
        <w:t>年初预算基数偏</w:t>
      </w:r>
      <w:r>
        <w:rPr>
          <w:rFonts w:hint="eastAsia" w:ascii="仿宋_GB2312" w:hAnsi="仿宋_GB2312" w:eastAsia="仿宋_GB2312" w:cs="仿宋_GB2312"/>
          <w:bCs/>
          <w:color w:val="auto"/>
          <w:kern w:val="0"/>
          <w:sz w:val="32"/>
          <w:szCs w:val="32"/>
          <w:highlight w:val="none"/>
          <w:lang w:eastAsia="zh-CN"/>
        </w:rPr>
        <w:t>低</w:t>
      </w:r>
      <w:r>
        <w:rPr>
          <w:rFonts w:hint="eastAsia" w:ascii="仿宋_GB2312" w:hAnsi="仿宋_GB2312" w:eastAsia="仿宋_GB2312" w:cs="仿宋_GB2312"/>
          <w:bCs/>
          <w:color w:val="auto"/>
          <w:kern w:val="0"/>
          <w:sz w:val="32"/>
          <w:szCs w:val="32"/>
          <w:highlight w:val="none"/>
        </w:rPr>
        <w:t>，下达指标</w:t>
      </w:r>
      <w:r>
        <w:rPr>
          <w:rFonts w:hint="eastAsia" w:ascii="仿宋_GB2312" w:hAnsi="仿宋_GB2312" w:eastAsia="仿宋_GB2312" w:cs="仿宋_GB2312"/>
          <w:bCs/>
          <w:color w:val="auto"/>
          <w:kern w:val="0"/>
          <w:sz w:val="32"/>
          <w:szCs w:val="32"/>
          <w:highlight w:val="none"/>
          <w:lang w:eastAsia="zh-CN"/>
        </w:rPr>
        <w:t>低</w:t>
      </w:r>
      <w:r>
        <w:rPr>
          <w:rFonts w:hint="eastAsia" w:ascii="仿宋_GB2312" w:hAnsi="仿宋_GB2312" w:eastAsia="仿宋_GB2312" w:cs="仿宋_GB2312"/>
          <w:bCs/>
          <w:color w:val="auto"/>
          <w:kern w:val="0"/>
          <w:sz w:val="32"/>
          <w:szCs w:val="32"/>
          <w:highlight w:val="none"/>
        </w:rPr>
        <w:t>于按规定的比例计缴金额</w:t>
      </w:r>
      <w:r>
        <w:rPr>
          <w:rFonts w:hint="eastAsia" w:ascii="仿宋_GB2312" w:hAnsi="仿宋_GB2312" w:eastAsia="仿宋_GB2312" w:cs="仿宋_GB2312"/>
          <w:bCs/>
          <w:color w:val="auto"/>
          <w:kern w:val="0"/>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28.84万元，30102津贴补贴3.36万元，30103奖金26.28万元，30106伙食补助费1.40万元，30107绩效工资12.98万元，30108机关事业单位基本养老保险缴费6.49万元，30110职工基本医疗保险缴费2.68万元，30112其他社会保障缴费0.28万元，30113住房公积金7.66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highlight w:val="none"/>
          <w:u w:color="auto"/>
        </w:rPr>
        <w:t>1.70万元，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50.9%</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bCs/>
          <w:color w:val="auto"/>
          <w:kern w:val="0"/>
          <w:sz w:val="32"/>
          <w:szCs w:val="32"/>
          <w:highlight w:val="none"/>
        </w:rPr>
        <w:t>年初预算基数偏</w:t>
      </w:r>
      <w:r>
        <w:rPr>
          <w:rFonts w:hint="eastAsia" w:ascii="仿宋_GB2312" w:hAnsi="仿宋_GB2312" w:eastAsia="仿宋_GB2312" w:cs="仿宋_GB2312"/>
          <w:bCs/>
          <w:color w:val="auto"/>
          <w:kern w:val="0"/>
          <w:sz w:val="32"/>
          <w:szCs w:val="32"/>
          <w:highlight w:val="none"/>
          <w:lang w:eastAsia="zh-CN"/>
        </w:rPr>
        <w:t>高</w:t>
      </w:r>
      <w:r>
        <w:rPr>
          <w:rFonts w:hint="eastAsia" w:ascii="仿宋_GB2312" w:hAnsi="仿宋_GB2312" w:eastAsia="仿宋_GB2312" w:cs="仿宋_GB2312"/>
          <w:bCs/>
          <w:color w:val="auto"/>
          <w:kern w:val="0"/>
          <w:sz w:val="32"/>
          <w:szCs w:val="32"/>
          <w:highlight w:val="none"/>
        </w:rPr>
        <w:t>，下达指标</w:t>
      </w:r>
      <w:r>
        <w:rPr>
          <w:rFonts w:hint="eastAsia" w:ascii="仿宋_GB2312" w:hAnsi="仿宋_GB2312" w:eastAsia="仿宋_GB2312" w:cs="仿宋_GB2312"/>
          <w:bCs/>
          <w:color w:val="auto"/>
          <w:kern w:val="0"/>
          <w:sz w:val="32"/>
          <w:szCs w:val="32"/>
          <w:highlight w:val="none"/>
          <w:lang w:eastAsia="zh-CN"/>
        </w:rPr>
        <w:t>高</w:t>
      </w:r>
      <w:r>
        <w:rPr>
          <w:rFonts w:hint="eastAsia" w:ascii="仿宋_GB2312" w:hAnsi="仿宋_GB2312" w:eastAsia="仿宋_GB2312" w:cs="仿宋_GB2312"/>
          <w:bCs/>
          <w:color w:val="auto"/>
          <w:kern w:val="0"/>
          <w:sz w:val="32"/>
          <w:szCs w:val="32"/>
          <w:highlight w:val="none"/>
        </w:rPr>
        <w:t>于按规定的比例计缴金额</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30201办公费0.36万元，30228工会经费1.34万元。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highlight w:val="none"/>
          <w:u w:color="auto"/>
        </w:rPr>
        <w:t>0.01万元，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30305生活补助0.01万元。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spacing w:val="6"/>
          <w:kern w:val="0"/>
          <w:sz w:val="32"/>
          <w:szCs w:val="32"/>
          <w:highlight w:val="none"/>
        </w:rPr>
        <w:t>本年度和上年度</w:t>
      </w:r>
      <w:r>
        <w:rPr>
          <w:rFonts w:hint="eastAsia" w:ascii="仿宋_GB2312" w:hAnsi="仿宋_GB2312" w:eastAsia="仿宋_GB2312" w:cs="仿宋_GB2312"/>
          <w:color w:val="auto"/>
          <w:spacing w:val="6"/>
          <w:kern w:val="0"/>
          <w:sz w:val="32"/>
          <w:szCs w:val="32"/>
          <w:highlight w:val="none"/>
          <w:lang w:eastAsia="zh-CN"/>
        </w:rPr>
        <w:t>年末债务利息及费用支出</w:t>
      </w:r>
      <w:r>
        <w:rPr>
          <w:rFonts w:hint="eastAsia" w:ascii="仿宋_GB2312" w:hAnsi="仿宋_GB2312" w:eastAsia="仿宋_GB2312" w:cs="仿宋_GB2312"/>
          <w:color w:val="auto"/>
          <w:spacing w:val="6"/>
          <w:kern w:val="0"/>
          <w:sz w:val="32"/>
          <w:szCs w:val="32"/>
          <w:highlight w:val="none"/>
        </w:rPr>
        <w:t>均为0万元</w:t>
      </w:r>
      <w:r>
        <w:rPr>
          <w:rFonts w:hint="eastAsia" w:ascii="仿宋_GB2312" w:hAnsi="仿宋_GB2312" w:eastAsia="仿宋_GB2312" w:cs="仿宋_GB2312"/>
          <w:color w:val="auto"/>
          <w:spacing w:val="6"/>
          <w:kern w:val="0"/>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7393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spacing w:val="6"/>
          <w:kern w:val="0"/>
          <w:sz w:val="32"/>
          <w:szCs w:val="32"/>
          <w:highlight w:val="none"/>
        </w:rPr>
        <w:t>本年度和上年度</w:t>
      </w:r>
      <w:r>
        <w:rPr>
          <w:rFonts w:hint="eastAsia" w:ascii="仿宋_GB2312" w:hAnsi="仿宋_GB2312" w:eastAsia="仿宋_GB2312" w:cs="仿宋_GB2312"/>
          <w:color w:val="auto"/>
          <w:spacing w:val="6"/>
          <w:kern w:val="0"/>
          <w:sz w:val="32"/>
          <w:szCs w:val="32"/>
          <w:highlight w:val="none"/>
          <w:lang w:eastAsia="zh-CN"/>
        </w:rPr>
        <w:t>年末资本性支出</w:t>
      </w:r>
      <w:r>
        <w:rPr>
          <w:rFonts w:hint="eastAsia" w:ascii="仿宋_GB2312" w:hAnsi="仿宋_GB2312" w:eastAsia="仿宋_GB2312" w:cs="仿宋_GB2312"/>
          <w:color w:val="auto"/>
          <w:spacing w:val="6"/>
          <w:kern w:val="0"/>
          <w:sz w:val="32"/>
          <w:szCs w:val="32"/>
          <w:highlight w:val="none"/>
        </w:rPr>
        <w:t>均为0万元</w:t>
      </w:r>
      <w:r>
        <w:rPr>
          <w:rFonts w:hint="eastAsia" w:ascii="仿宋_GB2312" w:hAnsi="仿宋_GB2312" w:eastAsia="仿宋_GB2312" w:cs="仿宋_GB2312"/>
          <w:color w:val="auto"/>
          <w:spacing w:val="6"/>
          <w:kern w:val="0"/>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84480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highlight w:val="none"/>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spacing w:val="6"/>
          <w:kern w:val="0"/>
          <w:sz w:val="32"/>
          <w:szCs w:val="32"/>
          <w:highlight w:val="none"/>
        </w:rPr>
        <w:t>本年度和上年度</w:t>
      </w:r>
      <w:r>
        <w:rPr>
          <w:rFonts w:hint="eastAsia" w:ascii="仿宋_GB2312" w:hAnsi="仿宋_GB2312" w:eastAsia="仿宋_GB2312" w:cs="仿宋_GB2312"/>
          <w:color w:val="auto"/>
          <w:spacing w:val="6"/>
          <w:kern w:val="0"/>
          <w:sz w:val="32"/>
          <w:szCs w:val="32"/>
          <w:highlight w:val="none"/>
          <w:lang w:eastAsia="zh-CN"/>
        </w:rPr>
        <w:t>年末其他支出</w:t>
      </w:r>
      <w:r>
        <w:rPr>
          <w:rFonts w:hint="eastAsia" w:ascii="仿宋_GB2312" w:hAnsi="仿宋_GB2312" w:eastAsia="仿宋_GB2312" w:cs="仿宋_GB2312"/>
          <w:color w:val="auto"/>
          <w:spacing w:val="6"/>
          <w:kern w:val="0"/>
          <w:sz w:val="32"/>
          <w:szCs w:val="32"/>
          <w:highlight w:val="none"/>
        </w:rPr>
        <w:t>均为0万元</w:t>
      </w:r>
      <w:r>
        <w:rPr>
          <w:rFonts w:hint="eastAsia" w:ascii="仿宋_GB2312" w:hAnsi="仿宋_GB2312" w:eastAsia="仿宋_GB2312" w:cs="仿宋_GB2312"/>
          <w:color w:val="auto"/>
          <w:spacing w:val="6"/>
          <w:kern w:val="0"/>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环江毛南族自治县公共资源交易中心2022年度政府性基金支出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环江毛南族自治县公共资源交易中心2022年度政府性基金支出年初预算为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环江毛南族自治县公共资源交易中心没有政府性基金收入，也没有政府性基金收入安排的支出</w:t>
      </w:r>
      <w:r>
        <w:rPr>
          <w:rFonts w:hint="eastAsia" w:ascii="仿宋" w:hAnsi="仿宋" w:eastAsia="仿宋" w:cs="仿宋"/>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环江毛南族自治县公共资源交易中心2022年度国有资本经营预算支出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环江毛南族自治县公共资源交易中心2022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_GB2312" w:hAnsi="仿宋_GB2312" w:eastAsia="仿宋_GB2312" w:cs="仿宋_GB2312"/>
          <w:color w:val="auto"/>
          <w:spacing w:val="6"/>
          <w:kern w:val="0"/>
          <w:sz w:val="32"/>
          <w:szCs w:val="32"/>
          <w:highlight w:val="none"/>
          <w:lang w:eastAsia="zh-CN"/>
        </w:rPr>
      </w:pPr>
      <w:bookmarkStart w:id="4" w:name="PO_part3A5B1C1DiffReason1"/>
      <w:r>
        <w:rPr>
          <w:rFonts w:hint="eastAsia" w:ascii="仿宋_GB2312" w:hAnsi="Times New Roman" w:eastAsia="仿宋_GB2312" w:cs="Times New Roman"/>
          <w:color w:val="auto"/>
          <w:sz w:val="32"/>
          <w:szCs w:val="32"/>
          <w:highlight w:val="none"/>
        </w:rPr>
        <w:t>环江毛南族自治县公共资源交易中心</w:t>
      </w:r>
      <w:bookmarkEnd w:id="4"/>
      <w:r>
        <w:rPr>
          <w:rFonts w:hint="eastAsia" w:ascii="仿宋_GB2312" w:hAnsi="Times New Roman" w:eastAsia="仿宋_GB2312" w:cs="Times New Roman"/>
          <w:color w:val="auto"/>
          <w:sz w:val="32"/>
          <w:szCs w:val="32"/>
          <w:highlight w:val="none"/>
          <w:lang w:val="en-US" w:eastAsia="zh-CN"/>
        </w:rPr>
        <w:t>2022</w:t>
      </w:r>
      <w:r>
        <w:rPr>
          <w:rFonts w:hint="eastAsia" w:ascii="仿宋_GB2312" w:hAnsi="仿宋_GB2312" w:eastAsia="仿宋_GB2312" w:cs="仿宋_GB2312"/>
          <w:color w:val="auto"/>
          <w:spacing w:val="6"/>
          <w:kern w:val="0"/>
          <w:sz w:val="32"/>
          <w:szCs w:val="32"/>
          <w:highlight w:val="none"/>
        </w:rPr>
        <w:t>年度</w:t>
      </w:r>
      <w:r>
        <w:rPr>
          <w:rFonts w:hint="eastAsia" w:ascii="仿宋" w:hAnsi="仿宋" w:eastAsia="仿宋" w:cs="仿宋"/>
          <w:color w:val="auto"/>
          <w:sz w:val="32"/>
          <w:szCs w:val="32"/>
          <w:highlight w:val="none"/>
        </w:rPr>
        <w:t>国有资本经营</w:t>
      </w:r>
      <w:r>
        <w:rPr>
          <w:rFonts w:hint="eastAsia" w:ascii="仿宋_GB2312" w:hAnsi="仿宋_GB2312" w:eastAsia="仿宋_GB2312" w:cs="仿宋_GB2312"/>
          <w:color w:val="auto"/>
          <w:spacing w:val="6"/>
          <w:kern w:val="0"/>
          <w:sz w:val="32"/>
          <w:szCs w:val="32"/>
          <w:highlight w:val="none"/>
          <w:lang w:eastAsia="zh-CN"/>
        </w:rPr>
        <w:t>支出</w:t>
      </w:r>
      <w:r>
        <w:rPr>
          <w:rFonts w:hint="eastAsia" w:ascii="仿宋_GB2312" w:hAnsi="仿宋_GB2312" w:eastAsia="仿宋_GB2312" w:cs="仿宋_GB2312"/>
          <w:color w:val="auto"/>
          <w:spacing w:val="6"/>
          <w:kern w:val="0"/>
          <w:sz w:val="32"/>
          <w:szCs w:val="32"/>
          <w:highlight w:val="none"/>
        </w:rPr>
        <w:t>和</w:t>
      </w:r>
      <w:r>
        <w:rPr>
          <w:rFonts w:hint="eastAsia" w:ascii="仿宋_GB2312" w:hAnsi="仿宋_GB2312" w:eastAsia="仿宋_GB2312" w:cs="仿宋_GB2312"/>
          <w:color w:val="auto"/>
          <w:spacing w:val="6"/>
          <w:kern w:val="0"/>
          <w:sz w:val="32"/>
          <w:szCs w:val="32"/>
          <w:highlight w:val="none"/>
          <w:lang w:val="en-US" w:eastAsia="zh-CN"/>
        </w:rPr>
        <w:t>2022</w:t>
      </w:r>
      <w:r>
        <w:rPr>
          <w:rFonts w:hint="eastAsia" w:ascii="仿宋_GB2312" w:hAnsi="仿宋_GB2312" w:eastAsia="仿宋_GB2312" w:cs="仿宋_GB2312"/>
          <w:color w:val="auto"/>
          <w:spacing w:val="6"/>
          <w:kern w:val="0"/>
          <w:sz w:val="32"/>
          <w:szCs w:val="32"/>
          <w:highlight w:val="none"/>
        </w:rPr>
        <w:t>年度</w:t>
      </w:r>
      <w:r>
        <w:rPr>
          <w:rFonts w:hint="eastAsia" w:ascii="仿宋" w:hAnsi="仿宋" w:eastAsia="仿宋" w:cs="仿宋"/>
          <w:color w:val="auto"/>
          <w:sz w:val="32"/>
          <w:szCs w:val="32"/>
          <w:highlight w:val="none"/>
        </w:rPr>
        <w:t>国有资本经营</w:t>
      </w:r>
      <w:r>
        <w:rPr>
          <w:rFonts w:hint="eastAsia" w:ascii="仿宋_GB2312" w:hAnsi="仿宋_GB2312" w:eastAsia="仿宋_GB2312" w:cs="仿宋_GB2312"/>
          <w:color w:val="auto"/>
          <w:spacing w:val="6"/>
          <w:kern w:val="0"/>
          <w:sz w:val="32"/>
          <w:szCs w:val="32"/>
          <w:highlight w:val="none"/>
          <w:lang w:eastAsia="zh-CN"/>
        </w:rPr>
        <w:t>预算支出</w:t>
      </w:r>
      <w:r>
        <w:rPr>
          <w:rFonts w:hint="eastAsia" w:ascii="仿宋_GB2312" w:hAnsi="仿宋_GB2312" w:eastAsia="仿宋_GB2312" w:cs="仿宋_GB2312"/>
          <w:color w:val="auto"/>
          <w:spacing w:val="6"/>
          <w:kern w:val="0"/>
          <w:sz w:val="32"/>
          <w:szCs w:val="32"/>
          <w:highlight w:val="none"/>
        </w:rPr>
        <w:t>均为0万元</w:t>
      </w:r>
      <w:r>
        <w:rPr>
          <w:rFonts w:hint="eastAsia" w:ascii="仿宋_GB2312" w:hAnsi="仿宋_GB2312" w:eastAsia="仿宋_GB2312" w:cs="仿宋_GB2312"/>
          <w:color w:val="auto"/>
          <w:spacing w:val="6"/>
          <w:kern w:val="0"/>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bCs/>
          <w:color w:val="auto"/>
          <w:kern w:val="0"/>
          <w:sz w:val="32"/>
          <w:szCs w:val="32"/>
          <w:highlight w:val="none"/>
        </w:rPr>
        <w:t>上年度和本年度均未安排“三公”经费，公务接待一直由主管部门接待</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eastAsia="zh-CN"/>
        </w:rPr>
        <w:t>主要</w:t>
      </w:r>
      <w:r>
        <w:rPr>
          <w:rFonts w:hint="eastAsia" w:ascii="仿宋" w:hAnsi="仿宋" w:eastAsia="仿宋" w:cs="仿宋"/>
          <w:color w:val="auto"/>
          <w:sz w:val="32"/>
          <w:szCs w:val="32"/>
          <w:highlight w:val="none"/>
          <w:lang w:val="en-US" w:eastAsia="zh-CN"/>
        </w:rPr>
        <w:t>原因是：</w:t>
      </w:r>
      <w:r>
        <w:rPr>
          <w:rFonts w:hint="eastAsia" w:ascii="仿宋_GB2312" w:hAnsi="仿宋_GB2312" w:eastAsia="仿宋_GB2312" w:cs="仿宋_GB2312"/>
          <w:color w:val="auto"/>
          <w:spacing w:val="6"/>
          <w:kern w:val="0"/>
          <w:sz w:val="32"/>
          <w:szCs w:val="32"/>
          <w:highlight w:val="none"/>
        </w:rPr>
        <w:t>本年度和上年度</w:t>
      </w:r>
      <w:r>
        <w:rPr>
          <w:rFonts w:hint="eastAsia" w:ascii="仿宋" w:hAnsi="仿宋" w:eastAsia="仿宋" w:cs="仿宋"/>
          <w:color w:val="auto"/>
          <w:sz w:val="32"/>
          <w:szCs w:val="32"/>
          <w:highlight w:val="none"/>
        </w:rPr>
        <w:t>因公出国（境）费支出</w:t>
      </w:r>
      <w:r>
        <w:rPr>
          <w:rFonts w:hint="eastAsia" w:ascii="仿宋_GB2312" w:hAnsi="仿宋_GB2312" w:eastAsia="仿宋_GB2312" w:cs="仿宋_GB2312"/>
          <w:color w:val="auto"/>
          <w:spacing w:val="6"/>
          <w:kern w:val="0"/>
          <w:sz w:val="32"/>
          <w:szCs w:val="32"/>
          <w:highlight w:val="none"/>
        </w:rPr>
        <w:t>均为0万元</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Times New Roman" w:eastAsia="仿宋_GB2312" w:cs="Times New Roman"/>
          <w:color w:val="auto"/>
          <w:sz w:val="32"/>
          <w:szCs w:val="32"/>
          <w:highlight w:val="none"/>
        </w:rPr>
        <w:t>全年使用财政拨款安排</w:t>
      </w:r>
      <w:r>
        <w:rPr>
          <w:rFonts w:hint="eastAsia" w:ascii="仿宋_GB2312" w:hAnsi="Times New Roman" w:eastAsia="仿宋_GB2312" w:cs="Times New Roman"/>
          <w:color w:val="auto"/>
          <w:sz w:val="32"/>
          <w:szCs w:val="32"/>
          <w:highlight w:val="non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0</w:t>
      </w:r>
      <w:r>
        <w:rPr>
          <w:rFonts w:hint="eastAsia" w:ascii="仿宋_GB2312" w:hAnsi="Times New Roman" w:eastAsia="仿宋_GB2312" w:cs="Times New Roman"/>
          <w:color w:val="auto"/>
          <w:sz w:val="32"/>
          <w:szCs w:val="32"/>
          <w:highlight w:val="none"/>
        </w:rPr>
        <w:t>（局、办、镇）机关、</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rPr>
        <w:t>个所属单位出国团组</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rPr>
        <w:t>个，参加其他单位组织的出国团组</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u w:val="single"/>
          <w:lang w:val="en-US" w:eastAsia="zh-CN"/>
        </w:rPr>
        <w:t>0</w:t>
      </w:r>
      <w:r>
        <w:rPr>
          <w:rFonts w:hint="eastAsia" w:ascii="仿宋_GB2312" w:hAnsi="Times New Roman" w:eastAsia="仿宋_GB2312" w:cs="Times New Roman"/>
          <w:color w:val="auto"/>
          <w:sz w:val="32"/>
          <w:szCs w:val="32"/>
          <w:highlight w:val="none"/>
          <w:u w:val="single"/>
        </w:rPr>
        <w:t xml:space="preserve"> </w:t>
      </w:r>
      <w:r>
        <w:rPr>
          <w:rFonts w:hint="eastAsia" w:ascii="仿宋_GB2312" w:hAnsi="Times New Roman" w:eastAsia="仿宋_GB2312" w:cs="Times New Roman"/>
          <w:color w:val="auto"/>
          <w:sz w:val="32"/>
          <w:szCs w:val="32"/>
          <w:highlight w:val="none"/>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 w:hAnsi="仿宋" w:eastAsia="仿宋" w:cs="仿宋"/>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暂无开支内容。</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 xml:space="preserve"> 万元。主要原因是</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highlight w:val="none"/>
        </w:rPr>
        <w:t>上年度和本年度均未安排</w:t>
      </w:r>
      <w:r>
        <w:rPr>
          <w:rFonts w:hint="eastAsia" w:ascii="仿宋" w:hAnsi="仿宋" w:eastAsia="仿宋" w:cs="仿宋"/>
          <w:color w:val="auto"/>
          <w:sz w:val="32"/>
          <w:szCs w:val="32"/>
          <w:highlight w:val="none"/>
        </w:rPr>
        <w:t>公务用车购置及运行维护费</w:t>
      </w:r>
      <w:r>
        <w:rPr>
          <w:rFonts w:hint="eastAsia" w:ascii="仿宋" w:hAnsi="仿宋" w:eastAsia="仿宋" w:cs="仿宋"/>
          <w:bCs/>
          <w:color w:val="auto"/>
          <w:sz w:val="32"/>
          <w:szCs w:val="32"/>
          <w:highlight w:val="none"/>
        </w:rPr>
        <w:t>，公务接待一直由主管部门接待。</w:t>
      </w:r>
    </w:p>
    <w:p>
      <w:pPr>
        <w:ind w:firstLine="640" w:firstLineChars="200"/>
        <w:jc w:val="left"/>
        <w:rPr>
          <w:rFonts w:hint="eastAsia" w:ascii="仿宋" w:hAnsi="仿宋" w:eastAsia="仿宋" w:cs="仿宋"/>
          <w:bCs/>
          <w:color w:val="auto"/>
          <w:sz w:val="32"/>
          <w:szCs w:val="32"/>
          <w:highlight w:val="none"/>
          <w:lang w:eastAsia="zh-CN"/>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highlight w:val="none"/>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bCs/>
          <w:color w:val="auto"/>
          <w:sz w:val="32"/>
          <w:szCs w:val="32"/>
          <w:highlight w:val="none"/>
        </w:rPr>
        <w:t>上年度和本年度均未安排</w:t>
      </w:r>
      <w:r>
        <w:rPr>
          <w:rFonts w:hint="eastAsia" w:ascii="仿宋" w:hAnsi="仿宋" w:eastAsia="仿宋" w:cs="仿宋"/>
          <w:color w:val="auto"/>
          <w:sz w:val="32"/>
          <w:szCs w:val="32"/>
          <w:highlight w:val="none"/>
        </w:rPr>
        <w:t>公务用车运行维护</w:t>
      </w:r>
      <w:r>
        <w:rPr>
          <w:rFonts w:hint="eastAsia" w:ascii="仿宋" w:hAnsi="仿宋" w:eastAsia="仿宋" w:cs="仿宋"/>
          <w:bCs/>
          <w:color w:val="auto"/>
          <w:sz w:val="32"/>
          <w:szCs w:val="32"/>
          <w:highlight w:val="none"/>
        </w:rPr>
        <w:t>，公务接待一直由主管部门接待</w:t>
      </w:r>
      <w:r>
        <w:rPr>
          <w:rFonts w:hint="eastAsia" w:ascii="仿宋" w:hAnsi="仿宋" w:eastAsia="仿宋" w:cs="仿宋"/>
          <w:bCs/>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w:t>
      </w:r>
      <w:r>
        <w:rPr>
          <w:rFonts w:ascii="仿宋" w:hAnsi="仿宋" w:eastAsia="仿宋" w:cs="仿宋"/>
          <w:color w:val="auto"/>
          <w:sz w:val="32"/>
          <w:highlight w:val="none"/>
          <w:u w:color="auto"/>
        </w:rPr>
        <w:t>环江毛南族自治县公共资源交易中心</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highlight w:val="none"/>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highlight w:val="none"/>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numPr>
          <w:ilvl w:val="0"/>
          <w:numId w:val="3"/>
        </w:numPr>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bCs/>
          <w:color w:val="auto"/>
          <w:sz w:val="32"/>
          <w:szCs w:val="32"/>
          <w:highlight w:val="none"/>
        </w:rPr>
        <w:t>上年度和本年度均未安排</w:t>
      </w:r>
      <w:r>
        <w:rPr>
          <w:rFonts w:hint="eastAsia" w:ascii="仿宋" w:hAnsi="仿宋" w:eastAsia="仿宋" w:cs="仿宋"/>
          <w:color w:val="auto"/>
          <w:sz w:val="32"/>
          <w:szCs w:val="32"/>
          <w:highlight w:val="none"/>
        </w:rPr>
        <w:t>公务接待费</w:t>
      </w:r>
      <w:r>
        <w:rPr>
          <w:rFonts w:hint="eastAsia" w:ascii="仿宋" w:hAnsi="仿宋" w:eastAsia="仿宋" w:cs="仿宋"/>
          <w:bCs/>
          <w:color w:val="auto"/>
          <w:sz w:val="32"/>
          <w:szCs w:val="32"/>
          <w:highlight w:val="none"/>
        </w:rPr>
        <w:t>，公务接待一直由主管部门接待。</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keepNext w:val="0"/>
        <w:keepLines w:val="0"/>
        <w:widowControl w:val="0"/>
        <w:numPr>
          <w:ilvl w:val="0"/>
          <w:numId w:val="0"/>
        </w:numPr>
        <w:suppressLineNumbers w:val="0"/>
        <w:spacing w:before="0" w:beforeAutospacing="0" w:after="0" w:afterAutospacing="0"/>
        <w:ind w:leftChars="200" w:right="0" w:rightChars="0"/>
        <w:jc w:val="left"/>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highlight w:val="none"/>
          <w:u w:color="auto"/>
        </w:rPr>
        <w:t>1.70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1.64</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49.10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183.33</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主要</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预算资金不足（短缺），上</w:t>
      </w:r>
      <w:r>
        <w:rPr>
          <w:rFonts w:hint="eastAsia" w:ascii="仿宋" w:hAnsi="仿宋" w:eastAsia="仿宋" w:cs="仿宋"/>
          <w:color w:val="auto"/>
          <w:kern w:val="0"/>
          <w:sz w:val="32"/>
          <w:szCs w:val="32"/>
          <w:highlight w:val="none"/>
          <w:lang w:eastAsia="zh-CN"/>
        </w:rPr>
        <w:t>年度</w:t>
      </w:r>
      <w:r>
        <w:rPr>
          <w:rFonts w:hint="eastAsia" w:ascii="仿宋" w:hAnsi="仿宋" w:eastAsia="仿宋" w:cs="仿宋"/>
          <w:color w:val="auto"/>
          <w:sz w:val="32"/>
          <w:szCs w:val="32"/>
          <w:highlight w:val="none"/>
          <w:lang w:eastAsia="zh-CN"/>
        </w:rPr>
        <w:t>部分</w:t>
      </w:r>
      <w:r>
        <w:rPr>
          <w:rFonts w:hint="eastAsia" w:ascii="仿宋" w:hAnsi="仿宋" w:eastAsia="仿宋" w:cs="仿宋"/>
          <w:color w:val="auto"/>
          <w:sz w:val="32"/>
          <w:szCs w:val="32"/>
          <w:highlight w:val="none"/>
        </w:rPr>
        <w:t>机关运行经费</w:t>
      </w:r>
      <w:r>
        <w:rPr>
          <w:rFonts w:hint="eastAsia" w:ascii="仿宋" w:hAnsi="仿宋" w:eastAsia="仿宋" w:cs="仿宋"/>
          <w:color w:val="auto"/>
          <w:sz w:val="32"/>
          <w:szCs w:val="32"/>
          <w:highlight w:val="none"/>
          <w:lang w:eastAsia="zh-CN"/>
        </w:rPr>
        <w:t>未能支付</w:t>
      </w:r>
      <w:r>
        <w:rPr>
          <w:rFonts w:hint="eastAsia" w:ascii="仿宋" w:hAnsi="仿宋" w:eastAsia="仿宋" w:cs="仿宋"/>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1.绩效管理工作开展情况。</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根据财政预算管理要求，本部门组织对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度一般公共预算项目支出全面开展绩效自评。其中，一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个，共涉及资金</w:t>
      </w:r>
      <w:r>
        <w:rPr>
          <w:rFonts w:hint="eastAsia" w:ascii="仿宋" w:hAnsi="仿宋" w:eastAsia="仿宋" w:cs="仿宋"/>
          <w:color w:val="auto"/>
          <w:sz w:val="32"/>
          <w:szCs w:val="32"/>
          <w:highlight w:val="none"/>
          <w:lang w:val="en-US" w:eastAsia="zh-CN"/>
        </w:rPr>
        <w:t>18.40</w:t>
      </w:r>
      <w:r>
        <w:rPr>
          <w:rFonts w:hint="eastAsia" w:ascii="仿宋" w:hAnsi="仿宋" w:eastAsia="仿宋" w:cs="仿宋"/>
          <w:color w:val="auto"/>
          <w:sz w:val="32"/>
          <w:szCs w:val="32"/>
          <w:highlight w:val="none"/>
        </w:rPr>
        <w:t>万元，占一般公共预算项目支出总额的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个政府性基金预算项目支出开展绩效自评，共涉及资金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万元，占政府性基金预算项目支出总额的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个国有资本经营预算项目支出开展绩效自评，共涉及资金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万元，占国有资本经营预算项目支出总额的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“办公费”</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个项目进行了部门评价，涉及一般公共预算支出</w:t>
      </w:r>
      <w:r>
        <w:rPr>
          <w:rFonts w:hint="eastAsia" w:ascii="仿宋" w:hAnsi="仿宋" w:eastAsia="仿宋" w:cs="仿宋"/>
          <w:color w:val="auto"/>
          <w:sz w:val="32"/>
          <w:szCs w:val="32"/>
          <w:highlight w:val="none"/>
          <w:lang w:val="en-US" w:eastAsia="zh-CN"/>
        </w:rPr>
        <w:t>18.4</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万元。从评价情况来看，年初预算数</w:t>
      </w:r>
      <w:r>
        <w:rPr>
          <w:rFonts w:hint="eastAsia" w:ascii="仿宋" w:hAnsi="仿宋" w:eastAsia="仿宋" w:cs="仿宋"/>
          <w:color w:val="auto"/>
          <w:sz w:val="32"/>
          <w:szCs w:val="32"/>
          <w:highlight w:val="none"/>
          <w:lang w:val="en-US" w:eastAsia="zh-CN"/>
        </w:rPr>
        <w:t>12.8</w:t>
      </w:r>
      <w:r>
        <w:rPr>
          <w:rFonts w:hint="eastAsia" w:ascii="仿宋" w:hAnsi="仿宋" w:eastAsia="仿宋" w:cs="仿宋"/>
          <w:color w:val="auto"/>
          <w:sz w:val="32"/>
          <w:szCs w:val="32"/>
          <w:highlight w:val="none"/>
        </w:rPr>
        <w:t>万元，当年预算数</w:t>
      </w:r>
      <w:r>
        <w:rPr>
          <w:rFonts w:hint="eastAsia" w:ascii="仿宋" w:hAnsi="仿宋" w:eastAsia="仿宋" w:cs="仿宋"/>
          <w:color w:val="auto"/>
          <w:sz w:val="32"/>
          <w:szCs w:val="32"/>
          <w:highlight w:val="none"/>
          <w:lang w:val="en-US" w:eastAsia="zh-CN"/>
        </w:rPr>
        <w:t>18.4</w:t>
      </w:r>
      <w:r>
        <w:rPr>
          <w:rFonts w:hint="eastAsia" w:ascii="仿宋" w:hAnsi="仿宋" w:eastAsia="仿宋" w:cs="仿宋"/>
          <w:color w:val="auto"/>
          <w:sz w:val="32"/>
          <w:szCs w:val="32"/>
          <w:highlight w:val="none"/>
        </w:rPr>
        <w:t>万元，全年执行数</w:t>
      </w:r>
      <w:r>
        <w:rPr>
          <w:rFonts w:hint="eastAsia" w:ascii="仿宋" w:hAnsi="仿宋" w:eastAsia="仿宋" w:cs="仿宋"/>
          <w:color w:val="auto"/>
          <w:sz w:val="32"/>
          <w:szCs w:val="32"/>
          <w:highlight w:val="none"/>
          <w:lang w:val="en-US" w:eastAsia="zh-CN"/>
        </w:rPr>
        <w:t>9.78</w:t>
      </w:r>
      <w:r>
        <w:rPr>
          <w:rFonts w:hint="eastAsia" w:ascii="仿宋" w:hAnsi="仿宋" w:eastAsia="仿宋" w:cs="仿宋"/>
          <w:color w:val="auto"/>
          <w:sz w:val="32"/>
          <w:szCs w:val="32"/>
          <w:highlight w:val="none"/>
        </w:rPr>
        <w:t>万元，完成执行率</w:t>
      </w:r>
      <w:r>
        <w:rPr>
          <w:rFonts w:hint="eastAsia" w:ascii="仿宋" w:hAnsi="仿宋" w:eastAsia="仿宋" w:cs="仿宋"/>
          <w:color w:val="auto"/>
          <w:sz w:val="32"/>
          <w:szCs w:val="32"/>
          <w:highlight w:val="none"/>
          <w:lang w:val="en-US" w:eastAsia="zh-CN"/>
        </w:rPr>
        <w:t>53.15</w:t>
      </w:r>
      <w:r>
        <w:rPr>
          <w:rFonts w:hint="eastAsia" w:ascii="仿宋" w:hAnsi="仿宋" w:eastAsia="仿宋" w:cs="仿宋"/>
          <w:color w:val="auto"/>
          <w:sz w:val="32"/>
          <w:szCs w:val="32"/>
          <w:highlight w:val="none"/>
        </w:rPr>
        <w:t>%，自评结论：一等。</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个部门（单位）开展整体支出绩效评价试点，涉及一般公共预算支出</w:t>
      </w:r>
      <w:r>
        <w:rPr>
          <w:rFonts w:hint="eastAsia" w:ascii="仿宋" w:hAnsi="仿宋" w:eastAsia="仿宋" w:cs="仿宋"/>
          <w:color w:val="auto"/>
          <w:sz w:val="32"/>
          <w:szCs w:val="32"/>
          <w:highlight w:val="none"/>
          <w:lang w:val="en-US" w:eastAsia="zh-CN"/>
        </w:rPr>
        <w:t>104.47</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从评价情况来看，年初预算数94.07万元，当年预算数104.47万元，全年执行数95.85万元，完成执行率91.75%，自评结论：一等。</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2.部门决算中项目绩效自评结果</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我部门根据年初设定的绩效目标，电子招投标系统网络专线及电话费项目自评得分为</w:t>
      </w:r>
      <w:r>
        <w:rPr>
          <w:rFonts w:hint="eastAsia" w:ascii="仿宋" w:hAnsi="仿宋" w:eastAsia="仿宋" w:cs="仿宋"/>
          <w:color w:val="auto"/>
          <w:sz w:val="32"/>
          <w:szCs w:val="32"/>
          <w:highlight w:val="none"/>
          <w:lang w:val="en-US" w:eastAsia="zh-CN"/>
        </w:rPr>
        <w:t>91.03</w:t>
      </w:r>
      <w:r>
        <w:rPr>
          <w:rFonts w:hint="eastAsia" w:ascii="仿宋" w:hAnsi="仿宋" w:eastAsia="仿宋" w:cs="仿宋"/>
          <w:color w:val="auto"/>
          <w:sz w:val="32"/>
          <w:szCs w:val="32"/>
          <w:highlight w:val="none"/>
        </w:rPr>
        <w:t>分。发现的主要问题及原因：</w:t>
      </w:r>
      <w:r>
        <w:rPr>
          <w:rFonts w:hint="eastAsia" w:ascii="仿宋" w:hAnsi="仿宋" w:eastAsia="仿宋" w:cs="仿宋"/>
          <w:color w:val="auto"/>
          <w:sz w:val="32"/>
          <w:szCs w:val="32"/>
          <w:highlight w:val="none"/>
          <w:lang w:eastAsia="zh-CN"/>
        </w:rPr>
        <w:t>是项目费用减少，全年执行率降低</w:t>
      </w:r>
      <w:r>
        <w:rPr>
          <w:rFonts w:hint="eastAsia" w:ascii="仿宋" w:hAnsi="仿宋" w:eastAsia="仿宋" w:cs="仿宋"/>
          <w:color w:val="auto"/>
          <w:sz w:val="32"/>
          <w:szCs w:val="32"/>
          <w:highlight w:val="none"/>
        </w:rPr>
        <w:t>。下一步改进措施：是加快资金拨付和支出进度。办公费项目自评得分为</w:t>
      </w:r>
      <w:r>
        <w:rPr>
          <w:rFonts w:hint="eastAsia" w:ascii="仿宋" w:hAnsi="仿宋" w:eastAsia="仿宋" w:cs="仿宋"/>
          <w:color w:val="auto"/>
          <w:sz w:val="32"/>
          <w:szCs w:val="32"/>
          <w:highlight w:val="none"/>
          <w:lang w:val="en-US" w:eastAsia="zh-CN"/>
        </w:rPr>
        <w:t>93.88</w:t>
      </w:r>
      <w:r>
        <w:rPr>
          <w:rFonts w:hint="eastAsia" w:ascii="仿宋" w:hAnsi="仿宋" w:eastAsia="仿宋" w:cs="仿宋"/>
          <w:color w:val="auto"/>
          <w:sz w:val="32"/>
          <w:szCs w:val="32"/>
          <w:highlight w:val="none"/>
        </w:rPr>
        <w:t>分。发现的主要问题及原因</w:t>
      </w:r>
      <w:r>
        <w:rPr>
          <w:rFonts w:hint="eastAsia" w:ascii="仿宋" w:hAnsi="仿宋" w:eastAsia="仿宋" w:cs="仿宋"/>
          <w:color w:val="auto"/>
          <w:sz w:val="32"/>
          <w:szCs w:val="32"/>
          <w:highlight w:val="none"/>
          <w:lang w:eastAsia="zh-CN"/>
        </w:rPr>
        <w:t>购置办公用品数量多，单价不清楚，金额交大，造成铺张浪费</w:t>
      </w:r>
      <w:r>
        <w:rPr>
          <w:rFonts w:hint="eastAsia" w:ascii="仿宋" w:hAnsi="仿宋" w:eastAsia="仿宋" w:cs="仿宋"/>
          <w:color w:val="auto"/>
          <w:sz w:val="32"/>
          <w:szCs w:val="32"/>
          <w:highlight w:val="none"/>
        </w:rPr>
        <w:t>。下一步改进措施：</w:t>
      </w:r>
      <w:r>
        <w:rPr>
          <w:rFonts w:hint="eastAsia" w:ascii="仿宋" w:hAnsi="仿宋" w:eastAsia="仿宋" w:cs="仿宋"/>
          <w:color w:val="auto"/>
          <w:sz w:val="32"/>
          <w:szCs w:val="32"/>
          <w:highlight w:val="none"/>
          <w:lang w:eastAsia="zh-CN"/>
        </w:rPr>
        <w:t>督促文具供应商做好账单明细，计算好数量、单价、金额，督促职工节约，杜绝浪费</w:t>
      </w:r>
      <w:r>
        <w:rPr>
          <w:rFonts w:hint="eastAsia" w:ascii="仿宋" w:hAnsi="仿宋" w:eastAsia="仿宋" w:cs="仿宋"/>
          <w:color w:val="auto"/>
          <w:sz w:val="32"/>
          <w:szCs w:val="32"/>
          <w:highlight w:val="none"/>
        </w:rPr>
        <w:t>。电子招投标平台维修（护）费项目自评得分为</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分。发现的主要问题及原因：</w:t>
      </w:r>
      <w:r>
        <w:rPr>
          <w:rFonts w:hint="eastAsia" w:ascii="仿宋" w:hAnsi="仿宋" w:eastAsia="仿宋" w:cs="仿宋"/>
          <w:color w:val="auto"/>
          <w:sz w:val="32"/>
          <w:szCs w:val="32"/>
          <w:highlight w:val="none"/>
          <w:lang w:eastAsia="zh-CN"/>
        </w:rPr>
        <w:t>网络偶尔短暂不畅通，不利于提高办公效率</w:t>
      </w:r>
      <w:r>
        <w:rPr>
          <w:rFonts w:hint="eastAsia" w:ascii="仿宋" w:hAnsi="仿宋" w:eastAsia="仿宋" w:cs="仿宋"/>
          <w:color w:val="auto"/>
          <w:sz w:val="32"/>
          <w:szCs w:val="32"/>
          <w:highlight w:val="none"/>
        </w:rPr>
        <w:t>。下一步改进措施：</w:t>
      </w:r>
      <w:r>
        <w:rPr>
          <w:rFonts w:hint="eastAsia" w:ascii="仿宋" w:hAnsi="仿宋" w:eastAsia="仿宋" w:cs="仿宋"/>
          <w:color w:val="auto"/>
          <w:sz w:val="32"/>
          <w:szCs w:val="32"/>
          <w:highlight w:val="none"/>
          <w:lang w:eastAsia="zh-CN"/>
        </w:rPr>
        <w:t>督促电信公司加强网络监督管理，提高办公效率，加强整改。电脑耗材费</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91</w:t>
      </w:r>
      <w:r>
        <w:rPr>
          <w:rFonts w:hint="eastAsia" w:ascii="仿宋" w:hAnsi="仿宋" w:eastAsia="仿宋" w:cs="仿宋"/>
          <w:color w:val="auto"/>
          <w:sz w:val="32"/>
          <w:szCs w:val="32"/>
          <w:highlight w:val="none"/>
        </w:rPr>
        <w:t>分。发现的主要问题及原因：</w:t>
      </w:r>
      <w:r>
        <w:rPr>
          <w:rFonts w:hint="eastAsia" w:ascii="仿宋" w:hAnsi="仿宋" w:eastAsia="仿宋" w:cs="仿宋"/>
          <w:color w:val="auto"/>
          <w:sz w:val="32"/>
          <w:szCs w:val="32"/>
          <w:highlight w:val="none"/>
          <w:lang w:eastAsia="zh-CN"/>
        </w:rPr>
        <w:t>经费支付不及时</w:t>
      </w:r>
      <w:r>
        <w:rPr>
          <w:rFonts w:hint="eastAsia" w:ascii="仿宋" w:hAnsi="仿宋" w:eastAsia="仿宋" w:cs="仿宋"/>
          <w:color w:val="auto"/>
          <w:sz w:val="32"/>
          <w:szCs w:val="32"/>
          <w:highlight w:val="none"/>
        </w:rPr>
        <w:t>。下一步改进措施：加快资金拨付和支出进度</w:t>
      </w:r>
      <w:r>
        <w:rPr>
          <w:rFonts w:hint="eastAsia" w:ascii="仿宋" w:hAnsi="仿宋" w:eastAsia="仿宋" w:cs="仿宋"/>
          <w:color w:val="auto"/>
          <w:sz w:val="32"/>
          <w:szCs w:val="32"/>
          <w:highlight w:val="none"/>
          <w:lang w:eastAsia="zh-CN"/>
        </w:rPr>
        <w:t>。电费</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99.25</w:t>
      </w:r>
      <w:r>
        <w:rPr>
          <w:rFonts w:hint="eastAsia" w:ascii="仿宋" w:hAnsi="仿宋" w:eastAsia="仿宋" w:cs="仿宋"/>
          <w:color w:val="auto"/>
          <w:sz w:val="32"/>
          <w:szCs w:val="32"/>
          <w:highlight w:val="none"/>
        </w:rPr>
        <w:t>分。发现的主要问题及原因：</w:t>
      </w:r>
      <w:r>
        <w:rPr>
          <w:rFonts w:hint="eastAsia" w:ascii="仿宋" w:hAnsi="仿宋" w:eastAsia="仿宋" w:cs="仿宋"/>
          <w:color w:val="auto"/>
          <w:sz w:val="32"/>
          <w:szCs w:val="32"/>
          <w:highlight w:val="none"/>
          <w:lang w:eastAsia="zh-CN"/>
        </w:rPr>
        <w:t>经费支付不及时，造成滞纳金</w:t>
      </w:r>
      <w:r>
        <w:rPr>
          <w:rFonts w:hint="eastAsia" w:ascii="仿宋" w:hAnsi="仿宋" w:eastAsia="仿宋" w:cs="仿宋"/>
          <w:color w:val="auto"/>
          <w:sz w:val="32"/>
          <w:szCs w:val="32"/>
          <w:highlight w:val="none"/>
        </w:rPr>
        <w:t>。下一步改进措施：加快资金拨付和支出进度</w:t>
      </w:r>
      <w:r>
        <w:rPr>
          <w:rFonts w:hint="eastAsia" w:ascii="仿宋" w:hAnsi="仿宋" w:eastAsia="仿宋" w:cs="仿宋"/>
          <w:color w:val="auto"/>
          <w:sz w:val="32"/>
          <w:szCs w:val="32"/>
          <w:highlight w:val="none"/>
          <w:lang w:eastAsia="zh-CN"/>
        </w:rPr>
        <w:t>。奖励性补贴</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公开的</w:t>
      </w:r>
      <w:r>
        <w:rPr>
          <w:rFonts w:hint="eastAsia" w:ascii="仿宋" w:hAnsi="仿宋" w:eastAsia="仿宋" w:cs="仿宋"/>
          <w:color w:val="auto"/>
          <w:sz w:val="32"/>
          <w:szCs w:val="32"/>
          <w:highlight w:val="none"/>
        </w:rPr>
        <w:t>《项目支出绩效自评表》</w:t>
      </w:r>
      <w:r>
        <w:rPr>
          <w:rFonts w:hint="eastAsia" w:ascii="仿宋" w:hAnsi="仿宋" w:eastAsia="仿宋" w:cs="仿宋"/>
          <w:color w:val="auto"/>
          <w:sz w:val="32"/>
          <w:szCs w:val="32"/>
          <w:highlight w:val="none"/>
          <w:lang w:eastAsia="zh-CN"/>
        </w:rPr>
        <w:t>共</w:t>
      </w:r>
      <w:r>
        <w:rPr>
          <w:rFonts w:hint="eastAsia" w:ascii="仿宋" w:hAnsi="仿宋" w:eastAsia="仿宋" w:cs="仿宋"/>
          <w:color w:val="auto"/>
          <w:sz w:val="32"/>
          <w:szCs w:val="32"/>
          <w:highlight w:val="none"/>
          <w:lang w:val="en-US" w:eastAsia="zh-CN"/>
        </w:rPr>
        <w:t>6个（附后，</w:t>
      </w:r>
      <w:r>
        <w:rPr>
          <w:rFonts w:hint="eastAsia" w:ascii="仿宋" w:hAnsi="仿宋" w:eastAsia="仿宋" w:cs="仿宋"/>
          <w:color w:val="auto"/>
          <w:sz w:val="32"/>
          <w:szCs w:val="32"/>
          <w:highlight w:val="none"/>
          <w:lang w:eastAsia="zh-CN"/>
        </w:rPr>
        <w:t>详见附件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highlight w:val="none"/>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highlight w:val="none"/>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color w:val="auto"/>
          <w:sz w:val="32"/>
          <w:szCs w:val="32"/>
          <w:highlight w:val="none"/>
        </w:rPr>
      </w:pPr>
    </w:p>
    <w:p>
      <w:pPr>
        <w:jc w:val="left"/>
        <w:rPr>
          <w:rFonts w:hint="default" w:ascii="仿宋" w:hAnsi="仿宋" w:eastAsia="仿宋" w:cs="仿宋"/>
          <w:sz w:val="32"/>
          <w:szCs w:val="32"/>
          <w:highlight w:val="none"/>
          <w:lang w:val="en-US" w:eastAsia="zh-CN"/>
        </w:rPr>
      </w:pPr>
    </w:p>
    <w:sectPr>
      <w:pgSz w:w="11906" w:h="16838"/>
      <w:pgMar w:top="1474" w:right="1474" w:bottom="1474" w:left="147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405A0A27"/>
    <w:multiLevelType w:val="singleLevel"/>
    <w:tmpl w:val="405A0A27"/>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36908"/>
    <w:rsid w:val="02E0291A"/>
    <w:rsid w:val="04E54546"/>
    <w:rsid w:val="05992762"/>
    <w:rsid w:val="05AB4F1E"/>
    <w:rsid w:val="05C00DA6"/>
    <w:rsid w:val="07B0770E"/>
    <w:rsid w:val="08833FE7"/>
    <w:rsid w:val="08844D43"/>
    <w:rsid w:val="08912700"/>
    <w:rsid w:val="0942143F"/>
    <w:rsid w:val="0AEB394D"/>
    <w:rsid w:val="0B0F2831"/>
    <w:rsid w:val="0C2E2247"/>
    <w:rsid w:val="0D100297"/>
    <w:rsid w:val="0D202B45"/>
    <w:rsid w:val="0E982721"/>
    <w:rsid w:val="0F714162"/>
    <w:rsid w:val="0F8D4C87"/>
    <w:rsid w:val="10505FAA"/>
    <w:rsid w:val="105F7E7E"/>
    <w:rsid w:val="112E31BE"/>
    <w:rsid w:val="11E56B5B"/>
    <w:rsid w:val="125C77AB"/>
    <w:rsid w:val="14CB726E"/>
    <w:rsid w:val="16D9750F"/>
    <w:rsid w:val="171966F1"/>
    <w:rsid w:val="172E0C15"/>
    <w:rsid w:val="17E92249"/>
    <w:rsid w:val="18D304F1"/>
    <w:rsid w:val="19B53C5F"/>
    <w:rsid w:val="19F32577"/>
    <w:rsid w:val="19F45B80"/>
    <w:rsid w:val="1AD02391"/>
    <w:rsid w:val="1B0C078D"/>
    <w:rsid w:val="1B261B03"/>
    <w:rsid w:val="1B2B31E2"/>
    <w:rsid w:val="1B4C295A"/>
    <w:rsid w:val="1B973C63"/>
    <w:rsid w:val="1BA1001E"/>
    <w:rsid w:val="1CE56278"/>
    <w:rsid w:val="1CE84993"/>
    <w:rsid w:val="1D317259"/>
    <w:rsid w:val="1E664F5B"/>
    <w:rsid w:val="1E6C4DFA"/>
    <w:rsid w:val="1E8F0C10"/>
    <w:rsid w:val="1EB34BE1"/>
    <w:rsid w:val="20A943A5"/>
    <w:rsid w:val="215E639F"/>
    <w:rsid w:val="21713EAC"/>
    <w:rsid w:val="21EC3183"/>
    <w:rsid w:val="225E72CD"/>
    <w:rsid w:val="24042767"/>
    <w:rsid w:val="246E2F77"/>
    <w:rsid w:val="24A1216A"/>
    <w:rsid w:val="24C0599E"/>
    <w:rsid w:val="254B4E2B"/>
    <w:rsid w:val="25801095"/>
    <w:rsid w:val="25DE1BBE"/>
    <w:rsid w:val="260E1D50"/>
    <w:rsid w:val="26A80CBB"/>
    <w:rsid w:val="26C8508B"/>
    <w:rsid w:val="27495C6B"/>
    <w:rsid w:val="27D40264"/>
    <w:rsid w:val="283D7C94"/>
    <w:rsid w:val="29480E03"/>
    <w:rsid w:val="2983634D"/>
    <w:rsid w:val="2BB02055"/>
    <w:rsid w:val="2BF75B91"/>
    <w:rsid w:val="2C575A56"/>
    <w:rsid w:val="2DE3444C"/>
    <w:rsid w:val="2F257714"/>
    <w:rsid w:val="2F3275E5"/>
    <w:rsid w:val="2F361FFD"/>
    <w:rsid w:val="30A01B1A"/>
    <w:rsid w:val="30AA08EF"/>
    <w:rsid w:val="30D23D1C"/>
    <w:rsid w:val="31221CF5"/>
    <w:rsid w:val="31400178"/>
    <w:rsid w:val="321E3342"/>
    <w:rsid w:val="327759C8"/>
    <w:rsid w:val="32932D86"/>
    <w:rsid w:val="32DB59BA"/>
    <w:rsid w:val="33185FE3"/>
    <w:rsid w:val="33D534F5"/>
    <w:rsid w:val="349A342A"/>
    <w:rsid w:val="34E2413B"/>
    <w:rsid w:val="34E904D5"/>
    <w:rsid w:val="34EE2E36"/>
    <w:rsid w:val="36777241"/>
    <w:rsid w:val="371E78D5"/>
    <w:rsid w:val="37E93BC8"/>
    <w:rsid w:val="383B4F5B"/>
    <w:rsid w:val="38A951DB"/>
    <w:rsid w:val="38B31605"/>
    <w:rsid w:val="39003F4F"/>
    <w:rsid w:val="394226E9"/>
    <w:rsid w:val="39EA14E7"/>
    <w:rsid w:val="3AA16CF4"/>
    <w:rsid w:val="3AF67FC7"/>
    <w:rsid w:val="3B443F4A"/>
    <w:rsid w:val="3C07002B"/>
    <w:rsid w:val="3CD37CC4"/>
    <w:rsid w:val="3D0D152A"/>
    <w:rsid w:val="3DA678B1"/>
    <w:rsid w:val="3DF62756"/>
    <w:rsid w:val="3ECB5495"/>
    <w:rsid w:val="3F1B7587"/>
    <w:rsid w:val="3FC63871"/>
    <w:rsid w:val="41E57B4F"/>
    <w:rsid w:val="42495478"/>
    <w:rsid w:val="432F26F6"/>
    <w:rsid w:val="43880F63"/>
    <w:rsid w:val="441C5A6F"/>
    <w:rsid w:val="444E5B21"/>
    <w:rsid w:val="44C44FCC"/>
    <w:rsid w:val="44CC7369"/>
    <w:rsid w:val="457F5108"/>
    <w:rsid w:val="45DD622C"/>
    <w:rsid w:val="4664311A"/>
    <w:rsid w:val="46951B6B"/>
    <w:rsid w:val="48A554BA"/>
    <w:rsid w:val="49A34401"/>
    <w:rsid w:val="4A3E30AB"/>
    <w:rsid w:val="4AC14DAC"/>
    <w:rsid w:val="4B0E6D86"/>
    <w:rsid w:val="4C063EED"/>
    <w:rsid w:val="4CD13297"/>
    <w:rsid w:val="4CE4035B"/>
    <w:rsid w:val="4D154C85"/>
    <w:rsid w:val="4EB35ECE"/>
    <w:rsid w:val="508F4E24"/>
    <w:rsid w:val="51461E90"/>
    <w:rsid w:val="51463753"/>
    <w:rsid w:val="52553A93"/>
    <w:rsid w:val="530F7F68"/>
    <w:rsid w:val="53521F8B"/>
    <w:rsid w:val="53E22F47"/>
    <w:rsid w:val="54522FF8"/>
    <w:rsid w:val="55450629"/>
    <w:rsid w:val="55591611"/>
    <w:rsid w:val="56692963"/>
    <w:rsid w:val="568B0F48"/>
    <w:rsid w:val="56D94896"/>
    <w:rsid w:val="5786217B"/>
    <w:rsid w:val="59337A15"/>
    <w:rsid w:val="59810274"/>
    <w:rsid w:val="59B61EBB"/>
    <w:rsid w:val="5C7E7896"/>
    <w:rsid w:val="5CA96A00"/>
    <w:rsid w:val="5CF730BC"/>
    <w:rsid w:val="5E5A1063"/>
    <w:rsid w:val="5E5F0DCE"/>
    <w:rsid w:val="5EE85FC0"/>
    <w:rsid w:val="5FA40A7B"/>
    <w:rsid w:val="5FA41BF6"/>
    <w:rsid w:val="5FD56D29"/>
    <w:rsid w:val="5FEC7F3F"/>
    <w:rsid w:val="60E6375A"/>
    <w:rsid w:val="60F74BC3"/>
    <w:rsid w:val="617D3BF8"/>
    <w:rsid w:val="61841F6A"/>
    <w:rsid w:val="623007A9"/>
    <w:rsid w:val="637D7558"/>
    <w:rsid w:val="63D27752"/>
    <w:rsid w:val="644F19AC"/>
    <w:rsid w:val="657F5DC9"/>
    <w:rsid w:val="65AA4920"/>
    <w:rsid w:val="65E31D0B"/>
    <w:rsid w:val="65F97978"/>
    <w:rsid w:val="660179E7"/>
    <w:rsid w:val="67694F1E"/>
    <w:rsid w:val="69597934"/>
    <w:rsid w:val="6B964DDC"/>
    <w:rsid w:val="6C783074"/>
    <w:rsid w:val="6D9E65C6"/>
    <w:rsid w:val="6DA81947"/>
    <w:rsid w:val="6EB66DE2"/>
    <w:rsid w:val="6ED3075F"/>
    <w:rsid w:val="6F2A2D4B"/>
    <w:rsid w:val="6F8A0C1E"/>
    <w:rsid w:val="702D7EB8"/>
    <w:rsid w:val="703F45D4"/>
    <w:rsid w:val="7066002D"/>
    <w:rsid w:val="715D6546"/>
    <w:rsid w:val="71BE069E"/>
    <w:rsid w:val="71FA03C0"/>
    <w:rsid w:val="73636360"/>
    <w:rsid w:val="739163BF"/>
    <w:rsid w:val="73953409"/>
    <w:rsid w:val="73E069A3"/>
    <w:rsid w:val="74B32819"/>
    <w:rsid w:val="75C870A0"/>
    <w:rsid w:val="764B5DA3"/>
    <w:rsid w:val="78104AA8"/>
    <w:rsid w:val="78AB2751"/>
    <w:rsid w:val="78E257C5"/>
    <w:rsid w:val="794B35BE"/>
    <w:rsid w:val="79F964A8"/>
    <w:rsid w:val="7B0A3A31"/>
    <w:rsid w:val="7B3360ED"/>
    <w:rsid w:val="7BA22FE1"/>
    <w:rsid w:val="7BDF037E"/>
    <w:rsid w:val="7BF50948"/>
    <w:rsid w:val="7C2F194B"/>
    <w:rsid w:val="7CE66A78"/>
    <w:rsid w:val="7D23564C"/>
    <w:rsid w:val="7D5E062D"/>
    <w:rsid w:val="7DF76CD8"/>
    <w:rsid w:val="7F695C26"/>
    <w:rsid w:val="7F8C134D"/>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95.85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56.14</c:v>
                </c:pt>
                <c:pt idx="1">
                  <c:v>6.49</c:v>
                </c:pt>
                <c:pt idx="2">
                  <c:v>7.66</c:v>
                </c:pt>
                <c:pt idx="3">
                  <c:v>19.04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83.17</c:v>
                </c:pt>
                <c:pt idx="1">
                  <c:v>1.62</c:v>
                </c:pt>
                <c:pt idx="2">
                  <c:v>7.02</c:v>
                </c:pt>
                <c:pt idx="3">
                  <c:v>4.04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2010301</c:v>
                </c:pt>
                <c:pt idx="1">
                  <c:v>2010308</c:v>
                </c:pt>
                <c:pt idx="2">
                  <c:v>2010350</c:v>
                </c:pt>
                <c:pt idx="3">
                  <c:v>2012999</c:v>
                </c:pt>
                <c:pt idx="4">
                  <c:v>201x</c:v>
                </c:pt>
              </c:strCache>
            </c:strRef>
          </c:cat>
          <c:val>
            <c:numRef>
              <c:f>Sheet1!$B$2:$B$6</c:f>
              <c:numCache>
                <c:formatCode>General</c:formatCode>
                <c:ptCount val="5"/>
                <c:pt idx="0">
                  <c:v>32.3</c:v>
                </c:pt>
                <c:pt idx="1">
                  <c:v>0.07</c:v>
                </c:pt>
                <c:pt idx="2">
                  <c:v>49.46</c:v>
                </c:pt>
                <c:pt idx="3">
                  <c:v>1.34</c:v>
                </c:pt>
                <c:pt idx="4">
                  <c:v>83.17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1.62</c:v>
                </c:pt>
                <c:pt idx="1">
                  <c:v>1.62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7.02</c:v>
                </c:pt>
                <c:pt idx="1">
                  <c:v>7.02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4.04</c:v>
                </c:pt>
                <c:pt idx="1">
                  <c:v>4.04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28.84</c:v>
                </c:pt>
                <c:pt idx="1">
                  <c:v>3.36</c:v>
                </c:pt>
                <c:pt idx="2">
                  <c:v>26.28</c:v>
                </c:pt>
                <c:pt idx="3">
                  <c:v>1.4</c:v>
                </c:pt>
                <c:pt idx="4">
                  <c:v>12.98</c:v>
                </c:pt>
                <c:pt idx="5">
                  <c:v>6.49</c:v>
                </c:pt>
                <c:pt idx="6">
                  <c:v>0</c:v>
                </c:pt>
                <c:pt idx="7">
                  <c:v>2.68</c:v>
                </c:pt>
                <c:pt idx="8">
                  <c:v>0</c:v>
                </c:pt>
                <c:pt idx="9">
                  <c:v>0.28</c:v>
                </c:pt>
                <c:pt idx="10">
                  <c:v>7.66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0.36</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1.34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0.01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2023-11-29T08:46:52Z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707E3801BC5249719C69D7D2DFE53DED</vt:lpwstr>
  </property>
</Properties>
</file>