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eastAsia="zh-CN"/>
        </w:rPr>
        <w:t>环江毛南族自治县世界自然遗产保护中心</w:t>
      </w: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szCs w:val="32"/>
          <w:highlight w:val="none"/>
          <w:lang w:eastAsia="zh-CN"/>
        </w:rPr>
        <w:t>环江毛南族自治县世界自然遗产保护中心</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eastAsia="zh-CN"/>
        </w:rPr>
        <w:t>环江毛南族自治县世界自然遗产保护中心</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szCs w:val="32"/>
          <w:highlight w:val="none"/>
          <w:lang w:eastAsia="zh-CN"/>
        </w:rPr>
        <w:t>环江毛南族自治县世界自然遗产保护中心</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hint="eastAsia" w:ascii="仿宋_GB2312" w:eastAsia="仿宋_GB2312" w:cs="仿宋_GB2312"/>
          <w:kern w:val="0"/>
          <w:sz w:val="32"/>
          <w:szCs w:val="32"/>
          <w:highlight w:val="none"/>
          <w:lang w:eastAsia="zh-CN"/>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sz w:val="32"/>
          <w:szCs w:val="32"/>
          <w:highlight w:val="none"/>
          <w:lang w:eastAsia="zh-CN"/>
        </w:rPr>
        <w:t>环江毛南族自治县世界自然遗产保护中心</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（一）组织实施环江喀斯特世界自然遗产保护管理规划，制定并实施环江喀斯特世界自然遗产的具体保护管理制度；</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（二）负责协调做好环江喀斯特世界自然遗产保护范围内资源的保护、监测、调查、评估和登记工作；</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（三）加强与其他世界自然遗产管理机构和国际组织的交流合作，构建国际国内专家咨询网络，推介环江喀斯特世界自然遗产资源价值；</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四）组织世界自然遗产的科学普及和宣传教育培训，倡导生态文明，提高公众的世界自然遗产保护意识。提高管理服务水平，有计划地引进管理技术和人才，推进世界自然遗产的资源价值研究、资源展示和科教宣传；</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（五）建立健全安全保障制度，加强安全管理；</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（六）法律法规规定的其他职责；</w:t>
      </w:r>
    </w:p>
    <w:p>
      <w:pPr>
        <w:ind w:firstLine="640" w:firstLineChars="200"/>
        <w:jc w:val="left"/>
        <w:rPr>
          <w:rFonts w:hint="eastAsia" w:ascii="宋体" w:hAnsi="宋体" w:eastAsia="宋体" w:cs="宋体"/>
          <w:color w:val="000000"/>
          <w:kern w:val="0"/>
          <w:sz w:val="22"/>
          <w:szCs w:val="22"/>
          <w:highlight w:val="none"/>
          <w:lang w:val="en-US" w:eastAsia="zh-CN" w:bidi="ar"/>
        </w:rPr>
      </w:pPr>
      <w:r>
        <w:rPr>
          <w:rFonts w:hint="eastAsia" w:ascii="仿宋" w:hAnsi="仿宋" w:eastAsia="仿宋" w:cs="仿宋"/>
          <w:sz w:val="32"/>
          <w:szCs w:val="32"/>
          <w:highlight w:val="none"/>
          <w:lang w:val="en-US" w:eastAsia="zh-CN"/>
        </w:rPr>
        <w:t>（七）承办自治县人民政府交办的其他事项。</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自治县世界自然遗产保护中心设3个内设机构。</w:t>
      </w:r>
    </w:p>
    <w:p>
      <w:pPr>
        <w:ind w:firstLine="640" w:firstLineChars="20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（一）办公室。</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负责本部门日常事务管理、会议组织、电文处理、秘书事务、检查督办、档案管理、信访、综合信息、人事、财务、劳资、固定资产购置、车辆管理及行政后勤保障等工作。</w:t>
      </w:r>
    </w:p>
    <w:p>
      <w:pPr>
        <w:ind w:firstLine="640" w:firstLineChars="200"/>
        <w:jc w:val="left"/>
        <w:rPr>
          <w:rFonts w:hint="eastAsia" w:ascii="仿宋" w:hAnsi="仿宋" w:eastAsia="仿宋" w:cs="仿宋"/>
          <w:sz w:val="32"/>
          <w:szCs w:val="32"/>
          <w:highlight w:val="none"/>
          <w:lang w:val="en-US" w:eastAsia="zh-CN"/>
        </w:rPr>
      </w:pPr>
      <w:r>
        <w:rPr>
          <w:rFonts w:hint="eastAsia" w:ascii="黑体" w:hAnsi="黑体" w:eastAsia="黑体" w:cs="黑体"/>
          <w:sz w:val="32"/>
          <w:szCs w:val="32"/>
          <w:highlight w:val="none"/>
          <w:lang w:val="en-US" w:eastAsia="zh-CN"/>
        </w:rPr>
        <w:t>（二）规划管理股</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负责编制遗产地保护管理规划，制定资源开发利用方案并组织实施；负责环江喀斯特世界自然遗产地生态、地质地貌、气候、水域、森林、生物及洞穴等资源管理，维护世界自然遗产地资源的完整性和原生性；负责遗产地范围内相关基础设施等申报、评估、建设管理；负责遗产地生物多样性、珍稀濒危动植物保护、救护、展示和科研开发；负责遗产地气候、水域、地质地貌、生物多样性、森林生态等资源的保护、监测、调查、评估、登记，更新科研监测数据，建立遗产地资源数据库；负责国内外遗产地的学术交流和项目合作。</w:t>
      </w:r>
    </w:p>
    <w:p>
      <w:pPr>
        <w:numPr>
          <w:ilvl w:val="0"/>
          <w:numId w:val="1"/>
        </w:numPr>
        <w:ind w:firstLine="640" w:firstLineChars="200"/>
        <w:jc w:val="left"/>
        <w:rPr>
          <w:rFonts w:hint="eastAsia" w:ascii="仿宋" w:hAnsi="仿宋" w:eastAsia="仿宋" w:cs="仿宋"/>
          <w:sz w:val="32"/>
          <w:szCs w:val="32"/>
          <w:highlight w:val="none"/>
          <w:lang w:val="en-US" w:eastAsia="zh-CN"/>
        </w:rPr>
      </w:pPr>
      <w:r>
        <w:rPr>
          <w:rFonts w:hint="eastAsia" w:ascii="黑体" w:hAnsi="黑体" w:eastAsia="黑体" w:cs="黑体"/>
          <w:sz w:val="32"/>
          <w:szCs w:val="32"/>
          <w:highlight w:val="none"/>
          <w:lang w:val="en-US" w:eastAsia="zh-CN"/>
        </w:rPr>
        <w:t>社会管理股</w:t>
      </w:r>
    </w:p>
    <w:p>
      <w:pPr>
        <w:numPr>
          <w:ilvl w:val="0"/>
          <w:numId w:val="0"/>
        </w:num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负责制订世界自然遗产地社会事业和产业发展规划，负责制定社区可持续发展方案和措施并组织实施；负责世界自然遗产地科学保护和可持续发展利用项目的招商引资、项目协调、资金落实等跟踪服务工作，为世界自然遗产地各类活动提供有关政策、法规、办事程序等方面的咨询服务，按授权和规定综合协调遗产地范围内的征地拆迁补偿安置工作，协调解决遗产地民生经济发展相关问题和纠纷；负责组织协调做好遗产地民族民俗文化的保存和发扬、配合做好民族宗教事务的稳定和社会和谐发展；配合公安、国土、环保、林业、消防等相关部门实施对遗产地的安全管理；依据国家相关法律法规，规范遗产地的相关建设、科考、游览、可持续利用、宗教信仰、民族风俗等活动的开展。</w:t>
      </w:r>
    </w:p>
    <w:p>
      <w:pPr>
        <w:ind w:firstLine="640" w:firstLineChars="200"/>
        <w:jc w:val="left"/>
        <w:rPr>
          <w:rFonts w:hint="eastAsia" w:ascii="仿宋" w:hAnsi="仿宋" w:eastAsia="仿宋" w:cs="仿宋"/>
          <w:sz w:val="32"/>
          <w:szCs w:val="32"/>
          <w:highlight w:val="none"/>
          <w:lang w:val="en-US" w:eastAsia="zh-CN"/>
        </w:rPr>
      </w:pPr>
    </w:p>
    <w:p>
      <w:pPr>
        <w:ind w:firstLine="640" w:firstLineChars="200"/>
        <w:jc w:val="left"/>
        <w:rPr>
          <w:rFonts w:hint="eastAsia" w:ascii="仿宋" w:hAnsi="仿宋" w:eastAsia="仿宋" w:cs="仿宋"/>
          <w:sz w:val="32"/>
          <w:szCs w:val="32"/>
          <w:highlight w:val="none"/>
          <w:lang w:val="en-US" w:eastAsia="zh-CN"/>
        </w:rPr>
      </w:pPr>
    </w:p>
    <w:p>
      <w:pPr>
        <w:ind w:firstLine="640" w:firstLineChars="200"/>
        <w:jc w:val="left"/>
        <w:rPr>
          <w:rFonts w:hint="eastAsia" w:ascii="仿宋" w:hAnsi="仿宋" w:eastAsia="仿宋" w:cs="仿宋"/>
          <w:sz w:val="32"/>
          <w:szCs w:val="32"/>
          <w:highlight w:val="none"/>
          <w:lang w:val="en-US" w:eastAsia="zh-CN"/>
        </w:rPr>
        <w:sectPr>
          <w:pgSz w:w="11906" w:h="16838"/>
          <w:pgMar w:top="720" w:right="720" w:bottom="720" w:left="720" w:header="851" w:footer="992" w:gutter="0"/>
          <w:cols w:space="425" w:num="1"/>
          <w:docGrid w:type="lines" w:linePitch="312" w:charSpace="0"/>
        </w:sect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eastAsia="zh-CN"/>
        </w:rPr>
        <w:t>环江毛南族自治县世界自然遗产保护中心</w:t>
      </w:r>
      <w:r>
        <w:rPr>
          <w:rFonts w:hint="eastAsia" w:ascii="黑体" w:hAnsi="黑体" w:eastAsia="黑体" w:cs="黑体"/>
          <w:sz w:val="32"/>
          <w:szCs w:val="32"/>
          <w:highlight w:val="none"/>
        </w:rPr>
        <w:t xml:space="preserve"> 2022年度部门决算报表</w:t>
      </w:r>
    </w:p>
    <w:tbl>
      <w:tblPr>
        <w:tblStyle w:val="6"/>
        <w:tblW w:w="5000" w:type="pct"/>
        <w:tblInd w:w="0" w:type="dxa"/>
        <w:tblLayout w:type="autofit"/>
        <w:tblCellMar>
          <w:top w:w="0" w:type="dxa"/>
          <w:left w:w="108" w:type="dxa"/>
          <w:bottom w:w="0" w:type="dxa"/>
          <w:right w:w="108" w:type="dxa"/>
        </w:tblCellMar>
      </w:tblPr>
      <w:tblGrid>
        <w:gridCol w:w="3416"/>
        <w:gridCol w:w="2551"/>
        <w:gridCol w:w="2375"/>
        <w:gridCol w:w="3216"/>
        <w:gridCol w:w="2334"/>
        <w:gridCol w:w="2028"/>
      </w:tblGrid>
      <w:tr>
        <w:tblPrEx>
          <w:tblCellMar>
            <w:top w:w="0" w:type="dxa"/>
            <w:left w:w="108" w:type="dxa"/>
            <w:bottom w:w="0" w:type="dxa"/>
            <w:right w:w="108" w:type="dxa"/>
          </w:tblCellMar>
        </w:tblPrEx>
        <w:trPr>
          <w:trHeight w:val="806" w:hRule="atLeast"/>
        </w:trPr>
        <w:tc>
          <w:tcPr>
            <w:tcW w:w="5000" w:type="pct"/>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表一：收入支出决算总表</w:t>
            </w: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269" w:hRule="atLeast"/>
        </w:trPr>
        <w:tc>
          <w:tcPr>
            <w:tcW w:w="90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5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9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5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8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91"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269" w:hRule="atLeast"/>
        </w:trPr>
        <w:tc>
          <w:tcPr>
            <w:tcW w:w="2565" w:type="pct"/>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环江毛南族自治县世界自然遗产保护中心</w:t>
            </w:r>
          </w:p>
        </w:tc>
        <w:tc>
          <w:tcPr>
            <w:tcW w:w="955"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88"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91"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78" w:hRule="atLeast"/>
        </w:trPr>
        <w:tc>
          <w:tcPr>
            <w:tcW w:w="256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收入</w:t>
            </w:r>
          </w:p>
        </w:tc>
        <w:tc>
          <w:tcPr>
            <w:tcW w:w="243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支出</w:t>
            </w:r>
          </w:p>
        </w:tc>
      </w:tr>
      <w:tr>
        <w:tblPrEx>
          <w:tblCellMar>
            <w:top w:w="0" w:type="dxa"/>
            <w:left w:w="108" w:type="dxa"/>
            <w:bottom w:w="0" w:type="dxa"/>
            <w:right w:w="108" w:type="dxa"/>
          </w:tblCellMar>
        </w:tblPrEx>
        <w:trPr>
          <w:trHeight w:val="278" w:hRule="atLeast"/>
        </w:trPr>
        <w:tc>
          <w:tcPr>
            <w:tcW w:w="9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项目</w:t>
            </w:r>
          </w:p>
        </w:tc>
        <w:tc>
          <w:tcPr>
            <w:tcW w:w="8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行次</w:t>
            </w:r>
          </w:p>
        </w:tc>
        <w:tc>
          <w:tcPr>
            <w:tcW w:w="7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w:t>
            </w:r>
          </w:p>
        </w:tc>
        <w:tc>
          <w:tcPr>
            <w:tcW w:w="9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项目</w:t>
            </w:r>
          </w:p>
        </w:tc>
        <w:tc>
          <w:tcPr>
            <w:tcW w:w="7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行次</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w:t>
            </w:r>
          </w:p>
        </w:tc>
      </w:tr>
      <w:tr>
        <w:tblPrEx>
          <w:tblCellMar>
            <w:top w:w="0" w:type="dxa"/>
            <w:left w:w="108" w:type="dxa"/>
            <w:bottom w:w="0" w:type="dxa"/>
            <w:right w:w="108" w:type="dxa"/>
          </w:tblCellMar>
        </w:tblPrEx>
        <w:trPr>
          <w:trHeight w:val="278" w:hRule="atLeast"/>
        </w:trPr>
        <w:tc>
          <w:tcPr>
            <w:tcW w:w="9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栏次</w:t>
            </w:r>
          </w:p>
        </w:tc>
        <w:tc>
          <w:tcPr>
            <w:tcW w:w="8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0"/>
                <w:szCs w:val="20"/>
                <w:highlight w:val="none"/>
              </w:rPr>
            </w:pPr>
          </w:p>
        </w:tc>
        <w:tc>
          <w:tcPr>
            <w:tcW w:w="7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w:t>
            </w:r>
          </w:p>
        </w:tc>
        <w:tc>
          <w:tcPr>
            <w:tcW w:w="9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栏次</w:t>
            </w:r>
          </w:p>
        </w:tc>
        <w:tc>
          <w:tcPr>
            <w:tcW w:w="7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0"/>
                <w:szCs w:val="20"/>
                <w:highlight w:val="none"/>
              </w:rPr>
            </w:pP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2</w:t>
            </w:r>
          </w:p>
        </w:tc>
      </w:tr>
      <w:tr>
        <w:tblPrEx>
          <w:tblCellMar>
            <w:top w:w="0" w:type="dxa"/>
            <w:left w:w="108" w:type="dxa"/>
            <w:bottom w:w="0" w:type="dxa"/>
            <w:right w:w="108" w:type="dxa"/>
          </w:tblCellMar>
        </w:tblPrEx>
        <w:trPr>
          <w:trHeight w:val="278" w:hRule="atLeast"/>
        </w:trPr>
        <w:tc>
          <w:tcPr>
            <w:tcW w:w="9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20"/>
                <w:szCs w:val="20"/>
                <w:highlight w:val="none"/>
              </w:rPr>
            </w:pPr>
            <w:r>
              <w:rPr>
                <w:rFonts w:hint="eastAsia"/>
                <w:sz w:val="20"/>
                <w:szCs w:val="20"/>
                <w:highlight w:val="none"/>
              </w:rPr>
              <w:t>一、一般公共预算财政拨款收入</w:t>
            </w:r>
          </w:p>
        </w:tc>
        <w:tc>
          <w:tcPr>
            <w:tcW w:w="8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w:t>
            </w:r>
          </w:p>
        </w:tc>
        <w:tc>
          <w:tcPr>
            <w:tcW w:w="7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97.36</w:t>
            </w:r>
          </w:p>
        </w:tc>
        <w:tc>
          <w:tcPr>
            <w:tcW w:w="9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一、一般公共服务支出</w:t>
            </w:r>
          </w:p>
        </w:tc>
        <w:tc>
          <w:tcPr>
            <w:tcW w:w="7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32</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0.53</w:t>
            </w:r>
          </w:p>
        </w:tc>
      </w:tr>
      <w:tr>
        <w:tblPrEx>
          <w:tblCellMar>
            <w:top w:w="0" w:type="dxa"/>
            <w:left w:w="108" w:type="dxa"/>
            <w:bottom w:w="0" w:type="dxa"/>
            <w:right w:w="108" w:type="dxa"/>
          </w:tblCellMar>
        </w:tblPrEx>
        <w:trPr>
          <w:trHeight w:val="278" w:hRule="atLeast"/>
        </w:trPr>
        <w:tc>
          <w:tcPr>
            <w:tcW w:w="9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20"/>
                <w:szCs w:val="20"/>
                <w:highlight w:val="none"/>
              </w:rPr>
            </w:pPr>
            <w:r>
              <w:rPr>
                <w:rFonts w:hint="eastAsia"/>
                <w:sz w:val="20"/>
                <w:szCs w:val="20"/>
                <w:highlight w:val="none"/>
              </w:rPr>
              <w:t>二、政府性基金预算财政拨款收入</w:t>
            </w:r>
          </w:p>
        </w:tc>
        <w:tc>
          <w:tcPr>
            <w:tcW w:w="8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2</w:t>
            </w:r>
          </w:p>
        </w:tc>
        <w:tc>
          <w:tcPr>
            <w:tcW w:w="7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c>
          <w:tcPr>
            <w:tcW w:w="9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二、外交支出</w:t>
            </w:r>
          </w:p>
        </w:tc>
        <w:tc>
          <w:tcPr>
            <w:tcW w:w="7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33</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78" w:hRule="atLeast"/>
        </w:trPr>
        <w:tc>
          <w:tcPr>
            <w:tcW w:w="9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20"/>
                <w:szCs w:val="20"/>
                <w:highlight w:val="none"/>
              </w:rPr>
            </w:pPr>
            <w:r>
              <w:rPr>
                <w:rFonts w:hint="eastAsia"/>
                <w:sz w:val="20"/>
                <w:szCs w:val="20"/>
                <w:highlight w:val="none"/>
              </w:rPr>
              <w:t>三、国有资本经营预算财政拨款收入</w:t>
            </w:r>
          </w:p>
        </w:tc>
        <w:tc>
          <w:tcPr>
            <w:tcW w:w="8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3</w:t>
            </w:r>
          </w:p>
        </w:tc>
        <w:tc>
          <w:tcPr>
            <w:tcW w:w="7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c>
          <w:tcPr>
            <w:tcW w:w="9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三、国防支出</w:t>
            </w:r>
          </w:p>
        </w:tc>
        <w:tc>
          <w:tcPr>
            <w:tcW w:w="7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34</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78" w:hRule="atLeast"/>
        </w:trPr>
        <w:tc>
          <w:tcPr>
            <w:tcW w:w="9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20"/>
                <w:szCs w:val="20"/>
                <w:highlight w:val="none"/>
              </w:rPr>
            </w:pPr>
            <w:r>
              <w:rPr>
                <w:rFonts w:hint="eastAsia"/>
                <w:sz w:val="20"/>
                <w:szCs w:val="20"/>
                <w:highlight w:val="none"/>
              </w:rPr>
              <w:t>四、上级补助收入</w:t>
            </w:r>
          </w:p>
        </w:tc>
        <w:tc>
          <w:tcPr>
            <w:tcW w:w="8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4</w:t>
            </w:r>
          </w:p>
        </w:tc>
        <w:tc>
          <w:tcPr>
            <w:tcW w:w="7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0.00</w:t>
            </w:r>
          </w:p>
        </w:tc>
        <w:tc>
          <w:tcPr>
            <w:tcW w:w="9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四、公共安全支出</w:t>
            </w:r>
          </w:p>
        </w:tc>
        <w:tc>
          <w:tcPr>
            <w:tcW w:w="7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35</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78" w:hRule="atLeast"/>
        </w:trPr>
        <w:tc>
          <w:tcPr>
            <w:tcW w:w="9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20"/>
                <w:szCs w:val="20"/>
                <w:highlight w:val="none"/>
              </w:rPr>
            </w:pPr>
            <w:r>
              <w:rPr>
                <w:rFonts w:hint="eastAsia"/>
                <w:sz w:val="20"/>
                <w:szCs w:val="20"/>
                <w:highlight w:val="none"/>
              </w:rPr>
              <w:t>五、事业收入</w:t>
            </w:r>
          </w:p>
        </w:tc>
        <w:tc>
          <w:tcPr>
            <w:tcW w:w="8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5</w:t>
            </w:r>
          </w:p>
        </w:tc>
        <w:tc>
          <w:tcPr>
            <w:tcW w:w="7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c>
          <w:tcPr>
            <w:tcW w:w="9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五、教育支出</w:t>
            </w:r>
          </w:p>
        </w:tc>
        <w:tc>
          <w:tcPr>
            <w:tcW w:w="7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36</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0.00</w:t>
            </w:r>
          </w:p>
        </w:tc>
      </w:tr>
      <w:tr>
        <w:tblPrEx>
          <w:tblCellMar>
            <w:top w:w="0" w:type="dxa"/>
            <w:left w:w="108" w:type="dxa"/>
            <w:bottom w:w="0" w:type="dxa"/>
            <w:right w:w="108" w:type="dxa"/>
          </w:tblCellMar>
        </w:tblPrEx>
        <w:trPr>
          <w:trHeight w:val="278" w:hRule="atLeast"/>
        </w:trPr>
        <w:tc>
          <w:tcPr>
            <w:tcW w:w="9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20"/>
                <w:szCs w:val="20"/>
                <w:highlight w:val="none"/>
              </w:rPr>
            </w:pPr>
            <w:r>
              <w:rPr>
                <w:rFonts w:hint="eastAsia"/>
                <w:sz w:val="20"/>
                <w:szCs w:val="20"/>
                <w:highlight w:val="none"/>
              </w:rPr>
              <w:t>六、经营收入</w:t>
            </w:r>
          </w:p>
        </w:tc>
        <w:tc>
          <w:tcPr>
            <w:tcW w:w="8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6</w:t>
            </w:r>
          </w:p>
        </w:tc>
        <w:tc>
          <w:tcPr>
            <w:tcW w:w="7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c>
          <w:tcPr>
            <w:tcW w:w="9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六、科学技术支出</w:t>
            </w:r>
          </w:p>
        </w:tc>
        <w:tc>
          <w:tcPr>
            <w:tcW w:w="7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37</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78" w:hRule="atLeast"/>
        </w:trPr>
        <w:tc>
          <w:tcPr>
            <w:tcW w:w="9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20"/>
                <w:szCs w:val="20"/>
                <w:highlight w:val="none"/>
              </w:rPr>
            </w:pPr>
            <w:r>
              <w:rPr>
                <w:rFonts w:hint="eastAsia"/>
                <w:sz w:val="20"/>
                <w:szCs w:val="20"/>
                <w:highlight w:val="none"/>
              </w:rPr>
              <w:t>七、附属单位上缴收入</w:t>
            </w:r>
          </w:p>
        </w:tc>
        <w:tc>
          <w:tcPr>
            <w:tcW w:w="8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7</w:t>
            </w:r>
          </w:p>
        </w:tc>
        <w:tc>
          <w:tcPr>
            <w:tcW w:w="7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c>
          <w:tcPr>
            <w:tcW w:w="9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七、文化旅游体育与传媒支出</w:t>
            </w:r>
          </w:p>
        </w:tc>
        <w:tc>
          <w:tcPr>
            <w:tcW w:w="7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38</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44.77</w:t>
            </w:r>
          </w:p>
        </w:tc>
      </w:tr>
      <w:tr>
        <w:tblPrEx>
          <w:tblCellMar>
            <w:top w:w="0" w:type="dxa"/>
            <w:left w:w="108" w:type="dxa"/>
            <w:bottom w:w="0" w:type="dxa"/>
            <w:right w:w="108" w:type="dxa"/>
          </w:tblCellMar>
        </w:tblPrEx>
        <w:trPr>
          <w:trHeight w:val="278" w:hRule="atLeast"/>
        </w:trPr>
        <w:tc>
          <w:tcPr>
            <w:tcW w:w="9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20"/>
                <w:szCs w:val="20"/>
                <w:highlight w:val="none"/>
              </w:rPr>
            </w:pPr>
            <w:r>
              <w:rPr>
                <w:rFonts w:hint="eastAsia"/>
                <w:sz w:val="20"/>
                <w:szCs w:val="20"/>
                <w:highlight w:val="none"/>
              </w:rPr>
              <w:t>八、其他收入</w:t>
            </w:r>
          </w:p>
        </w:tc>
        <w:tc>
          <w:tcPr>
            <w:tcW w:w="8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8</w:t>
            </w:r>
          </w:p>
        </w:tc>
        <w:tc>
          <w:tcPr>
            <w:tcW w:w="7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2.80</w:t>
            </w:r>
          </w:p>
        </w:tc>
        <w:tc>
          <w:tcPr>
            <w:tcW w:w="9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八、社会保障和就业支出</w:t>
            </w:r>
          </w:p>
        </w:tc>
        <w:tc>
          <w:tcPr>
            <w:tcW w:w="7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39</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3.84</w:t>
            </w:r>
          </w:p>
        </w:tc>
      </w:tr>
      <w:tr>
        <w:tblPrEx>
          <w:tblCellMar>
            <w:top w:w="0" w:type="dxa"/>
            <w:left w:w="108" w:type="dxa"/>
            <w:bottom w:w="0" w:type="dxa"/>
            <w:right w:w="108" w:type="dxa"/>
          </w:tblCellMar>
        </w:tblPrEx>
        <w:trPr>
          <w:trHeight w:val="278" w:hRule="atLeast"/>
        </w:trPr>
        <w:tc>
          <w:tcPr>
            <w:tcW w:w="9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20"/>
                <w:szCs w:val="20"/>
                <w:highlight w:val="none"/>
              </w:rPr>
            </w:pPr>
          </w:p>
        </w:tc>
        <w:tc>
          <w:tcPr>
            <w:tcW w:w="8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9</w:t>
            </w:r>
          </w:p>
        </w:tc>
        <w:tc>
          <w:tcPr>
            <w:tcW w:w="7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c>
          <w:tcPr>
            <w:tcW w:w="9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九、卫生健康支出</w:t>
            </w:r>
          </w:p>
        </w:tc>
        <w:tc>
          <w:tcPr>
            <w:tcW w:w="7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40</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0.00</w:t>
            </w:r>
          </w:p>
        </w:tc>
      </w:tr>
      <w:tr>
        <w:tblPrEx>
          <w:tblCellMar>
            <w:top w:w="0" w:type="dxa"/>
            <w:left w:w="108" w:type="dxa"/>
            <w:bottom w:w="0" w:type="dxa"/>
            <w:right w:w="108" w:type="dxa"/>
          </w:tblCellMar>
        </w:tblPrEx>
        <w:trPr>
          <w:trHeight w:val="278" w:hRule="atLeast"/>
        </w:trPr>
        <w:tc>
          <w:tcPr>
            <w:tcW w:w="9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20"/>
                <w:szCs w:val="20"/>
                <w:highlight w:val="none"/>
              </w:rPr>
            </w:pPr>
          </w:p>
        </w:tc>
        <w:tc>
          <w:tcPr>
            <w:tcW w:w="8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10</w:t>
            </w:r>
          </w:p>
        </w:tc>
        <w:tc>
          <w:tcPr>
            <w:tcW w:w="7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c>
          <w:tcPr>
            <w:tcW w:w="9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十、节能环保支出</w:t>
            </w:r>
          </w:p>
        </w:tc>
        <w:tc>
          <w:tcPr>
            <w:tcW w:w="7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41</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78" w:hRule="atLeast"/>
        </w:trPr>
        <w:tc>
          <w:tcPr>
            <w:tcW w:w="9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20"/>
                <w:szCs w:val="20"/>
                <w:highlight w:val="none"/>
              </w:rPr>
            </w:pPr>
          </w:p>
        </w:tc>
        <w:tc>
          <w:tcPr>
            <w:tcW w:w="8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11</w:t>
            </w:r>
          </w:p>
        </w:tc>
        <w:tc>
          <w:tcPr>
            <w:tcW w:w="7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c>
          <w:tcPr>
            <w:tcW w:w="9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十一、城乡社区支出</w:t>
            </w:r>
          </w:p>
        </w:tc>
        <w:tc>
          <w:tcPr>
            <w:tcW w:w="7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42</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78" w:hRule="atLeast"/>
        </w:trPr>
        <w:tc>
          <w:tcPr>
            <w:tcW w:w="9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20"/>
                <w:szCs w:val="20"/>
                <w:highlight w:val="none"/>
              </w:rPr>
            </w:pPr>
          </w:p>
        </w:tc>
        <w:tc>
          <w:tcPr>
            <w:tcW w:w="8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12</w:t>
            </w:r>
          </w:p>
        </w:tc>
        <w:tc>
          <w:tcPr>
            <w:tcW w:w="7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c>
          <w:tcPr>
            <w:tcW w:w="9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十二、农林水支出</w:t>
            </w:r>
          </w:p>
        </w:tc>
        <w:tc>
          <w:tcPr>
            <w:tcW w:w="7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43</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0.00</w:t>
            </w:r>
          </w:p>
        </w:tc>
      </w:tr>
      <w:tr>
        <w:tblPrEx>
          <w:tblCellMar>
            <w:top w:w="0" w:type="dxa"/>
            <w:left w:w="108" w:type="dxa"/>
            <w:bottom w:w="0" w:type="dxa"/>
            <w:right w:w="108" w:type="dxa"/>
          </w:tblCellMar>
        </w:tblPrEx>
        <w:trPr>
          <w:trHeight w:val="278" w:hRule="atLeast"/>
        </w:trPr>
        <w:tc>
          <w:tcPr>
            <w:tcW w:w="9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20"/>
                <w:szCs w:val="20"/>
                <w:highlight w:val="none"/>
              </w:rPr>
            </w:pPr>
          </w:p>
        </w:tc>
        <w:tc>
          <w:tcPr>
            <w:tcW w:w="8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13</w:t>
            </w:r>
          </w:p>
        </w:tc>
        <w:tc>
          <w:tcPr>
            <w:tcW w:w="7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c>
          <w:tcPr>
            <w:tcW w:w="9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十三、交通运输支出</w:t>
            </w:r>
          </w:p>
        </w:tc>
        <w:tc>
          <w:tcPr>
            <w:tcW w:w="7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44</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78" w:hRule="atLeast"/>
        </w:trPr>
        <w:tc>
          <w:tcPr>
            <w:tcW w:w="9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20"/>
                <w:szCs w:val="20"/>
                <w:highlight w:val="none"/>
              </w:rPr>
            </w:pPr>
          </w:p>
        </w:tc>
        <w:tc>
          <w:tcPr>
            <w:tcW w:w="8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14</w:t>
            </w:r>
          </w:p>
        </w:tc>
        <w:tc>
          <w:tcPr>
            <w:tcW w:w="7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c>
          <w:tcPr>
            <w:tcW w:w="9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十四、资源勘探工业信息等支出</w:t>
            </w:r>
          </w:p>
        </w:tc>
        <w:tc>
          <w:tcPr>
            <w:tcW w:w="7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45</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78" w:hRule="atLeast"/>
        </w:trPr>
        <w:tc>
          <w:tcPr>
            <w:tcW w:w="9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20"/>
                <w:szCs w:val="20"/>
                <w:highlight w:val="none"/>
              </w:rPr>
            </w:pPr>
          </w:p>
        </w:tc>
        <w:tc>
          <w:tcPr>
            <w:tcW w:w="8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15</w:t>
            </w:r>
          </w:p>
        </w:tc>
        <w:tc>
          <w:tcPr>
            <w:tcW w:w="7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c>
          <w:tcPr>
            <w:tcW w:w="9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十五、商业服务业等支出</w:t>
            </w:r>
          </w:p>
        </w:tc>
        <w:tc>
          <w:tcPr>
            <w:tcW w:w="7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46</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78" w:hRule="atLeast"/>
        </w:trPr>
        <w:tc>
          <w:tcPr>
            <w:tcW w:w="9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20"/>
                <w:szCs w:val="20"/>
                <w:highlight w:val="none"/>
              </w:rPr>
            </w:pPr>
          </w:p>
        </w:tc>
        <w:tc>
          <w:tcPr>
            <w:tcW w:w="8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16</w:t>
            </w:r>
          </w:p>
        </w:tc>
        <w:tc>
          <w:tcPr>
            <w:tcW w:w="7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c>
          <w:tcPr>
            <w:tcW w:w="9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十六、金融支出</w:t>
            </w:r>
          </w:p>
        </w:tc>
        <w:tc>
          <w:tcPr>
            <w:tcW w:w="7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47</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78" w:hRule="atLeast"/>
        </w:trPr>
        <w:tc>
          <w:tcPr>
            <w:tcW w:w="9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20"/>
                <w:szCs w:val="20"/>
                <w:highlight w:val="none"/>
              </w:rPr>
            </w:pPr>
          </w:p>
        </w:tc>
        <w:tc>
          <w:tcPr>
            <w:tcW w:w="8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17</w:t>
            </w:r>
          </w:p>
        </w:tc>
        <w:tc>
          <w:tcPr>
            <w:tcW w:w="7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c>
          <w:tcPr>
            <w:tcW w:w="9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十七、援助其他地区支出</w:t>
            </w:r>
          </w:p>
        </w:tc>
        <w:tc>
          <w:tcPr>
            <w:tcW w:w="7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48</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78" w:hRule="atLeast"/>
        </w:trPr>
        <w:tc>
          <w:tcPr>
            <w:tcW w:w="9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20"/>
                <w:szCs w:val="20"/>
                <w:highlight w:val="none"/>
              </w:rPr>
            </w:pPr>
          </w:p>
        </w:tc>
        <w:tc>
          <w:tcPr>
            <w:tcW w:w="8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18</w:t>
            </w:r>
          </w:p>
        </w:tc>
        <w:tc>
          <w:tcPr>
            <w:tcW w:w="7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c>
          <w:tcPr>
            <w:tcW w:w="9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十八、自然资源海洋气象等支出</w:t>
            </w:r>
          </w:p>
        </w:tc>
        <w:tc>
          <w:tcPr>
            <w:tcW w:w="7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49</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78" w:hRule="atLeast"/>
        </w:trPr>
        <w:tc>
          <w:tcPr>
            <w:tcW w:w="9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20"/>
                <w:szCs w:val="20"/>
                <w:highlight w:val="none"/>
              </w:rPr>
            </w:pPr>
          </w:p>
        </w:tc>
        <w:tc>
          <w:tcPr>
            <w:tcW w:w="8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19</w:t>
            </w:r>
          </w:p>
        </w:tc>
        <w:tc>
          <w:tcPr>
            <w:tcW w:w="7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c>
          <w:tcPr>
            <w:tcW w:w="9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十九、住房保障支出</w:t>
            </w:r>
          </w:p>
        </w:tc>
        <w:tc>
          <w:tcPr>
            <w:tcW w:w="7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50</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3.17</w:t>
            </w:r>
          </w:p>
        </w:tc>
      </w:tr>
      <w:tr>
        <w:tblPrEx>
          <w:tblCellMar>
            <w:top w:w="0" w:type="dxa"/>
            <w:left w:w="108" w:type="dxa"/>
            <w:bottom w:w="0" w:type="dxa"/>
            <w:right w:w="108" w:type="dxa"/>
          </w:tblCellMar>
        </w:tblPrEx>
        <w:trPr>
          <w:trHeight w:val="278" w:hRule="atLeast"/>
        </w:trPr>
        <w:tc>
          <w:tcPr>
            <w:tcW w:w="9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20"/>
                <w:szCs w:val="20"/>
                <w:highlight w:val="none"/>
              </w:rPr>
            </w:pPr>
          </w:p>
        </w:tc>
        <w:tc>
          <w:tcPr>
            <w:tcW w:w="8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20</w:t>
            </w:r>
          </w:p>
        </w:tc>
        <w:tc>
          <w:tcPr>
            <w:tcW w:w="7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c>
          <w:tcPr>
            <w:tcW w:w="9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二十、粮油物资储备支出</w:t>
            </w:r>
          </w:p>
        </w:tc>
        <w:tc>
          <w:tcPr>
            <w:tcW w:w="7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51</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78" w:hRule="atLeast"/>
        </w:trPr>
        <w:tc>
          <w:tcPr>
            <w:tcW w:w="9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20"/>
                <w:szCs w:val="20"/>
                <w:highlight w:val="none"/>
              </w:rPr>
            </w:pPr>
          </w:p>
        </w:tc>
        <w:tc>
          <w:tcPr>
            <w:tcW w:w="8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21</w:t>
            </w:r>
          </w:p>
        </w:tc>
        <w:tc>
          <w:tcPr>
            <w:tcW w:w="7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c>
          <w:tcPr>
            <w:tcW w:w="9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二十一、国有资本经营预算支出</w:t>
            </w:r>
          </w:p>
        </w:tc>
        <w:tc>
          <w:tcPr>
            <w:tcW w:w="7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52</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78" w:hRule="atLeast"/>
        </w:trPr>
        <w:tc>
          <w:tcPr>
            <w:tcW w:w="9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20"/>
                <w:szCs w:val="20"/>
                <w:highlight w:val="none"/>
              </w:rPr>
            </w:pPr>
          </w:p>
        </w:tc>
        <w:tc>
          <w:tcPr>
            <w:tcW w:w="8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22</w:t>
            </w:r>
          </w:p>
        </w:tc>
        <w:tc>
          <w:tcPr>
            <w:tcW w:w="7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c>
          <w:tcPr>
            <w:tcW w:w="9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二十二、灾害防治及应急管理支出</w:t>
            </w:r>
          </w:p>
        </w:tc>
        <w:tc>
          <w:tcPr>
            <w:tcW w:w="7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53</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78" w:hRule="atLeast"/>
        </w:trPr>
        <w:tc>
          <w:tcPr>
            <w:tcW w:w="9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20"/>
                <w:szCs w:val="20"/>
                <w:highlight w:val="none"/>
              </w:rPr>
            </w:pPr>
          </w:p>
        </w:tc>
        <w:tc>
          <w:tcPr>
            <w:tcW w:w="8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23</w:t>
            </w:r>
          </w:p>
        </w:tc>
        <w:tc>
          <w:tcPr>
            <w:tcW w:w="7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c>
          <w:tcPr>
            <w:tcW w:w="9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二十三、其他支出</w:t>
            </w:r>
          </w:p>
        </w:tc>
        <w:tc>
          <w:tcPr>
            <w:tcW w:w="7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54</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6.5</w:t>
            </w:r>
          </w:p>
        </w:tc>
      </w:tr>
      <w:tr>
        <w:tblPrEx>
          <w:tblCellMar>
            <w:top w:w="0" w:type="dxa"/>
            <w:left w:w="108" w:type="dxa"/>
            <w:bottom w:w="0" w:type="dxa"/>
            <w:right w:w="108" w:type="dxa"/>
          </w:tblCellMar>
        </w:tblPrEx>
        <w:trPr>
          <w:trHeight w:val="278" w:hRule="atLeast"/>
        </w:trPr>
        <w:tc>
          <w:tcPr>
            <w:tcW w:w="9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20"/>
                <w:szCs w:val="20"/>
                <w:highlight w:val="none"/>
              </w:rPr>
            </w:pPr>
          </w:p>
        </w:tc>
        <w:tc>
          <w:tcPr>
            <w:tcW w:w="8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24</w:t>
            </w:r>
          </w:p>
        </w:tc>
        <w:tc>
          <w:tcPr>
            <w:tcW w:w="7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c>
          <w:tcPr>
            <w:tcW w:w="9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二十四、债务还本支出</w:t>
            </w:r>
          </w:p>
        </w:tc>
        <w:tc>
          <w:tcPr>
            <w:tcW w:w="7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55</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78" w:hRule="atLeast"/>
        </w:trPr>
        <w:tc>
          <w:tcPr>
            <w:tcW w:w="9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20"/>
                <w:szCs w:val="20"/>
                <w:highlight w:val="none"/>
              </w:rPr>
            </w:pPr>
          </w:p>
        </w:tc>
        <w:tc>
          <w:tcPr>
            <w:tcW w:w="8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25</w:t>
            </w:r>
          </w:p>
        </w:tc>
        <w:tc>
          <w:tcPr>
            <w:tcW w:w="7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c>
          <w:tcPr>
            <w:tcW w:w="9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二十五、债务付息支出</w:t>
            </w:r>
          </w:p>
        </w:tc>
        <w:tc>
          <w:tcPr>
            <w:tcW w:w="7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56</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78" w:hRule="atLeast"/>
        </w:trPr>
        <w:tc>
          <w:tcPr>
            <w:tcW w:w="9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20"/>
                <w:szCs w:val="20"/>
                <w:highlight w:val="none"/>
              </w:rPr>
            </w:pPr>
          </w:p>
        </w:tc>
        <w:tc>
          <w:tcPr>
            <w:tcW w:w="8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26</w:t>
            </w:r>
          </w:p>
        </w:tc>
        <w:tc>
          <w:tcPr>
            <w:tcW w:w="7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c>
          <w:tcPr>
            <w:tcW w:w="9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二十六、抗疫特别国债安排的支出</w:t>
            </w:r>
          </w:p>
        </w:tc>
        <w:tc>
          <w:tcPr>
            <w:tcW w:w="7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57</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78" w:hRule="atLeast"/>
        </w:trPr>
        <w:tc>
          <w:tcPr>
            <w:tcW w:w="9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20"/>
                <w:szCs w:val="20"/>
                <w:highlight w:val="none"/>
              </w:rPr>
            </w:pPr>
            <w:r>
              <w:rPr>
                <w:rFonts w:hint="eastAsia"/>
                <w:sz w:val="20"/>
                <w:szCs w:val="20"/>
                <w:highlight w:val="none"/>
              </w:rPr>
              <w:t>本年收入合计</w:t>
            </w:r>
          </w:p>
        </w:tc>
        <w:tc>
          <w:tcPr>
            <w:tcW w:w="8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27</w:t>
            </w:r>
          </w:p>
        </w:tc>
        <w:tc>
          <w:tcPr>
            <w:tcW w:w="7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97.36</w:t>
            </w:r>
          </w:p>
        </w:tc>
        <w:tc>
          <w:tcPr>
            <w:tcW w:w="9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本年支出合计</w:t>
            </w:r>
          </w:p>
        </w:tc>
        <w:tc>
          <w:tcPr>
            <w:tcW w:w="7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58</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97.36</w:t>
            </w:r>
          </w:p>
        </w:tc>
      </w:tr>
      <w:tr>
        <w:tblPrEx>
          <w:tblCellMar>
            <w:top w:w="0" w:type="dxa"/>
            <w:left w:w="108" w:type="dxa"/>
            <w:bottom w:w="0" w:type="dxa"/>
            <w:right w:w="108" w:type="dxa"/>
          </w:tblCellMar>
        </w:tblPrEx>
        <w:trPr>
          <w:trHeight w:val="278" w:hRule="atLeast"/>
        </w:trPr>
        <w:tc>
          <w:tcPr>
            <w:tcW w:w="9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20"/>
                <w:szCs w:val="20"/>
                <w:highlight w:val="none"/>
              </w:rPr>
            </w:pPr>
            <w:r>
              <w:rPr>
                <w:rFonts w:hint="eastAsia"/>
                <w:sz w:val="20"/>
                <w:szCs w:val="20"/>
                <w:highlight w:val="none"/>
              </w:rPr>
              <w:t>使用非财政拨款结余</w:t>
            </w:r>
          </w:p>
        </w:tc>
        <w:tc>
          <w:tcPr>
            <w:tcW w:w="8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28</w:t>
            </w:r>
          </w:p>
        </w:tc>
        <w:tc>
          <w:tcPr>
            <w:tcW w:w="7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c>
          <w:tcPr>
            <w:tcW w:w="9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结余分配</w:t>
            </w:r>
          </w:p>
        </w:tc>
        <w:tc>
          <w:tcPr>
            <w:tcW w:w="7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59</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78" w:hRule="atLeast"/>
        </w:trPr>
        <w:tc>
          <w:tcPr>
            <w:tcW w:w="9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20"/>
                <w:szCs w:val="20"/>
                <w:highlight w:val="none"/>
              </w:rPr>
            </w:pPr>
            <w:r>
              <w:rPr>
                <w:rFonts w:hint="eastAsia"/>
                <w:sz w:val="20"/>
                <w:szCs w:val="20"/>
                <w:highlight w:val="none"/>
              </w:rPr>
              <w:t>年初结转和结余</w:t>
            </w:r>
          </w:p>
        </w:tc>
        <w:tc>
          <w:tcPr>
            <w:tcW w:w="8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29</w:t>
            </w:r>
          </w:p>
        </w:tc>
        <w:tc>
          <w:tcPr>
            <w:tcW w:w="7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0.00</w:t>
            </w:r>
          </w:p>
        </w:tc>
        <w:tc>
          <w:tcPr>
            <w:tcW w:w="9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年末结转和结余</w:t>
            </w:r>
          </w:p>
        </w:tc>
        <w:tc>
          <w:tcPr>
            <w:tcW w:w="7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60</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0.00</w:t>
            </w:r>
          </w:p>
        </w:tc>
      </w:tr>
      <w:tr>
        <w:tblPrEx>
          <w:tblCellMar>
            <w:top w:w="0" w:type="dxa"/>
            <w:left w:w="108" w:type="dxa"/>
            <w:bottom w:w="0" w:type="dxa"/>
            <w:right w:w="108" w:type="dxa"/>
          </w:tblCellMar>
        </w:tblPrEx>
        <w:trPr>
          <w:trHeight w:val="278" w:hRule="atLeast"/>
        </w:trPr>
        <w:tc>
          <w:tcPr>
            <w:tcW w:w="9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20"/>
                <w:szCs w:val="20"/>
                <w:highlight w:val="none"/>
              </w:rPr>
            </w:pPr>
          </w:p>
        </w:tc>
        <w:tc>
          <w:tcPr>
            <w:tcW w:w="8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30</w:t>
            </w:r>
          </w:p>
        </w:tc>
        <w:tc>
          <w:tcPr>
            <w:tcW w:w="7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c>
          <w:tcPr>
            <w:tcW w:w="9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p>
        </w:tc>
        <w:tc>
          <w:tcPr>
            <w:tcW w:w="7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61</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0.00</w:t>
            </w:r>
          </w:p>
        </w:tc>
      </w:tr>
      <w:tr>
        <w:tblPrEx>
          <w:tblCellMar>
            <w:top w:w="0" w:type="dxa"/>
            <w:left w:w="108" w:type="dxa"/>
            <w:bottom w:w="0" w:type="dxa"/>
            <w:right w:w="108" w:type="dxa"/>
          </w:tblCellMar>
        </w:tblPrEx>
        <w:trPr>
          <w:trHeight w:val="286" w:hRule="atLeast"/>
        </w:trPr>
        <w:tc>
          <w:tcPr>
            <w:tcW w:w="9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20"/>
                <w:szCs w:val="20"/>
                <w:highlight w:val="none"/>
              </w:rPr>
            </w:pPr>
            <w:r>
              <w:rPr>
                <w:rFonts w:hint="eastAsia"/>
                <w:sz w:val="20"/>
                <w:szCs w:val="20"/>
                <w:highlight w:val="none"/>
              </w:rPr>
              <w:t>总计</w:t>
            </w:r>
          </w:p>
        </w:tc>
        <w:tc>
          <w:tcPr>
            <w:tcW w:w="8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31</w:t>
            </w:r>
          </w:p>
        </w:tc>
        <w:tc>
          <w:tcPr>
            <w:tcW w:w="7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97.36</w:t>
            </w:r>
          </w:p>
        </w:tc>
        <w:tc>
          <w:tcPr>
            <w:tcW w:w="9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总计</w:t>
            </w:r>
          </w:p>
        </w:tc>
        <w:tc>
          <w:tcPr>
            <w:tcW w:w="7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highlight w:val="none"/>
                <w:lang w:bidi="ar"/>
              </w:rPr>
            </w:pPr>
            <w:r>
              <w:rPr>
                <w:rFonts w:hint="default" w:ascii="宋体" w:hAnsi="宋体" w:eastAsia="宋体" w:cs="宋体"/>
                <w:color w:val="000000"/>
                <w:kern w:val="0"/>
                <w:sz w:val="20"/>
                <w:szCs w:val="20"/>
                <w:highlight w:val="none"/>
                <w:lang w:bidi="ar"/>
              </w:rPr>
              <w:t>62</w:t>
            </w:r>
          </w:p>
        </w:tc>
        <w:tc>
          <w:tcPr>
            <w:tcW w:w="6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97.36</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13"/>
          <w:szCs w:val="13"/>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1052"/>
        <w:gridCol w:w="992"/>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9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4"/>
                <w:szCs w:val="24"/>
                <w:highlight w:val="none"/>
                <w:lang w:bidi="ar"/>
              </w:rPr>
              <w:t>部门：</w:t>
            </w:r>
            <w:r>
              <w:rPr>
                <w:rFonts w:hint="eastAsia" w:ascii="宋体" w:hAnsi="宋体" w:eastAsia="宋体" w:cs="宋体"/>
                <w:color w:val="000000"/>
                <w:sz w:val="24"/>
                <w:szCs w:val="24"/>
                <w:u w:color="auto"/>
                <w:lang w:eastAsia="zh-CN"/>
              </w:rPr>
              <w:t>环江毛南族自治县世界自然遗产保护中心</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448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902"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02"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02"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448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681" w:hRule="atLeast"/>
        </w:trPr>
        <w:tc>
          <w:tcPr>
            <w:tcW w:w="448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97.36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97.36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2.80</w:t>
            </w:r>
          </w:p>
        </w:tc>
      </w:tr>
      <w:tr>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201</w:t>
            </w:r>
          </w:p>
        </w:tc>
        <w:tc>
          <w:tcPr>
            <w:tcW w:w="290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0.53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0.53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20129</w:t>
            </w:r>
          </w:p>
        </w:tc>
        <w:tc>
          <w:tcPr>
            <w:tcW w:w="290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i w:val="0"/>
                <w:iCs w:val="0"/>
                <w:color w:val="000000"/>
                <w:kern w:val="0"/>
                <w:sz w:val="22"/>
                <w:szCs w:val="22"/>
                <w:u w:val="none"/>
                <w:lang w:val="en-US" w:eastAsia="zh-CN" w:bidi="ar"/>
              </w:rPr>
              <w:t>群众团体事务</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0.53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0.53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2012999</w:t>
            </w:r>
          </w:p>
        </w:tc>
        <w:tc>
          <w:tcPr>
            <w:tcW w:w="290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0.53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0.53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207</w:t>
            </w:r>
          </w:p>
        </w:tc>
        <w:tc>
          <w:tcPr>
            <w:tcW w:w="290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44.77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23.50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21.27</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20701</w:t>
            </w:r>
          </w:p>
        </w:tc>
        <w:tc>
          <w:tcPr>
            <w:tcW w:w="290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i w:val="0"/>
                <w:iCs w:val="0"/>
                <w:color w:val="000000"/>
                <w:kern w:val="0"/>
                <w:sz w:val="22"/>
                <w:szCs w:val="22"/>
                <w:u w:val="none"/>
                <w:lang w:val="en-US" w:eastAsia="zh-CN" w:bidi="ar"/>
              </w:rPr>
              <w:t>文化和旅游</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44.77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23.50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21.27</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2070101</w:t>
            </w:r>
          </w:p>
        </w:tc>
        <w:tc>
          <w:tcPr>
            <w:tcW w:w="290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39.77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23.50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16.27</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2070199</w:t>
            </w:r>
          </w:p>
        </w:tc>
        <w:tc>
          <w:tcPr>
            <w:tcW w:w="290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290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3.84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3.84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290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3.84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3.84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90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3.84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3.84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290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i w:val="0"/>
                <w:iCs w:val="0"/>
                <w:color w:val="000000"/>
                <w:kern w:val="0"/>
                <w:sz w:val="22"/>
                <w:szCs w:val="22"/>
                <w:u w:val="none"/>
                <w:lang w:val="en-US" w:eastAsia="zh-CN" w:bidi="ar"/>
              </w:rPr>
              <w:t>城乡社区支出</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38.55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38.55</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21299</w:t>
            </w:r>
          </w:p>
        </w:tc>
        <w:tc>
          <w:tcPr>
            <w:tcW w:w="290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i w:val="0"/>
                <w:iCs w:val="0"/>
                <w:color w:val="000000"/>
                <w:kern w:val="0"/>
                <w:sz w:val="22"/>
                <w:szCs w:val="22"/>
                <w:u w:val="none"/>
                <w:lang w:val="en-US" w:eastAsia="zh-CN" w:bidi="ar"/>
              </w:rPr>
              <w:t>其他城乡社区支出</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38.55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38.55</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2129999</w:t>
            </w:r>
          </w:p>
        </w:tc>
        <w:tc>
          <w:tcPr>
            <w:tcW w:w="290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其他城乡社区支出</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38.55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38.55</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w:t>
            </w:r>
          </w:p>
        </w:tc>
        <w:tc>
          <w:tcPr>
            <w:tcW w:w="290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住房保障支出</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3.17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3.17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290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住房改革支出</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3.17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3.17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290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3.17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3.17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290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6.50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6.50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22999</w:t>
            </w:r>
          </w:p>
        </w:tc>
        <w:tc>
          <w:tcPr>
            <w:tcW w:w="290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6.50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6.50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2299999</w:t>
            </w:r>
          </w:p>
        </w:tc>
        <w:tc>
          <w:tcPr>
            <w:tcW w:w="290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6.50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6.50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both"/>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tbl>
      <w:tblPr>
        <w:tblStyle w:val="6"/>
        <w:tblpPr w:leftFromText="180" w:rightFromText="180" w:vertAnchor="text" w:horzAnchor="page" w:tblpX="713" w:tblpY="91"/>
        <w:tblOverlap w:val="never"/>
        <w:tblW w:w="13980" w:type="dxa"/>
        <w:tblInd w:w="0" w:type="dxa"/>
        <w:tblLayout w:type="fixed"/>
        <w:tblCellMar>
          <w:top w:w="0" w:type="dxa"/>
          <w:left w:w="108" w:type="dxa"/>
          <w:bottom w:w="0" w:type="dxa"/>
          <w:right w:w="108" w:type="dxa"/>
        </w:tblCellMar>
      </w:tblPr>
      <w:tblGrid>
        <w:gridCol w:w="1142"/>
        <w:gridCol w:w="237"/>
        <w:gridCol w:w="239"/>
        <w:gridCol w:w="156"/>
        <w:gridCol w:w="3210"/>
        <w:gridCol w:w="870"/>
        <w:gridCol w:w="1357"/>
        <w:gridCol w:w="1760"/>
        <w:gridCol w:w="1653"/>
        <w:gridCol w:w="1654"/>
        <w:gridCol w:w="1702"/>
      </w:tblGrid>
      <w:tr>
        <w:tblPrEx>
          <w:tblCellMar>
            <w:top w:w="0" w:type="dxa"/>
            <w:left w:w="108" w:type="dxa"/>
            <w:bottom w:w="0" w:type="dxa"/>
            <w:right w:w="108" w:type="dxa"/>
          </w:tblCellMar>
        </w:tblPrEx>
        <w:trPr>
          <w:trHeight w:val="474"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95"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21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7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5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15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Arial" w:hAnsi="Arial" w:eastAsia="宋体" w:cs="Arial"/>
                <w:color w:val="000000"/>
                <w:sz w:val="22"/>
                <w:szCs w:val="22"/>
                <w:highlight w:val="none"/>
                <w:lang w:eastAsia="zh-CN"/>
              </w:rPr>
            </w:pPr>
            <w:r>
              <w:rPr>
                <w:rFonts w:hint="eastAsia" w:ascii="宋体" w:hAnsi="宋体" w:eastAsia="宋体" w:cs="宋体"/>
                <w:color w:val="000000"/>
                <w:kern w:val="0"/>
                <w:sz w:val="22"/>
                <w:szCs w:val="22"/>
                <w:highlight w:val="none"/>
                <w:lang w:bidi="ar"/>
              </w:rPr>
              <w:t>部门：</w:t>
            </w:r>
            <w:r>
              <w:rPr>
                <w:rFonts w:hint="eastAsia" w:ascii="宋体" w:hAnsi="宋体" w:eastAsia="宋体" w:cs="宋体"/>
                <w:color w:val="000000"/>
                <w:sz w:val="22"/>
                <w:szCs w:val="22"/>
                <w:u w:color="auto"/>
                <w:lang w:eastAsia="zh-CN"/>
              </w:rPr>
              <w:t>环江毛南族自治县世界自然遗产保护中心</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2"/>
                <w:szCs w:val="22"/>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2"/>
                <w:szCs w:val="22"/>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金额单位：万元</w:t>
            </w:r>
          </w:p>
        </w:tc>
      </w:tr>
      <w:tr>
        <w:tblPrEx>
          <w:tblCellMar>
            <w:top w:w="0" w:type="dxa"/>
            <w:left w:w="108" w:type="dxa"/>
            <w:bottom w:w="0" w:type="dxa"/>
            <w:right w:w="108" w:type="dxa"/>
          </w:tblCellMar>
        </w:tblPrEx>
        <w:trPr>
          <w:trHeight w:val="322" w:hRule="atLeast"/>
        </w:trPr>
        <w:tc>
          <w:tcPr>
            <w:tcW w:w="498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8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3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36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8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36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36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07" w:hRule="atLeast"/>
        </w:trPr>
        <w:tc>
          <w:tcPr>
            <w:tcW w:w="498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167" w:hRule="atLeast"/>
        </w:trPr>
        <w:tc>
          <w:tcPr>
            <w:tcW w:w="498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lang w:val="en-US" w:eastAsia="zh-CN"/>
              </w:rPr>
              <w:t>97.36</w:t>
            </w:r>
          </w:p>
        </w:tc>
        <w:tc>
          <w:tcPr>
            <w:tcW w:w="13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lang w:val="en-US" w:eastAsia="zh-CN"/>
              </w:rPr>
              <w:t>97.36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lang w:val="en-US" w:eastAsia="zh-CN"/>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197"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w:t>
            </w:r>
          </w:p>
        </w:tc>
        <w:tc>
          <w:tcPr>
            <w:tcW w:w="33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0.53</w:t>
            </w:r>
          </w:p>
        </w:tc>
        <w:tc>
          <w:tcPr>
            <w:tcW w:w="13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0.53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7"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w:t>
            </w:r>
          </w:p>
        </w:tc>
        <w:tc>
          <w:tcPr>
            <w:tcW w:w="33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群众团体事务</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0.53</w:t>
            </w:r>
          </w:p>
        </w:tc>
        <w:tc>
          <w:tcPr>
            <w:tcW w:w="13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0.53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27"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33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0.53</w:t>
            </w:r>
          </w:p>
        </w:tc>
        <w:tc>
          <w:tcPr>
            <w:tcW w:w="13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0.53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27"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207</w:t>
            </w:r>
          </w:p>
        </w:tc>
        <w:tc>
          <w:tcPr>
            <w:tcW w:w="33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44.77</w:t>
            </w:r>
          </w:p>
        </w:tc>
        <w:tc>
          <w:tcPr>
            <w:tcW w:w="13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23.50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21.27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57"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20701</w:t>
            </w:r>
          </w:p>
        </w:tc>
        <w:tc>
          <w:tcPr>
            <w:tcW w:w="33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文化和旅游</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44.77</w:t>
            </w:r>
          </w:p>
        </w:tc>
        <w:tc>
          <w:tcPr>
            <w:tcW w:w="13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23.50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21.27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1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2070101</w:t>
            </w:r>
          </w:p>
        </w:tc>
        <w:tc>
          <w:tcPr>
            <w:tcW w:w="33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39.77</w:t>
            </w:r>
          </w:p>
        </w:tc>
        <w:tc>
          <w:tcPr>
            <w:tcW w:w="13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23.50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16.27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2070199</w:t>
            </w:r>
          </w:p>
        </w:tc>
        <w:tc>
          <w:tcPr>
            <w:tcW w:w="33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5.00</w:t>
            </w:r>
          </w:p>
        </w:tc>
        <w:tc>
          <w:tcPr>
            <w:tcW w:w="13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5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w:t>
            </w:r>
          </w:p>
        </w:tc>
        <w:tc>
          <w:tcPr>
            <w:tcW w:w="33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3.84</w:t>
            </w:r>
          </w:p>
        </w:tc>
        <w:tc>
          <w:tcPr>
            <w:tcW w:w="13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w:t>
            </w:r>
          </w:p>
        </w:tc>
        <w:tc>
          <w:tcPr>
            <w:tcW w:w="33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3.84</w:t>
            </w:r>
          </w:p>
        </w:tc>
        <w:tc>
          <w:tcPr>
            <w:tcW w:w="13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33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3.84</w:t>
            </w:r>
          </w:p>
        </w:tc>
        <w:tc>
          <w:tcPr>
            <w:tcW w:w="13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37"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212</w:t>
            </w:r>
          </w:p>
        </w:tc>
        <w:tc>
          <w:tcPr>
            <w:tcW w:w="33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城乡社区支出</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38.55</w:t>
            </w:r>
          </w:p>
        </w:tc>
        <w:tc>
          <w:tcPr>
            <w:tcW w:w="13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38.55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5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21299</w:t>
            </w:r>
          </w:p>
        </w:tc>
        <w:tc>
          <w:tcPr>
            <w:tcW w:w="33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其他城乡社区支出</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38.55</w:t>
            </w:r>
          </w:p>
        </w:tc>
        <w:tc>
          <w:tcPr>
            <w:tcW w:w="13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38.55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37"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2129999</w:t>
            </w:r>
          </w:p>
        </w:tc>
        <w:tc>
          <w:tcPr>
            <w:tcW w:w="33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其他城乡社区支出</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38.55</w:t>
            </w:r>
          </w:p>
        </w:tc>
        <w:tc>
          <w:tcPr>
            <w:tcW w:w="13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38.55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37"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w:t>
            </w:r>
          </w:p>
        </w:tc>
        <w:tc>
          <w:tcPr>
            <w:tcW w:w="33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住房保障支出</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3.17</w:t>
            </w:r>
          </w:p>
        </w:tc>
        <w:tc>
          <w:tcPr>
            <w:tcW w:w="13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3.17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5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w:t>
            </w:r>
          </w:p>
        </w:tc>
        <w:tc>
          <w:tcPr>
            <w:tcW w:w="33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住房改革支出</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3.17</w:t>
            </w:r>
          </w:p>
        </w:tc>
        <w:tc>
          <w:tcPr>
            <w:tcW w:w="13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3.17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33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3.17</w:t>
            </w:r>
          </w:p>
        </w:tc>
        <w:tc>
          <w:tcPr>
            <w:tcW w:w="13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3.17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19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33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6.50</w:t>
            </w:r>
          </w:p>
        </w:tc>
        <w:tc>
          <w:tcPr>
            <w:tcW w:w="13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6.50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37"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w:t>
            </w:r>
          </w:p>
        </w:tc>
        <w:tc>
          <w:tcPr>
            <w:tcW w:w="33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6.50</w:t>
            </w:r>
          </w:p>
        </w:tc>
        <w:tc>
          <w:tcPr>
            <w:tcW w:w="13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6.50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2299999</w:t>
            </w:r>
          </w:p>
        </w:tc>
        <w:tc>
          <w:tcPr>
            <w:tcW w:w="33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6.50</w:t>
            </w:r>
          </w:p>
        </w:tc>
        <w:tc>
          <w:tcPr>
            <w:tcW w:w="13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jc w:val="left"/>
        <w:rPr>
          <w:rFonts w:hint="eastAsia"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15"/>
          <w:szCs w:val="15"/>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895" w:type="pct"/>
        <w:tblInd w:w="0" w:type="dxa"/>
        <w:tblLayout w:type="fixed"/>
        <w:tblCellMar>
          <w:top w:w="0" w:type="dxa"/>
          <w:left w:w="108" w:type="dxa"/>
          <w:bottom w:w="0" w:type="dxa"/>
          <w:right w:w="108" w:type="dxa"/>
        </w:tblCellMar>
      </w:tblPr>
      <w:tblGrid>
        <w:gridCol w:w="2503"/>
        <w:gridCol w:w="886"/>
        <w:gridCol w:w="1479"/>
        <w:gridCol w:w="2845"/>
        <w:gridCol w:w="787"/>
        <w:gridCol w:w="1230"/>
        <w:gridCol w:w="2006"/>
        <w:gridCol w:w="1722"/>
        <w:gridCol w:w="2130"/>
      </w:tblGrid>
      <w:tr>
        <w:tblPrEx>
          <w:tblCellMar>
            <w:top w:w="0" w:type="dxa"/>
            <w:left w:w="108" w:type="dxa"/>
            <w:bottom w:w="0" w:type="dxa"/>
            <w:right w:w="108" w:type="dxa"/>
          </w:tblCellMar>
        </w:tblPrEx>
        <w:trPr>
          <w:trHeight w:val="4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10" w:hRule="atLeast"/>
        </w:trPr>
        <w:tc>
          <w:tcPr>
            <w:tcW w:w="8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7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1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5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9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5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83"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10" w:hRule="atLeast"/>
        </w:trPr>
        <w:tc>
          <w:tcPr>
            <w:tcW w:w="3120"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1"/>
                <w:szCs w:val="21"/>
                <w:highlight w:val="none"/>
                <w:lang w:eastAsia="zh-CN"/>
              </w:rPr>
            </w:pPr>
            <w:r>
              <w:rPr>
                <w:rFonts w:hint="eastAsia" w:ascii="宋体" w:hAnsi="宋体" w:eastAsia="宋体" w:cs="宋体"/>
                <w:color w:val="000000"/>
                <w:kern w:val="0"/>
                <w:sz w:val="21"/>
                <w:szCs w:val="21"/>
                <w:highlight w:val="none"/>
                <w:lang w:bidi="ar"/>
              </w:rPr>
              <w:t>部门：</w:t>
            </w:r>
            <w:r>
              <w:rPr>
                <w:rFonts w:hint="eastAsia" w:ascii="宋体" w:hAnsi="宋体" w:eastAsia="宋体" w:cs="宋体"/>
                <w:color w:val="000000"/>
                <w:sz w:val="21"/>
                <w:szCs w:val="21"/>
                <w:u w:color="auto"/>
                <w:lang w:eastAsia="zh-CN"/>
              </w:rPr>
              <w:t>环江毛南族自治县世界自然遗产保护中心</w:t>
            </w:r>
          </w:p>
        </w:tc>
        <w:tc>
          <w:tcPr>
            <w:tcW w:w="643"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1"/>
                <w:szCs w:val="21"/>
                <w:highlight w:val="none"/>
              </w:rPr>
            </w:pPr>
          </w:p>
        </w:tc>
        <w:tc>
          <w:tcPr>
            <w:tcW w:w="552"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1"/>
                <w:szCs w:val="21"/>
                <w:highlight w:val="none"/>
              </w:rPr>
            </w:pPr>
          </w:p>
        </w:tc>
        <w:tc>
          <w:tcPr>
            <w:tcW w:w="683"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金额单位：万元</w:t>
            </w:r>
          </w:p>
        </w:tc>
      </w:tr>
      <w:tr>
        <w:tblPrEx>
          <w:tblCellMar>
            <w:top w:w="0" w:type="dxa"/>
            <w:left w:w="108" w:type="dxa"/>
            <w:bottom w:w="0" w:type="dxa"/>
            <w:right w:w="108" w:type="dxa"/>
          </w:tblCellMar>
        </w:tblPrEx>
        <w:trPr>
          <w:trHeight w:val="217" w:hRule="atLeast"/>
        </w:trPr>
        <w:tc>
          <w:tcPr>
            <w:tcW w:w="156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收     入</w:t>
            </w:r>
          </w:p>
        </w:tc>
        <w:tc>
          <w:tcPr>
            <w:tcW w:w="3438"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支     出</w:t>
            </w:r>
          </w:p>
        </w:tc>
      </w:tr>
      <w:tr>
        <w:tblPrEx>
          <w:tblCellMar>
            <w:top w:w="0" w:type="dxa"/>
            <w:left w:w="108" w:type="dxa"/>
            <w:bottom w:w="0" w:type="dxa"/>
            <w:right w:w="108" w:type="dxa"/>
          </w:tblCellMar>
        </w:tblPrEx>
        <w:trPr>
          <w:trHeight w:val="312" w:hRule="atLeast"/>
        </w:trPr>
        <w:tc>
          <w:tcPr>
            <w:tcW w:w="8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项目</w:t>
            </w:r>
          </w:p>
        </w:tc>
        <w:tc>
          <w:tcPr>
            <w:tcW w:w="2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行次</w:t>
            </w:r>
          </w:p>
        </w:tc>
        <w:tc>
          <w:tcPr>
            <w:tcW w:w="47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金额</w:t>
            </w:r>
          </w:p>
        </w:tc>
        <w:tc>
          <w:tcPr>
            <w:tcW w:w="9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项目</w:t>
            </w:r>
          </w:p>
        </w:tc>
        <w:tc>
          <w:tcPr>
            <w:tcW w:w="25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行次</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合计</w:t>
            </w:r>
          </w:p>
        </w:tc>
        <w:tc>
          <w:tcPr>
            <w:tcW w:w="64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一般公共预算财政拨款</w:t>
            </w:r>
          </w:p>
        </w:tc>
        <w:tc>
          <w:tcPr>
            <w:tcW w:w="55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政府性基金预算财政拨款</w:t>
            </w:r>
          </w:p>
        </w:tc>
        <w:tc>
          <w:tcPr>
            <w:tcW w:w="6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国有资本经营预算财政拨款</w:t>
            </w:r>
          </w:p>
        </w:tc>
      </w:tr>
      <w:tr>
        <w:tblPrEx>
          <w:tblCellMar>
            <w:top w:w="0" w:type="dxa"/>
            <w:left w:w="108" w:type="dxa"/>
            <w:bottom w:w="0" w:type="dxa"/>
            <w:right w:w="108" w:type="dxa"/>
          </w:tblCellMar>
        </w:tblPrEx>
        <w:trPr>
          <w:trHeight w:val="312" w:hRule="atLeast"/>
        </w:trPr>
        <w:tc>
          <w:tcPr>
            <w:tcW w:w="8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2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47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91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2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394"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64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5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6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217" w:hRule="atLeast"/>
        </w:trPr>
        <w:tc>
          <w:tcPr>
            <w:tcW w:w="8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栏次</w:t>
            </w: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栏次</w:t>
            </w: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w:t>
            </w:r>
          </w:p>
        </w:tc>
        <w:tc>
          <w:tcPr>
            <w:tcW w:w="6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3</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4</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5</w:t>
            </w:r>
          </w:p>
        </w:tc>
      </w:tr>
      <w:tr>
        <w:tblPrEx>
          <w:tblCellMar>
            <w:top w:w="0" w:type="dxa"/>
            <w:left w:w="108" w:type="dxa"/>
            <w:bottom w:w="0" w:type="dxa"/>
            <w:right w:w="108" w:type="dxa"/>
          </w:tblCellMar>
        </w:tblPrEx>
        <w:trPr>
          <w:trHeight w:val="217" w:hRule="atLeast"/>
        </w:trPr>
        <w:tc>
          <w:tcPr>
            <w:tcW w:w="8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一、一般公共预算财政拨款</w:t>
            </w: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97.36</w:t>
            </w:r>
          </w:p>
        </w:tc>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一、一般公共服务支出</w:t>
            </w: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default" w:ascii="宋体" w:hAnsi="宋体" w:eastAsia="宋体" w:cs="宋体"/>
                <w:color w:val="000000"/>
                <w:sz w:val="21"/>
                <w:szCs w:val="21"/>
                <w:highlight w:val="none"/>
              </w:rPr>
              <w:t>33</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0.53</w:t>
            </w:r>
          </w:p>
        </w:tc>
        <w:tc>
          <w:tcPr>
            <w:tcW w:w="6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0.53</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217" w:hRule="atLeast"/>
        </w:trPr>
        <w:tc>
          <w:tcPr>
            <w:tcW w:w="8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二、政府性基金预算财政拨款</w:t>
            </w: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二、外交支出</w:t>
            </w: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default" w:ascii="宋体" w:hAnsi="宋体" w:eastAsia="宋体" w:cs="宋体"/>
                <w:color w:val="000000"/>
                <w:sz w:val="21"/>
                <w:szCs w:val="21"/>
                <w:highlight w:val="none"/>
              </w:rPr>
              <w:t>34</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0.00</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217" w:hRule="atLeast"/>
        </w:trPr>
        <w:tc>
          <w:tcPr>
            <w:tcW w:w="8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三、国有资本经营预算财政拨款</w:t>
            </w: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三、国防支出</w:t>
            </w: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default" w:ascii="宋体" w:hAnsi="宋体" w:eastAsia="宋体" w:cs="宋体"/>
                <w:color w:val="000000"/>
                <w:sz w:val="21"/>
                <w:szCs w:val="21"/>
                <w:highlight w:val="none"/>
              </w:rPr>
              <w:t>35</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0.00</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217" w:hRule="atLeast"/>
        </w:trPr>
        <w:tc>
          <w:tcPr>
            <w:tcW w:w="8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四、公共安全支出</w:t>
            </w: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default" w:ascii="宋体" w:hAnsi="宋体" w:eastAsia="宋体" w:cs="宋体"/>
                <w:color w:val="000000"/>
                <w:sz w:val="21"/>
                <w:szCs w:val="21"/>
                <w:highlight w:val="none"/>
              </w:rPr>
              <w:t>36</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0.00</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217" w:hRule="atLeast"/>
        </w:trPr>
        <w:tc>
          <w:tcPr>
            <w:tcW w:w="8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五、教育支出</w:t>
            </w: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default" w:ascii="宋体" w:hAnsi="宋体" w:eastAsia="宋体" w:cs="宋体"/>
                <w:color w:val="000000"/>
                <w:sz w:val="21"/>
                <w:szCs w:val="21"/>
                <w:highlight w:val="none"/>
              </w:rPr>
              <w:t>37</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1"/>
                <w:szCs w:val="21"/>
                <w:highlight w:val="none"/>
                <w:lang w:val="en-US" w:eastAsia="zh-CN" w:bidi="ar"/>
              </w:rPr>
            </w:pPr>
            <w:r>
              <w:rPr>
                <w:rFonts w:hint="default" w:ascii="宋体" w:hAnsi="宋体" w:eastAsia="宋体" w:cs="宋体"/>
                <w:color w:val="000000"/>
                <w:kern w:val="0"/>
                <w:sz w:val="21"/>
                <w:szCs w:val="21"/>
                <w:highlight w:val="none"/>
                <w:lang w:bidi="ar"/>
              </w:rPr>
              <w:t>0.00</w:t>
            </w:r>
          </w:p>
        </w:tc>
        <w:tc>
          <w:tcPr>
            <w:tcW w:w="6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0.00</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1"/>
                <w:szCs w:val="21"/>
                <w:highlight w:val="none"/>
                <w:lang w:val="en-US" w:eastAsia="zh-CN" w:bidi="ar"/>
              </w:rPr>
            </w:pPr>
            <w:r>
              <w:rPr>
                <w:rFonts w:hint="default" w:ascii="宋体" w:hAnsi="宋体" w:eastAsia="宋体" w:cs="宋体"/>
                <w:color w:val="000000"/>
                <w:kern w:val="0"/>
                <w:sz w:val="21"/>
                <w:szCs w:val="21"/>
                <w:highlight w:val="none"/>
                <w:lang w:bidi="ar"/>
              </w:rPr>
              <w:t>0.00</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1"/>
                <w:szCs w:val="21"/>
                <w:highlight w:val="none"/>
                <w:lang w:val="en-US" w:eastAsia="zh-CN"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217" w:hRule="atLeast"/>
        </w:trPr>
        <w:tc>
          <w:tcPr>
            <w:tcW w:w="8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eastAsia" w:ascii="宋体" w:hAnsi="宋体" w:eastAsia="宋体" w:cs="宋体"/>
                <w:color w:val="000000"/>
                <w:sz w:val="21"/>
                <w:szCs w:val="21"/>
                <w:highlight w:val="none"/>
              </w:rPr>
              <w:t>6</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六、科学技术支出</w:t>
            </w: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default" w:ascii="宋体" w:hAnsi="宋体" w:eastAsia="宋体" w:cs="宋体"/>
                <w:color w:val="000000"/>
                <w:sz w:val="21"/>
                <w:szCs w:val="21"/>
                <w:highlight w:val="none"/>
              </w:rPr>
              <w:t>38</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0.00</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217" w:hRule="atLeast"/>
        </w:trPr>
        <w:tc>
          <w:tcPr>
            <w:tcW w:w="8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eastAsia" w:ascii="宋体" w:hAnsi="宋体" w:eastAsia="宋体" w:cs="宋体"/>
                <w:color w:val="000000"/>
                <w:sz w:val="21"/>
                <w:szCs w:val="21"/>
                <w:highlight w:val="none"/>
              </w:rPr>
              <w:t>7</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七、文化旅游体育与传媒支出</w:t>
            </w: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default" w:ascii="宋体" w:hAnsi="宋体" w:eastAsia="宋体" w:cs="宋体"/>
                <w:color w:val="000000"/>
                <w:sz w:val="21"/>
                <w:szCs w:val="21"/>
                <w:highlight w:val="none"/>
              </w:rPr>
              <w:t>39</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44.77</w:t>
            </w:r>
          </w:p>
        </w:tc>
        <w:tc>
          <w:tcPr>
            <w:tcW w:w="6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44.77</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90" w:hRule="atLeast"/>
        </w:trPr>
        <w:tc>
          <w:tcPr>
            <w:tcW w:w="8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eastAsia" w:ascii="宋体" w:hAnsi="宋体" w:eastAsia="宋体" w:cs="宋体"/>
                <w:color w:val="000000"/>
                <w:sz w:val="21"/>
                <w:szCs w:val="21"/>
                <w:highlight w:val="none"/>
              </w:rPr>
              <w:t>8</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八、社会保障和就业支出</w:t>
            </w: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default" w:ascii="宋体" w:hAnsi="宋体" w:eastAsia="宋体" w:cs="宋体"/>
                <w:color w:val="000000"/>
                <w:sz w:val="21"/>
                <w:szCs w:val="21"/>
                <w:highlight w:val="none"/>
              </w:rPr>
              <w:t>40</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3.84</w:t>
            </w:r>
          </w:p>
        </w:tc>
        <w:tc>
          <w:tcPr>
            <w:tcW w:w="6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3.84</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217" w:hRule="atLeast"/>
        </w:trPr>
        <w:tc>
          <w:tcPr>
            <w:tcW w:w="8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eastAsia" w:ascii="宋体" w:hAnsi="宋体" w:eastAsia="宋体" w:cs="宋体"/>
                <w:color w:val="000000"/>
                <w:sz w:val="21"/>
                <w:szCs w:val="21"/>
                <w:highlight w:val="none"/>
              </w:rPr>
              <w:t>9</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九、卫生健康支出</w:t>
            </w: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default" w:ascii="宋体" w:hAnsi="宋体" w:eastAsia="宋体" w:cs="宋体"/>
                <w:color w:val="000000"/>
                <w:sz w:val="21"/>
                <w:szCs w:val="21"/>
                <w:highlight w:val="none"/>
              </w:rPr>
              <w:t>41</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0.00</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rPr>
          <w:trHeight w:val="217" w:hRule="atLeast"/>
        </w:trPr>
        <w:tc>
          <w:tcPr>
            <w:tcW w:w="8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eastAsia" w:ascii="宋体" w:hAnsi="宋体" w:eastAsia="宋体" w:cs="宋体"/>
                <w:color w:val="000000"/>
                <w:sz w:val="21"/>
                <w:szCs w:val="21"/>
                <w:highlight w:val="none"/>
              </w:rPr>
              <w:t>10</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十、节能环保支出</w:t>
            </w: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default" w:ascii="宋体" w:hAnsi="宋体" w:eastAsia="宋体" w:cs="宋体"/>
                <w:color w:val="000000"/>
                <w:sz w:val="21"/>
                <w:szCs w:val="21"/>
                <w:highlight w:val="none"/>
              </w:rPr>
              <w:t>42</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0.00</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217" w:hRule="atLeast"/>
        </w:trPr>
        <w:tc>
          <w:tcPr>
            <w:tcW w:w="8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eastAsia" w:ascii="宋体" w:hAnsi="宋体" w:eastAsia="宋体" w:cs="宋体"/>
                <w:color w:val="000000"/>
                <w:sz w:val="21"/>
                <w:szCs w:val="21"/>
                <w:highlight w:val="none"/>
              </w:rPr>
              <w:t>11</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十一、城乡社区支出</w:t>
            </w: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default" w:ascii="宋体" w:hAnsi="宋体" w:eastAsia="宋体" w:cs="宋体"/>
                <w:color w:val="000000"/>
                <w:sz w:val="21"/>
                <w:szCs w:val="21"/>
                <w:highlight w:val="none"/>
              </w:rPr>
              <w:t>43</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38.55</w:t>
            </w:r>
          </w:p>
        </w:tc>
        <w:tc>
          <w:tcPr>
            <w:tcW w:w="6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38.55</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217" w:hRule="atLeast"/>
        </w:trPr>
        <w:tc>
          <w:tcPr>
            <w:tcW w:w="8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eastAsia" w:ascii="宋体" w:hAnsi="宋体" w:eastAsia="宋体" w:cs="宋体"/>
                <w:color w:val="000000"/>
                <w:sz w:val="21"/>
                <w:szCs w:val="21"/>
                <w:highlight w:val="none"/>
              </w:rPr>
              <w:t>12</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十二、农林水支出</w:t>
            </w: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default" w:ascii="宋体" w:hAnsi="宋体" w:eastAsia="宋体" w:cs="宋体"/>
                <w:color w:val="000000"/>
                <w:sz w:val="21"/>
                <w:szCs w:val="21"/>
                <w:highlight w:val="none"/>
              </w:rPr>
              <w:t>44</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1"/>
                <w:szCs w:val="21"/>
                <w:highlight w:val="none"/>
                <w:lang w:val="en-US" w:eastAsia="zh-CN" w:bidi="ar"/>
              </w:rPr>
            </w:pPr>
            <w:r>
              <w:rPr>
                <w:rFonts w:hint="default" w:ascii="宋体" w:hAnsi="宋体" w:eastAsia="宋体" w:cs="宋体"/>
                <w:color w:val="000000"/>
                <w:kern w:val="0"/>
                <w:sz w:val="21"/>
                <w:szCs w:val="21"/>
                <w:highlight w:val="none"/>
                <w:lang w:bidi="ar"/>
              </w:rPr>
              <w:t>0.00</w:t>
            </w:r>
          </w:p>
        </w:tc>
        <w:tc>
          <w:tcPr>
            <w:tcW w:w="6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0.00</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1"/>
                <w:szCs w:val="21"/>
                <w:highlight w:val="none"/>
                <w:lang w:val="en-US" w:eastAsia="zh-CN" w:bidi="ar"/>
              </w:rPr>
            </w:pPr>
            <w:r>
              <w:rPr>
                <w:rFonts w:hint="default" w:ascii="宋体" w:hAnsi="宋体" w:eastAsia="宋体" w:cs="宋体"/>
                <w:color w:val="000000"/>
                <w:kern w:val="0"/>
                <w:sz w:val="21"/>
                <w:szCs w:val="21"/>
                <w:highlight w:val="none"/>
                <w:lang w:bidi="ar"/>
              </w:rPr>
              <w:t>0.00</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1"/>
                <w:szCs w:val="21"/>
                <w:highlight w:val="none"/>
                <w:lang w:val="en-US" w:eastAsia="zh-CN"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217" w:hRule="atLeast"/>
        </w:trPr>
        <w:tc>
          <w:tcPr>
            <w:tcW w:w="8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eastAsia" w:ascii="宋体" w:hAnsi="宋体" w:eastAsia="宋体" w:cs="宋体"/>
                <w:color w:val="000000"/>
                <w:sz w:val="21"/>
                <w:szCs w:val="21"/>
                <w:highlight w:val="none"/>
              </w:rPr>
              <w:t>13</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十三、交通运输支出</w:t>
            </w: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default" w:ascii="宋体" w:hAnsi="宋体" w:eastAsia="宋体" w:cs="宋体"/>
                <w:color w:val="000000"/>
                <w:sz w:val="21"/>
                <w:szCs w:val="21"/>
                <w:highlight w:val="none"/>
              </w:rPr>
              <w:t>45</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0.00</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217" w:hRule="atLeast"/>
        </w:trPr>
        <w:tc>
          <w:tcPr>
            <w:tcW w:w="8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eastAsia" w:ascii="宋体" w:hAnsi="宋体" w:eastAsia="宋体" w:cs="宋体"/>
                <w:color w:val="000000"/>
                <w:sz w:val="21"/>
                <w:szCs w:val="21"/>
                <w:highlight w:val="none"/>
              </w:rPr>
              <w:t>14</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十四、资源勘探工业信息等支出</w:t>
            </w: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default" w:ascii="宋体" w:hAnsi="宋体" w:eastAsia="宋体" w:cs="宋体"/>
                <w:color w:val="000000"/>
                <w:sz w:val="21"/>
                <w:szCs w:val="21"/>
                <w:highlight w:val="none"/>
              </w:rPr>
              <w:t>46</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0.00</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217" w:hRule="atLeast"/>
        </w:trPr>
        <w:tc>
          <w:tcPr>
            <w:tcW w:w="8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eastAsia" w:ascii="宋体" w:hAnsi="宋体" w:eastAsia="宋体" w:cs="宋体"/>
                <w:color w:val="000000"/>
                <w:sz w:val="21"/>
                <w:szCs w:val="21"/>
                <w:highlight w:val="none"/>
              </w:rPr>
              <w:t>15</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十五、商业服务业等支出</w:t>
            </w: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default" w:ascii="宋体" w:hAnsi="宋体" w:eastAsia="宋体" w:cs="宋体"/>
                <w:color w:val="000000"/>
                <w:sz w:val="21"/>
                <w:szCs w:val="21"/>
                <w:highlight w:val="none"/>
              </w:rPr>
              <w:t>47</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0.00</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217" w:hRule="atLeast"/>
        </w:trPr>
        <w:tc>
          <w:tcPr>
            <w:tcW w:w="8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eastAsia" w:ascii="宋体" w:hAnsi="宋体" w:eastAsia="宋体" w:cs="宋体"/>
                <w:color w:val="000000"/>
                <w:sz w:val="21"/>
                <w:szCs w:val="21"/>
                <w:highlight w:val="none"/>
              </w:rPr>
              <w:t>16</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十六、金融支出</w:t>
            </w: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default" w:ascii="宋体" w:hAnsi="宋体" w:eastAsia="宋体" w:cs="宋体"/>
                <w:color w:val="000000"/>
                <w:sz w:val="21"/>
                <w:szCs w:val="21"/>
                <w:highlight w:val="none"/>
              </w:rPr>
              <w:t>48</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0.00</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217" w:hRule="atLeast"/>
        </w:trPr>
        <w:tc>
          <w:tcPr>
            <w:tcW w:w="8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eastAsia" w:ascii="宋体" w:hAnsi="宋体" w:eastAsia="宋体" w:cs="宋体"/>
                <w:color w:val="000000"/>
                <w:sz w:val="21"/>
                <w:szCs w:val="21"/>
                <w:highlight w:val="none"/>
              </w:rPr>
              <w:t>17</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十七、援助其他地区支出</w:t>
            </w: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default" w:ascii="宋体" w:hAnsi="宋体" w:eastAsia="宋体" w:cs="宋体"/>
                <w:color w:val="000000"/>
                <w:sz w:val="21"/>
                <w:szCs w:val="21"/>
                <w:highlight w:val="none"/>
              </w:rPr>
              <w:t>49</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0.00</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217" w:hRule="atLeast"/>
        </w:trPr>
        <w:tc>
          <w:tcPr>
            <w:tcW w:w="8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eastAsia" w:ascii="宋体" w:hAnsi="宋体" w:eastAsia="宋体" w:cs="宋体"/>
                <w:color w:val="000000"/>
                <w:sz w:val="21"/>
                <w:szCs w:val="21"/>
                <w:highlight w:val="none"/>
              </w:rPr>
              <w:t>18</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十八、自然资源海洋气象等支出</w:t>
            </w: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default" w:ascii="宋体" w:hAnsi="宋体" w:eastAsia="宋体" w:cs="宋体"/>
                <w:color w:val="000000"/>
                <w:sz w:val="21"/>
                <w:szCs w:val="21"/>
                <w:highlight w:val="none"/>
              </w:rPr>
              <w:t>50</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0.00</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217" w:hRule="atLeast"/>
        </w:trPr>
        <w:tc>
          <w:tcPr>
            <w:tcW w:w="8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eastAsia" w:ascii="宋体" w:hAnsi="宋体" w:eastAsia="宋体" w:cs="宋体"/>
                <w:color w:val="000000"/>
                <w:sz w:val="21"/>
                <w:szCs w:val="21"/>
                <w:highlight w:val="none"/>
              </w:rPr>
              <w:t>19</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十九、住房保障支出</w:t>
            </w: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default" w:ascii="宋体" w:hAnsi="宋体" w:eastAsia="宋体" w:cs="宋体"/>
                <w:color w:val="000000"/>
                <w:sz w:val="21"/>
                <w:szCs w:val="21"/>
                <w:highlight w:val="none"/>
              </w:rPr>
              <w:t>51</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3.17</w:t>
            </w:r>
          </w:p>
        </w:tc>
        <w:tc>
          <w:tcPr>
            <w:tcW w:w="6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3.17</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217" w:hRule="atLeast"/>
        </w:trPr>
        <w:tc>
          <w:tcPr>
            <w:tcW w:w="8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eastAsia" w:ascii="宋体" w:hAnsi="宋体" w:eastAsia="宋体" w:cs="宋体"/>
                <w:color w:val="000000"/>
                <w:sz w:val="21"/>
                <w:szCs w:val="21"/>
                <w:highlight w:val="none"/>
              </w:rPr>
              <w:t>20</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二十、粮油物资储备支出</w:t>
            </w: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default" w:ascii="宋体" w:hAnsi="宋体" w:eastAsia="宋体" w:cs="宋体"/>
                <w:color w:val="000000"/>
                <w:sz w:val="21"/>
                <w:szCs w:val="21"/>
                <w:highlight w:val="none"/>
              </w:rPr>
              <w:t>52</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0.00</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217" w:hRule="atLeast"/>
        </w:trPr>
        <w:tc>
          <w:tcPr>
            <w:tcW w:w="8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eastAsia" w:ascii="宋体" w:hAnsi="宋体" w:eastAsia="宋体" w:cs="宋体"/>
                <w:color w:val="000000"/>
                <w:sz w:val="21"/>
                <w:szCs w:val="21"/>
                <w:highlight w:val="none"/>
              </w:rPr>
              <w:t>21</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二十一、国有资本经营预算支出</w:t>
            </w: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default" w:ascii="宋体" w:hAnsi="宋体" w:eastAsia="宋体" w:cs="宋体"/>
                <w:color w:val="000000"/>
                <w:sz w:val="21"/>
                <w:szCs w:val="21"/>
                <w:highlight w:val="none"/>
              </w:rPr>
              <w:t>53</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0.00</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217" w:hRule="atLeast"/>
        </w:trPr>
        <w:tc>
          <w:tcPr>
            <w:tcW w:w="8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eastAsia" w:ascii="宋体" w:hAnsi="宋体" w:eastAsia="宋体" w:cs="宋体"/>
                <w:color w:val="000000"/>
                <w:sz w:val="21"/>
                <w:szCs w:val="21"/>
                <w:highlight w:val="none"/>
              </w:rPr>
              <w:t>22</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二十二、灾害防治及应急管理支出</w:t>
            </w: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default" w:ascii="宋体" w:hAnsi="宋体" w:eastAsia="宋体" w:cs="宋体"/>
                <w:color w:val="000000"/>
                <w:sz w:val="21"/>
                <w:szCs w:val="21"/>
                <w:highlight w:val="none"/>
              </w:rPr>
              <w:t>54</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0.00</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217" w:hRule="atLeast"/>
        </w:trPr>
        <w:tc>
          <w:tcPr>
            <w:tcW w:w="8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eastAsia" w:ascii="宋体" w:hAnsi="宋体" w:eastAsia="宋体" w:cs="宋体"/>
                <w:color w:val="000000"/>
                <w:sz w:val="21"/>
                <w:szCs w:val="21"/>
                <w:highlight w:val="none"/>
              </w:rPr>
              <w:t>23</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二十三、其他支出</w:t>
            </w: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default" w:ascii="宋体" w:hAnsi="宋体" w:eastAsia="宋体" w:cs="宋体"/>
                <w:color w:val="000000"/>
                <w:sz w:val="21"/>
                <w:szCs w:val="21"/>
                <w:highlight w:val="none"/>
              </w:rPr>
              <w:t>55</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0.00</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217" w:hRule="atLeast"/>
        </w:trPr>
        <w:tc>
          <w:tcPr>
            <w:tcW w:w="8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eastAsia" w:ascii="宋体" w:hAnsi="宋体" w:eastAsia="宋体" w:cs="宋体"/>
                <w:color w:val="000000"/>
                <w:sz w:val="21"/>
                <w:szCs w:val="21"/>
                <w:highlight w:val="none"/>
              </w:rPr>
              <w:t>24</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二十四、债务还本支出</w:t>
            </w: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default" w:ascii="宋体" w:hAnsi="宋体" w:eastAsia="宋体" w:cs="宋体"/>
                <w:color w:val="000000"/>
                <w:sz w:val="21"/>
                <w:szCs w:val="21"/>
                <w:highlight w:val="none"/>
              </w:rPr>
              <w:t>56</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0.00</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217" w:hRule="atLeast"/>
        </w:trPr>
        <w:tc>
          <w:tcPr>
            <w:tcW w:w="8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eastAsia" w:ascii="宋体" w:hAnsi="宋体" w:eastAsia="宋体" w:cs="宋体"/>
                <w:color w:val="000000"/>
                <w:sz w:val="21"/>
                <w:szCs w:val="21"/>
                <w:highlight w:val="none"/>
              </w:rPr>
              <w:t>25</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二十五、债务付息支出</w:t>
            </w: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default" w:ascii="宋体" w:hAnsi="宋体" w:eastAsia="宋体" w:cs="宋体"/>
                <w:color w:val="000000"/>
                <w:sz w:val="21"/>
                <w:szCs w:val="21"/>
                <w:highlight w:val="none"/>
              </w:rPr>
              <w:t>57</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0.00</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217" w:hRule="atLeast"/>
        </w:trPr>
        <w:tc>
          <w:tcPr>
            <w:tcW w:w="8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eastAsia" w:ascii="宋体" w:hAnsi="宋体" w:eastAsia="宋体" w:cs="宋体"/>
                <w:color w:val="000000"/>
                <w:sz w:val="21"/>
                <w:szCs w:val="21"/>
                <w:highlight w:val="none"/>
              </w:rPr>
              <w:t>26</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二十六、抗疫特别国债安排的支出</w:t>
            </w: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default" w:ascii="宋体" w:hAnsi="宋体" w:eastAsia="宋体" w:cs="宋体"/>
                <w:color w:val="000000"/>
                <w:sz w:val="21"/>
                <w:szCs w:val="21"/>
                <w:highlight w:val="none"/>
              </w:rPr>
              <w:t>58</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0.00</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217" w:hRule="atLeast"/>
        </w:trPr>
        <w:tc>
          <w:tcPr>
            <w:tcW w:w="8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本年收入合计</w:t>
            </w: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eastAsia" w:ascii="宋体" w:hAnsi="宋体" w:eastAsia="宋体" w:cs="宋体"/>
                <w:color w:val="000000"/>
                <w:sz w:val="21"/>
                <w:szCs w:val="21"/>
                <w:highlight w:val="none"/>
              </w:rPr>
              <w:t>27</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97.36</w:t>
            </w:r>
          </w:p>
        </w:tc>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本年支出合计</w:t>
            </w: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default" w:ascii="宋体" w:hAnsi="宋体" w:eastAsia="宋体" w:cs="宋体"/>
                <w:color w:val="000000"/>
                <w:sz w:val="21"/>
                <w:szCs w:val="21"/>
                <w:highlight w:val="none"/>
              </w:rPr>
              <w:t>59</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97.36</w:t>
            </w:r>
          </w:p>
        </w:tc>
        <w:tc>
          <w:tcPr>
            <w:tcW w:w="6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97.36</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217" w:hRule="atLeast"/>
        </w:trPr>
        <w:tc>
          <w:tcPr>
            <w:tcW w:w="8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年初财政拨款结转和结余</w:t>
            </w: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eastAsia" w:ascii="宋体" w:hAnsi="宋体" w:eastAsia="宋体" w:cs="宋体"/>
                <w:color w:val="000000"/>
                <w:sz w:val="21"/>
                <w:szCs w:val="21"/>
                <w:highlight w:val="none"/>
              </w:rPr>
              <w:t>28</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年末财政拨款结转和结余</w:t>
            </w: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default" w:ascii="宋体" w:hAnsi="宋体" w:eastAsia="宋体" w:cs="宋体"/>
                <w:color w:val="000000"/>
                <w:sz w:val="21"/>
                <w:szCs w:val="21"/>
                <w:highlight w:val="none"/>
              </w:rPr>
              <w:t>60</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0.00</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217" w:hRule="atLeast"/>
        </w:trPr>
        <w:tc>
          <w:tcPr>
            <w:tcW w:w="8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 xml:space="preserve">  一般公共预算财政拨款</w:t>
            </w: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eastAsia" w:ascii="宋体" w:hAnsi="宋体" w:eastAsia="宋体" w:cs="宋体"/>
                <w:color w:val="000000"/>
                <w:sz w:val="21"/>
                <w:szCs w:val="21"/>
                <w:highlight w:val="none"/>
              </w:rPr>
              <w:t>29</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default" w:ascii="宋体" w:hAnsi="宋体" w:eastAsia="宋体" w:cs="宋体"/>
                <w:color w:val="000000"/>
                <w:sz w:val="21"/>
                <w:szCs w:val="21"/>
                <w:highlight w:val="none"/>
              </w:rPr>
              <w:t>61</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0.00</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90" w:hRule="atLeast"/>
        </w:trPr>
        <w:tc>
          <w:tcPr>
            <w:tcW w:w="8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 xml:space="preserve">  政府性基金预算财政拨款</w:t>
            </w: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eastAsia" w:ascii="宋体" w:hAnsi="宋体" w:eastAsia="宋体" w:cs="宋体"/>
                <w:color w:val="000000"/>
                <w:sz w:val="21"/>
                <w:szCs w:val="21"/>
                <w:highlight w:val="none"/>
              </w:rPr>
              <w:t>30</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default" w:ascii="宋体" w:hAnsi="宋体" w:eastAsia="宋体" w:cs="宋体"/>
                <w:color w:val="000000"/>
                <w:sz w:val="21"/>
                <w:szCs w:val="21"/>
                <w:highlight w:val="none"/>
              </w:rPr>
              <w:t>62</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0.00</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217" w:hRule="atLeast"/>
        </w:trPr>
        <w:tc>
          <w:tcPr>
            <w:tcW w:w="8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 xml:space="preserve">  国有资本经营预算财政拨款</w:t>
            </w: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eastAsia" w:ascii="宋体" w:hAnsi="宋体" w:eastAsia="宋体" w:cs="宋体"/>
                <w:color w:val="000000"/>
                <w:sz w:val="21"/>
                <w:szCs w:val="21"/>
                <w:highlight w:val="none"/>
              </w:rPr>
              <w:t>31</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default" w:ascii="宋体" w:hAnsi="宋体" w:eastAsia="宋体" w:cs="宋体"/>
                <w:color w:val="000000"/>
                <w:sz w:val="21"/>
                <w:szCs w:val="21"/>
                <w:highlight w:val="none"/>
              </w:rPr>
              <w:t>63</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0.00</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217" w:hRule="atLeast"/>
        </w:trPr>
        <w:tc>
          <w:tcPr>
            <w:tcW w:w="8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总计</w:t>
            </w: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eastAsia" w:ascii="宋体" w:hAnsi="宋体" w:eastAsia="宋体" w:cs="宋体"/>
                <w:color w:val="000000"/>
                <w:sz w:val="21"/>
                <w:szCs w:val="21"/>
                <w:highlight w:val="none"/>
              </w:rPr>
              <w:t>32</w:t>
            </w:r>
          </w:p>
        </w:tc>
        <w:tc>
          <w:tcPr>
            <w:tcW w:w="4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97.36</w:t>
            </w:r>
          </w:p>
        </w:tc>
        <w:tc>
          <w:tcPr>
            <w:tcW w:w="9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总计</w:t>
            </w: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r>
              <w:rPr>
                <w:rFonts w:hint="default" w:ascii="宋体" w:hAnsi="宋体" w:eastAsia="宋体" w:cs="宋体"/>
                <w:color w:val="000000"/>
                <w:sz w:val="21"/>
                <w:szCs w:val="21"/>
                <w:highlight w:val="none"/>
              </w:rPr>
              <w:t>64</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97.36</w:t>
            </w:r>
          </w:p>
        </w:tc>
        <w:tc>
          <w:tcPr>
            <w:tcW w:w="6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97.36</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636" w:hRule="atLeast"/>
        </w:trPr>
        <w:tc>
          <w:tcPr>
            <w:tcW w:w="4316"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highlight w:val="none"/>
                <w:lang w:bidi="ar"/>
              </w:rPr>
            </w:pPr>
          </w:p>
        </w:tc>
        <w:tc>
          <w:tcPr>
            <w:tcW w:w="683"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1"/>
                <w:szCs w:val="21"/>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1"/>
                <w:szCs w:val="21"/>
                <w:highlight w:val="none"/>
                <w:lang w:eastAsia="zh-CN"/>
              </w:rPr>
            </w:pPr>
            <w:r>
              <w:rPr>
                <w:rFonts w:hint="eastAsia" w:ascii="宋体" w:hAnsi="宋体" w:eastAsia="宋体" w:cs="宋体"/>
                <w:color w:val="000000"/>
                <w:kern w:val="0"/>
                <w:sz w:val="21"/>
                <w:szCs w:val="21"/>
                <w:highlight w:val="none"/>
                <w:lang w:bidi="ar"/>
              </w:rPr>
              <w:t>部门：</w:t>
            </w:r>
            <w:r>
              <w:rPr>
                <w:rFonts w:hint="eastAsia" w:ascii="宋体" w:hAnsi="宋体" w:eastAsia="宋体" w:cs="宋体"/>
                <w:color w:val="000000"/>
                <w:sz w:val="21"/>
                <w:szCs w:val="21"/>
                <w:u w:color="auto"/>
                <w:lang w:eastAsia="zh-CN"/>
              </w:rPr>
              <w:t>环江毛南族自治县世界自然遗产保护中心</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1"/>
                <w:szCs w:val="21"/>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本年支出</w:t>
            </w:r>
          </w:p>
        </w:tc>
      </w:tr>
      <w:tr>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r>
      <w:tr>
        <w:trPr>
          <w:trHeight w:val="22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3</w:t>
            </w:r>
          </w:p>
        </w:tc>
      </w:tr>
      <w:tr>
        <w:trPr>
          <w:trHeight w:val="19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97.36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37.54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59.82</w:t>
            </w:r>
          </w:p>
        </w:tc>
      </w:tr>
      <w:tr>
        <w:tblPrEx>
          <w:tblCellMar>
            <w:top w:w="0" w:type="dxa"/>
            <w:left w:w="108" w:type="dxa"/>
            <w:bottom w:w="0" w:type="dxa"/>
            <w:right w:w="108" w:type="dxa"/>
          </w:tblCellMar>
        </w:tblPrEx>
        <w:trPr>
          <w:trHeight w:val="213"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0.53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0.53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r>
      <w:tr>
        <w:trPr>
          <w:trHeight w:val="2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0.53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0.53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43"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0.53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0.53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73"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207</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文化旅游体育与传媒支出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44.77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23.50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21.27</w:t>
            </w:r>
          </w:p>
        </w:tc>
      </w:tr>
      <w:tr>
        <w:trPr>
          <w:trHeight w:val="2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20701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文化和旅游</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44.77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23.50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21.27</w:t>
            </w:r>
          </w:p>
        </w:tc>
      </w:tr>
      <w:tr>
        <w:tblPrEx>
          <w:tblCellMar>
            <w:top w:w="0" w:type="dxa"/>
            <w:left w:w="108" w:type="dxa"/>
            <w:bottom w:w="0" w:type="dxa"/>
            <w:right w:w="108" w:type="dxa"/>
          </w:tblCellMar>
        </w:tblPrEx>
        <w:trPr>
          <w:trHeight w:val="243"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2070101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39.77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23.50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16.27</w:t>
            </w:r>
          </w:p>
        </w:tc>
      </w:tr>
      <w:tr>
        <w:tblPrEx>
          <w:tblCellMar>
            <w:top w:w="0" w:type="dxa"/>
            <w:left w:w="108" w:type="dxa"/>
            <w:bottom w:w="0" w:type="dxa"/>
            <w:right w:w="108" w:type="dxa"/>
          </w:tblCellMar>
        </w:tblPrEx>
        <w:trPr>
          <w:trHeight w:val="2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2070199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其他文化和旅游支出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5.00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5.00</w:t>
            </w:r>
          </w:p>
        </w:tc>
      </w:tr>
      <w:tr>
        <w:trPr>
          <w:trHeight w:val="303"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3.84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3.84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r>
      <w:tr>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3.84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3.84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r>
      <w:tr>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3.84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3.84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212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城乡社区支出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38.55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38.55</w:t>
            </w:r>
          </w:p>
        </w:tc>
      </w:tr>
      <w:tr>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21299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其他城乡社区支出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38.55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38.55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2129999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其他城乡社区支出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38.55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38.55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3.17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3.17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3.17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3.17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3.17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3.17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r>
      <w:tr>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13"/>
          <w:szCs w:val="13"/>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tbl>
      <w:tblPr>
        <w:tblStyle w:val="6"/>
        <w:tblpPr w:leftFromText="180" w:rightFromText="180" w:vertAnchor="text" w:horzAnchor="page" w:tblpX="668" w:tblpY="132"/>
        <w:tblOverlap w:val="never"/>
        <w:tblW w:w="14860" w:type="dxa"/>
        <w:tblInd w:w="0" w:type="dxa"/>
        <w:tblLayout w:type="fixed"/>
        <w:tblCellMar>
          <w:top w:w="0" w:type="dxa"/>
          <w:left w:w="108" w:type="dxa"/>
          <w:bottom w:w="0" w:type="dxa"/>
          <w:right w:w="108" w:type="dxa"/>
        </w:tblCellMar>
      </w:tblPr>
      <w:tblGrid>
        <w:gridCol w:w="1170"/>
        <w:gridCol w:w="2512"/>
        <w:gridCol w:w="1169"/>
        <w:gridCol w:w="1354"/>
        <w:gridCol w:w="2486"/>
        <w:gridCol w:w="1226"/>
        <w:gridCol w:w="979"/>
        <w:gridCol w:w="2856"/>
        <w:gridCol w:w="1108"/>
      </w:tblGrid>
      <w:tr>
        <w:tblPrEx>
          <w:tblCellMar>
            <w:top w:w="0" w:type="dxa"/>
            <w:left w:w="108" w:type="dxa"/>
            <w:bottom w:w="0" w:type="dxa"/>
            <w:right w:w="108" w:type="dxa"/>
          </w:tblCellMar>
        </w:tblPrEx>
        <w:trPr>
          <w:trHeight w:val="566" w:hRule="atLeast"/>
        </w:trPr>
        <w:tc>
          <w:tcPr>
            <w:tcW w:w="1486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283" w:hRule="atLeast"/>
        </w:trPr>
        <w:tc>
          <w:tcPr>
            <w:tcW w:w="117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51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5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8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2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7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8"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283" w:hRule="atLeast"/>
        </w:trPr>
        <w:tc>
          <w:tcPr>
            <w:tcW w:w="869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1"/>
                <w:szCs w:val="21"/>
                <w:highlight w:val="none"/>
                <w:lang w:eastAsia="zh-CN"/>
              </w:rPr>
            </w:pPr>
            <w:r>
              <w:rPr>
                <w:rFonts w:hint="eastAsia" w:ascii="宋体" w:hAnsi="宋体" w:eastAsia="宋体" w:cs="宋体"/>
                <w:color w:val="000000"/>
                <w:kern w:val="0"/>
                <w:sz w:val="21"/>
                <w:szCs w:val="21"/>
                <w:highlight w:val="none"/>
                <w:lang w:bidi="ar"/>
              </w:rPr>
              <w:t>部门：</w:t>
            </w:r>
            <w:r>
              <w:rPr>
                <w:rFonts w:hint="eastAsia" w:ascii="宋体" w:hAnsi="宋体" w:eastAsia="宋体" w:cs="宋体"/>
                <w:color w:val="000000"/>
                <w:sz w:val="21"/>
                <w:szCs w:val="21"/>
                <w:u w:color="auto"/>
                <w:lang w:eastAsia="zh-CN"/>
              </w:rPr>
              <w:t>环江毛南族自治县世界自然遗产保护中心</w:t>
            </w:r>
          </w:p>
        </w:tc>
        <w:tc>
          <w:tcPr>
            <w:tcW w:w="1226"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1"/>
                <w:szCs w:val="21"/>
                <w:highlight w:val="none"/>
              </w:rPr>
            </w:pPr>
          </w:p>
        </w:tc>
        <w:tc>
          <w:tcPr>
            <w:tcW w:w="97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1"/>
                <w:szCs w:val="21"/>
                <w:highlight w:val="none"/>
              </w:rPr>
            </w:pPr>
          </w:p>
        </w:tc>
        <w:tc>
          <w:tcPr>
            <w:tcW w:w="3964"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金额单位：万元</w:t>
            </w:r>
          </w:p>
        </w:tc>
      </w:tr>
      <w:tr>
        <w:tblPrEx>
          <w:tblCellMar>
            <w:top w:w="0" w:type="dxa"/>
            <w:left w:w="108" w:type="dxa"/>
            <w:bottom w:w="0" w:type="dxa"/>
            <w:right w:w="108" w:type="dxa"/>
          </w:tblCellMar>
        </w:tblPrEx>
        <w:trPr>
          <w:trHeight w:val="292" w:hRule="atLeast"/>
        </w:trPr>
        <w:tc>
          <w:tcPr>
            <w:tcW w:w="485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人员经费</w:t>
            </w:r>
          </w:p>
        </w:tc>
        <w:tc>
          <w:tcPr>
            <w:tcW w:w="10009"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公用经费</w:t>
            </w:r>
          </w:p>
        </w:tc>
      </w:tr>
      <w:tr>
        <w:tblPrEx>
          <w:tblCellMar>
            <w:top w:w="0" w:type="dxa"/>
            <w:left w:w="108" w:type="dxa"/>
            <w:bottom w:w="0" w:type="dxa"/>
            <w:right w:w="108" w:type="dxa"/>
          </w:tblCellMar>
        </w:tblPrEx>
        <w:trPr>
          <w:trHeight w:val="575" w:hRule="atLeast"/>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p>
        </w:tc>
        <w:tc>
          <w:tcPr>
            <w:tcW w:w="25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科目名称</w:t>
            </w:r>
          </w:p>
        </w:tc>
        <w:tc>
          <w:tcPr>
            <w:tcW w:w="11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决算数</w:t>
            </w:r>
          </w:p>
        </w:tc>
        <w:tc>
          <w:tcPr>
            <w:tcW w:w="13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科目编码</w:t>
            </w:r>
          </w:p>
        </w:tc>
        <w:tc>
          <w:tcPr>
            <w:tcW w:w="24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科目名称</w:t>
            </w:r>
          </w:p>
        </w:tc>
        <w:tc>
          <w:tcPr>
            <w:tcW w:w="12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决算数</w:t>
            </w:r>
          </w:p>
        </w:tc>
        <w:tc>
          <w:tcPr>
            <w:tcW w:w="9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科目编码</w:t>
            </w:r>
          </w:p>
        </w:tc>
        <w:tc>
          <w:tcPr>
            <w:tcW w:w="28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科目名称</w:t>
            </w:r>
          </w:p>
        </w:tc>
        <w:tc>
          <w:tcPr>
            <w:tcW w:w="11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决算数</w:t>
            </w:r>
          </w:p>
        </w:tc>
      </w:tr>
      <w:tr>
        <w:tblPrEx>
          <w:tblCellMar>
            <w:top w:w="0" w:type="dxa"/>
            <w:left w:w="108" w:type="dxa"/>
            <w:bottom w:w="0" w:type="dxa"/>
            <w:right w:w="108" w:type="dxa"/>
          </w:tblCellMar>
        </w:tblPrEx>
        <w:trPr>
          <w:trHeight w:val="292" w:hRule="atLeast"/>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25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1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3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24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2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9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28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1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292" w:hRule="atLeast"/>
        </w:trPr>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301</w:t>
            </w:r>
          </w:p>
        </w:tc>
        <w:tc>
          <w:tcPr>
            <w:tcW w:w="25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bookmarkStart w:id="0" w:name="OLE_LINK3"/>
            <w:bookmarkStart w:id="1" w:name="OLE_LINK4"/>
            <w:r>
              <w:rPr>
                <w:rFonts w:hint="eastAsia" w:ascii="宋体" w:hAnsi="宋体" w:eastAsia="宋体" w:cs="宋体"/>
                <w:i w:val="0"/>
                <w:iCs w:val="0"/>
                <w:color w:val="000000"/>
                <w:kern w:val="0"/>
                <w:sz w:val="21"/>
                <w:szCs w:val="21"/>
                <w:u w:val="none"/>
                <w:lang w:val="en-US" w:eastAsia="zh-CN" w:bidi="ar"/>
              </w:rPr>
              <w:t>工资福利支出</w:t>
            </w:r>
          </w:p>
        </w:tc>
        <w:tc>
          <w:tcPr>
            <w:tcW w:w="11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36.28</w:t>
            </w:r>
          </w:p>
        </w:tc>
        <w:tc>
          <w:tcPr>
            <w:tcW w:w="13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302</w:t>
            </w:r>
          </w:p>
        </w:tc>
        <w:tc>
          <w:tcPr>
            <w:tcW w:w="24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商品和服务支出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1.26</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307</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债务利息及费用支出</w:t>
            </w:r>
          </w:p>
        </w:tc>
        <w:tc>
          <w:tcPr>
            <w:tcW w:w="11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92" w:hRule="atLeast"/>
        </w:trPr>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30101</w:t>
            </w:r>
          </w:p>
        </w:tc>
        <w:tc>
          <w:tcPr>
            <w:tcW w:w="25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基本工资</w:t>
            </w:r>
          </w:p>
        </w:tc>
        <w:tc>
          <w:tcPr>
            <w:tcW w:w="11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11.66</w:t>
            </w:r>
          </w:p>
        </w:tc>
        <w:tc>
          <w:tcPr>
            <w:tcW w:w="13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30201</w:t>
            </w:r>
          </w:p>
        </w:tc>
        <w:tc>
          <w:tcPr>
            <w:tcW w:w="24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办公费</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0.02</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30701</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国内债务付息</w:t>
            </w:r>
          </w:p>
        </w:tc>
        <w:tc>
          <w:tcPr>
            <w:tcW w:w="11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92" w:hRule="atLeast"/>
        </w:trPr>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30102</w:t>
            </w:r>
          </w:p>
        </w:tc>
        <w:tc>
          <w:tcPr>
            <w:tcW w:w="25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津贴补贴</w:t>
            </w:r>
          </w:p>
        </w:tc>
        <w:tc>
          <w:tcPr>
            <w:tcW w:w="11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0.87</w:t>
            </w:r>
          </w:p>
        </w:tc>
        <w:tc>
          <w:tcPr>
            <w:tcW w:w="13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30202</w:t>
            </w:r>
          </w:p>
        </w:tc>
        <w:tc>
          <w:tcPr>
            <w:tcW w:w="24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印刷费</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30702</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国外债务付息</w:t>
            </w:r>
          </w:p>
        </w:tc>
        <w:tc>
          <w:tcPr>
            <w:tcW w:w="11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92" w:hRule="atLeast"/>
        </w:trPr>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30103</w:t>
            </w:r>
          </w:p>
        </w:tc>
        <w:tc>
          <w:tcPr>
            <w:tcW w:w="25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奖金</w:t>
            </w:r>
          </w:p>
        </w:tc>
        <w:tc>
          <w:tcPr>
            <w:tcW w:w="11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10.39</w:t>
            </w:r>
          </w:p>
        </w:tc>
        <w:tc>
          <w:tcPr>
            <w:tcW w:w="13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30203</w:t>
            </w:r>
          </w:p>
        </w:tc>
        <w:tc>
          <w:tcPr>
            <w:tcW w:w="24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咨询费</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310</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资本性支出</w:t>
            </w:r>
          </w:p>
        </w:tc>
        <w:tc>
          <w:tcPr>
            <w:tcW w:w="11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92" w:hRule="atLeast"/>
        </w:trPr>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30106</w:t>
            </w:r>
          </w:p>
        </w:tc>
        <w:tc>
          <w:tcPr>
            <w:tcW w:w="25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伙食补助费</w:t>
            </w:r>
          </w:p>
        </w:tc>
        <w:tc>
          <w:tcPr>
            <w:tcW w:w="11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0.60</w:t>
            </w:r>
          </w:p>
        </w:tc>
        <w:tc>
          <w:tcPr>
            <w:tcW w:w="13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30204</w:t>
            </w:r>
          </w:p>
        </w:tc>
        <w:tc>
          <w:tcPr>
            <w:tcW w:w="24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手续费</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31001</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房屋建筑物购建</w:t>
            </w:r>
          </w:p>
        </w:tc>
        <w:tc>
          <w:tcPr>
            <w:tcW w:w="11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92" w:hRule="atLeast"/>
        </w:trPr>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30107</w:t>
            </w:r>
          </w:p>
        </w:tc>
        <w:tc>
          <w:tcPr>
            <w:tcW w:w="25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绩效工资</w:t>
            </w:r>
          </w:p>
        </w:tc>
        <w:tc>
          <w:tcPr>
            <w:tcW w:w="11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3.92</w:t>
            </w:r>
          </w:p>
        </w:tc>
        <w:tc>
          <w:tcPr>
            <w:tcW w:w="13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30205</w:t>
            </w:r>
          </w:p>
        </w:tc>
        <w:tc>
          <w:tcPr>
            <w:tcW w:w="24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水费</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31002</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办公设备购置</w:t>
            </w:r>
          </w:p>
        </w:tc>
        <w:tc>
          <w:tcPr>
            <w:tcW w:w="11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92" w:hRule="atLeast"/>
        </w:trPr>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30108</w:t>
            </w:r>
          </w:p>
        </w:tc>
        <w:tc>
          <w:tcPr>
            <w:tcW w:w="25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机关事业单位基本养老保险缴费</w:t>
            </w:r>
          </w:p>
        </w:tc>
        <w:tc>
          <w:tcPr>
            <w:tcW w:w="11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3.84</w:t>
            </w:r>
          </w:p>
        </w:tc>
        <w:tc>
          <w:tcPr>
            <w:tcW w:w="13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30206</w:t>
            </w:r>
          </w:p>
        </w:tc>
        <w:tc>
          <w:tcPr>
            <w:tcW w:w="24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电费</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31003</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专用设备购置</w:t>
            </w:r>
          </w:p>
        </w:tc>
        <w:tc>
          <w:tcPr>
            <w:tcW w:w="11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92" w:hRule="atLeast"/>
        </w:trPr>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30109</w:t>
            </w:r>
          </w:p>
        </w:tc>
        <w:tc>
          <w:tcPr>
            <w:tcW w:w="25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职业年金缴费</w:t>
            </w:r>
          </w:p>
        </w:tc>
        <w:tc>
          <w:tcPr>
            <w:tcW w:w="11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13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30207</w:t>
            </w:r>
          </w:p>
        </w:tc>
        <w:tc>
          <w:tcPr>
            <w:tcW w:w="24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邮电费</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0.02</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31005</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基础设施建设</w:t>
            </w:r>
          </w:p>
        </w:tc>
        <w:tc>
          <w:tcPr>
            <w:tcW w:w="11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92" w:hRule="atLeast"/>
        </w:trPr>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30110</w:t>
            </w:r>
          </w:p>
        </w:tc>
        <w:tc>
          <w:tcPr>
            <w:tcW w:w="25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职工基本医疗保险缴费</w:t>
            </w:r>
          </w:p>
        </w:tc>
        <w:tc>
          <w:tcPr>
            <w:tcW w:w="11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1.56</w:t>
            </w:r>
          </w:p>
        </w:tc>
        <w:tc>
          <w:tcPr>
            <w:tcW w:w="13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30208</w:t>
            </w:r>
          </w:p>
        </w:tc>
        <w:tc>
          <w:tcPr>
            <w:tcW w:w="24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取暖费</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31006</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大型修缮</w:t>
            </w:r>
          </w:p>
        </w:tc>
        <w:tc>
          <w:tcPr>
            <w:tcW w:w="11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92" w:hRule="atLeast"/>
        </w:trPr>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30111</w:t>
            </w:r>
          </w:p>
        </w:tc>
        <w:tc>
          <w:tcPr>
            <w:tcW w:w="25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公务员医疗补助缴费</w:t>
            </w:r>
          </w:p>
        </w:tc>
        <w:tc>
          <w:tcPr>
            <w:tcW w:w="11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13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30209</w:t>
            </w:r>
          </w:p>
        </w:tc>
        <w:tc>
          <w:tcPr>
            <w:tcW w:w="24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物业管理费</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31007</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信息网络及软件购置更新</w:t>
            </w:r>
          </w:p>
        </w:tc>
        <w:tc>
          <w:tcPr>
            <w:tcW w:w="11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92" w:hRule="atLeast"/>
        </w:trPr>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30112</w:t>
            </w:r>
          </w:p>
        </w:tc>
        <w:tc>
          <w:tcPr>
            <w:tcW w:w="25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其他社会保障缴费</w:t>
            </w:r>
          </w:p>
        </w:tc>
        <w:tc>
          <w:tcPr>
            <w:tcW w:w="11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0.27</w:t>
            </w:r>
          </w:p>
        </w:tc>
        <w:tc>
          <w:tcPr>
            <w:tcW w:w="13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30211</w:t>
            </w:r>
          </w:p>
        </w:tc>
        <w:tc>
          <w:tcPr>
            <w:tcW w:w="24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差旅费</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0.70</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31008</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物资储备</w:t>
            </w:r>
          </w:p>
        </w:tc>
        <w:tc>
          <w:tcPr>
            <w:tcW w:w="11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92" w:hRule="atLeast"/>
        </w:trPr>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30113</w:t>
            </w:r>
          </w:p>
        </w:tc>
        <w:tc>
          <w:tcPr>
            <w:tcW w:w="25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住房公积金</w:t>
            </w:r>
          </w:p>
        </w:tc>
        <w:tc>
          <w:tcPr>
            <w:tcW w:w="11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3.17</w:t>
            </w:r>
          </w:p>
        </w:tc>
        <w:tc>
          <w:tcPr>
            <w:tcW w:w="13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30212</w:t>
            </w:r>
          </w:p>
        </w:tc>
        <w:tc>
          <w:tcPr>
            <w:tcW w:w="24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因公出国（境）费用</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31009</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土地补偿</w:t>
            </w:r>
          </w:p>
        </w:tc>
        <w:tc>
          <w:tcPr>
            <w:tcW w:w="11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92" w:hRule="atLeast"/>
        </w:trPr>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30114</w:t>
            </w:r>
          </w:p>
        </w:tc>
        <w:tc>
          <w:tcPr>
            <w:tcW w:w="25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医疗费</w:t>
            </w:r>
          </w:p>
        </w:tc>
        <w:tc>
          <w:tcPr>
            <w:tcW w:w="11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13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30213</w:t>
            </w:r>
          </w:p>
        </w:tc>
        <w:tc>
          <w:tcPr>
            <w:tcW w:w="24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维修（护）费</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31010</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安置补助</w:t>
            </w:r>
          </w:p>
        </w:tc>
        <w:tc>
          <w:tcPr>
            <w:tcW w:w="11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92" w:hRule="atLeast"/>
        </w:trPr>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30199</w:t>
            </w:r>
          </w:p>
        </w:tc>
        <w:tc>
          <w:tcPr>
            <w:tcW w:w="25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其他工资福利支出</w:t>
            </w:r>
          </w:p>
        </w:tc>
        <w:tc>
          <w:tcPr>
            <w:tcW w:w="11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13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30214</w:t>
            </w:r>
          </w:p>
        </w:tc>
        <w:tc>
          <w:tcPr>
            <w:tcW w:w="24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租赁费</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31011</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地上附着物和青苗补偿</w:t>
            </w:r>
          </w:p>
        </w:tc>
        <w:tc>
          <w:tcPr>
            <w:tcW w:w="11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92" w:hRule="atLeast"/>
        </w:trPr>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303</w:t>
            </w:r>
          </w:p>
        </w:tc>
        <w:tc>
          <w:tcPr>
            <w:tcW w:w="25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对个人和家庭的补助</w:t>
            </w:r>
          </w:p>
        </w:tc>
        <w:tc>
          <w:tcPr>
            <w:tcW w:w="11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13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30215</w:t>
            </w:r>
          </w:p>
        </w:tc>
        <w:tc>
          <w:tcPr>
            <w:tcW w:w="24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会议费</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31012</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拆迁补偿</w:t>
            </w:r>
          </w:p>
        </w:tc>
        <w:tc>
          <w:tcPr>
            <w:tcW w:w="11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r>
      <w:tr>
        <w:trPr>
          <w:trHeight w:val="292" w:hRule="atLeast"/>
        </w:trPr>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30301</w:t>
            </w:r>
          </w:p>
        </w:tc>
        <w:tc>
          <w:tcPr>
            <w:tcW w:w="25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离休费</w:t>
            </w:r>
          </w:p>
        </w:tc>
        <w:tc>
          <w:tcPr>
            <w:tcW w:w="11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13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30216</w:t>
            </w:r>
          </w:p>
        </w:tc>
        <w:tc>
          <w:tcPr>
            <w:tcW w:w="24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培训费</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31013</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公务用车购置</w:t>
            </w:r>
          </w:p>
        </w:tc>
        <w:tc>
          <w:tcPr>
            <w:tcW w:w="11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92" w:hRule="atLeast"/>
        </w:trPr>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30302</w:t>
            </w:r>
          </w:p>
        </w:tc>
        <w:tc>
          <w:tcPr>
            <w:tcW w:w="25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退休费</w:t>
            </w:r>
          </w:p>
        </w:tc>
        <w:tc>
          <w:tcPr>
            <w:tcW w:w="11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13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30217</w:t>
            </w:r>
          </w:p>
        </w:tc>
        <w:tc>
          <w:tcPr>
            <w:tcW w:w="24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公务接待费</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31019</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其他交通工具购置</w:t>
            </w:r>
          </w:p>
        </w:tc>
        <w:tc>
          <w:tcPr>
            <w:tcW w:w="11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92" w:hRule="atLeast"/>
        </w:trPr>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30303</w:t>
            </w:r>
          </w:p>
        </w:tc>
        <w:tc>
          <w:tcPr>
            <w:tcW w:w="25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退职（役）费</w:t>
            </w:r>
          </w:p>
        </w:tc>
        <w:tc>
          <w:tcPr>
            <w:tcW w:w="11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13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30218</w:t>
            </w:r>
          </w:p>
        </w:tc>
        <w:tc>
          <w:tcPr>
            <w:tcW w:w="24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专用材料费</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31021</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文物和陈列品购置</w:t>
            </w:r>
          </w:p>
        </w:tc>
        <w:tc>
          <w:tcPr>
            <w:tcW w:w="11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92" w:hRule="atLeast"/>
        </w:trPr>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30304</w:t>
            </w:r>
          </w:p>
        </w:tc>
        <w:tc>
          <w:tcPr>
            <w:tcW w:w="25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抚恤金</w:t>
            </w:r>
          </w:p>
        </w:tc>
        <w:tc>
          <w:tcPr>
            <w:tcW w:w="11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13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30224</w:t>
            </w:r>
          </w:p>
        </w:tc>
        <w:tc>
          <w:tcPr>
            <w:tcW w:w="24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被装购置费</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31022</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无形资产购置</w:t>
            </w:r>
          </w:p>
        </w:tc>
        <w:tc>
          <w:tcPr>
            <w:tcW w:w="11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92" w:hRule="atLeast"/>
        </w:trPr>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30305</w:t>
            </w:r>
          </w:p>
        </w:tc>
        <w:tc>
          <w:tcPr>
            <w:tcW w:w="25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生活补助</w:t>
            </w:r>
          </w:p>
        </w:tc>
        <w:tc>
          <w:tcPr>
            <w:tcW w:w="11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13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30225</w:t>
            </w:r>
          </w:p>
        </w:tc>
        <w:tc>
          <w:tcPr>
            <w:tcW w:w="24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专用燃料费</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31099</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其他资本性支出</w:t>
            </w:r>
          </w:p>
        </w:tc>
        <w:tc>
          <w:tcPr>
            <w:tcW w:w="11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92" w:hRule="atLeast"/>
        </w:trPr>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30306</w:t>
            </w:r>
          </w:p>
        </w:tc>
        <w:tc>
          <w:tcPr>
            <w:tcW w:w="25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救济费</w:t>
            </w:r>
          </w:p>
        </w:tc>
        <w:tc>
          <w:tcPr>
            <w:tcW w:w="11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13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30226</w:t>
            </w:r>
          </w:p>
        </w:tc>
        <w:tc>
          <w:tcPr>
            <w:tcW w:w="24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劳务费</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399</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其他支出</w:t>
            </w:r>
          </w:p>
        </w:tc>
        <w:tc>
          <w:tcPr>
            <w:tcW w:w="11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92" w:hRule="atLeast"/>
        </w:trPr>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30307</w:t>
            </w:r>
          </w:p>
        </w:tc>
        <w:tc>
          <w:tcPr>
            <w:tcW w:w="25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医疗费补助</w:t>
            </w:r>
          </w:p>
        </w:tc>
        <w:tc>
          <w:tcPr>
            <w:tcW w:w="11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13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30227</w:t>
            </w:r>
          </w:p>
        </w:tc>
        <w:tc>
          <w:tcPr>
            <w:tcW w:w="24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委托业务费</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39907</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国家赔偿费用支出</w:t>
            </w:r>
          </w:p>
        </w:tc>
        <w:tc>
          <w:tcPr>
            <w:tcW w:w="11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92" w:hRule="atLeast"/>
        </w:trPr>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30308</w:t>
            </w:r>
          </w:p>
        </w:tc>
        <w:tc>
          <w:tcPr>
            <w:tcW w:w="25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助学金</w:t>
            </w:r>
          </w:p>
        </w:tc>
        <w:tc>
          <w:tcPr>
            <w:tcW w:w="11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13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30228</w:t>
            </w:r>
          </w:p>
        </w:tc>
        <w:tc>
          <w:tcPr>
            <w:tcW w:w="24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工会经费</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0.53</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39908</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对民间非营利组织和群众性自治组织补贴</w:t>
            </w:r>
          </w:p>
        </w:tc>
        <w:tc>
          <w:tcPr>
            <w:tcW w:w="11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92" w:hRule="atLeast"/>
        </w:trPr>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30309</w:t>
            </w:r>
          </w:p>
        </w:tc>
        <w:tc>
          <w:tcPr>
            <w:tcW w:w="25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奖励金</w:t>
            </w:r>
          </w:p>
        </w:tc>
        <w:tc>
          <w:tcPr>
            <w:tcW w:w="11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13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30229</w:t>
            </w:r>
          </w:p>
        </w:tc>
        <w:tc>
          <w:tcPr>
            <w:tcW w:w="24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福利费</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39909</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经常性赠与</w:t>
            </w:r>
          </w:p>
        </w:tc>
        <w:tc>
          <w:tcPr>
            <w:tcW w:w="11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92" w:hRule="atLeast"/>
        </w:trPr>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30310</w:t>
            </w:r>
          </w:p>
        </w:tc>
        <w:tc>
          <w:tcPr>
            <w:tcW w:w="25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个人农业生产补贴</w:t>
            </w:r>
          </w:p>
        </w:tc>
        <w:tc>
          <w:tcPr>
            <w:tcW w:w="11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13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30231</w:t>
            </w:r>
          </w:p>
        </w:tc>
        <w:tc>
          <w:tcPr>
            <w:tcW w:w="24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公务用车运行维护费</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39910</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资本性赠与</w:t>
            </w:r>
          </w:p>
        </w:tc>
        <w:tc>
          <w:tcPr>
            <w:tcW w:w="11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92" w:hRule="atLeast"/>
        </w:trPr>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30311</w:t>
            </w:r>
          </w:p>
        </w:tc>
        <w:tc>
          <w:tcPr>
            <w:tcW w:w="25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代缴社会保险费</w:t>
            </w:r>
          </w:p>
        </w:tc>
        <w:tc>
          <w:tcPr>
            <w:tcW w:w="11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13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30239</w:t>
            </w:r>
          </w:p>
        </w:tc>
        <w:tc>
          <w:tcPr>
            <w:tcW w:w="24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其他交通费用</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39999</w:t>
            </w: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其他支出</w:t>
            </w:r>
          </w:p>
        </w:tc>
        <w:tc>
          <w:tcPr>
            <w:tcW w:w="11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r>
      <w:tr>
        <w:tblPrEx>
          <w:tblCellMar>
            <w:top w:w="0" w:type="dxa"/>
            <w:left w:w="108" w:type="dxa"/>
            <w:bottom w:w="0" w:type="dxa"/>
            <w:right w:w="108" w:type="dxa"/>
          </w:tblCellMar>
        </w:tblPrEx>
        <w:trPr>
          <w:trHeight w:val="292" w:hRule="atLeast"/>
        </w:trPr>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30399</w:t>
            </w:r>
          </w:p>
        </w:tc>
        <w:tc>
          <w:tcPr>
            <w:tcW w:w="25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其他对个人和家庭的补助</w:t>
            </w:r>
          </w:p>
        </w:tc>
        <w:tc>
          <w:tcPr>
            <w:tcW w:w="11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13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30240</w:t>
            </w:r>
          </w:p>
        </w:tc>
        <w:tc>
          <w:tcPr>
            <w:tcW w:w="24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税金及附加费用</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1"/>
                <w:szCs w:val="21"/>
                <w:highlight w:val="none"/>
              </w:rPr>
            </w:pP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1"/>
                <w:szCs w:val="21"/>
                <w:highlight w:val="none"/>
              </w:rPr>
            </w:pPr>
          </w:p>
        </w:tc>
        <w:tc>
          <w:tcPr>
            <w:tcW w:w="11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292" w:hRule="atLeast"/>
        </w:trPr>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1"/>
                <w:szCs w:val="21"/>
                <w:highlight w:val="none"/>
              </w:rPr>
            </w:pPr>
          </w:p>
        </w:tc>
        <w:tc>
          <w:tcPr>
            <w:tcW w:w="25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1"/>
                <w:szCs w:val="21"/>
                <w:highlight w:val="none"/>
              </w:rPr>
            </w:pPr>
          </w:p>
        </w:tc>
        <w:tc>
          <w:tcPr>
            <w:tcW w:w="11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1"/>
                <w:szCs w:val="21"/>
                <w:highlight w:val="none"/>
              </w:rPr>
            </w:pPr>
          </w:p>
        </w:tc>
        <w:tc>
          <w:tcPr>
            <w:tcW w:w="13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30299</w:t>
            </w:r>
          </w:p>
        </w:tc>
        <w:tc>
          <w:tcPr>
            <w:tcW w:w="24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 xml:space="preserve">  其他商品和服务支出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9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1"/>
                <w:szCs w:val="21"/>
                <w:highlight w:val="none"/>
              </w:rPr>
            </w:pPr>
          </w:p>
        </w:tc>
        <w:tc>
          <w:tcPr>
            <w:tcW w:w="2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1"/>
                <w:szCs w:val="21"/>
                <w:highlight w:val="none"/>
              </w:rPr>
            </w:pPr>
          </w:p>
        </w:tc>
        <w:tc>
          <w:tcPr>
            <w:tcW w:w="11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1"/>
                <w:szCs w:val="21"/>
                <w:highlight w:val="none"/>
              </w:rPr>
            </w:pPr>
          </w:p>
        </w:tc>
      </w:tr>
      <w:bookmarkEnd w:id="0"/>
      <w:bookmarkEnd w:id="1"/>
      <w:tr>
        <w:tblPrEx>
          <w:tblCellMar>
            <w:top w:w="0" w:type="dxa"/>
            <w:left w:w="108" w:type="dxa"/>
            <w:bottom w:w="0" w:type="dxa"/>
            <w:right w:w="108" w:type="dxa"/>
          </w:tblCellMar>
        </w:tblPrEx>
        <w:trPr>
          <w:trHeight w:val="292" w:hRule="atLeast"/>
        </w:trPr>
        <w:tc>
          <w:tcPr>
            <w:tcW w:w="368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人员经费合计</w:t>
            </w:r>
          </w:p>
        </w:tc>
        <w:tc>
          <w:tcPr>
            <w:tcW w:w="11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36.28</w:t>
            </w:r>
          </w:p>
        </w:tc>
        <w:tc>
          <w:tcPr>
            <w:tcW w:w="890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公用经费合计</w:t>
            </w:r>
          </w:p>
        </w:tc>
        <w:tc>
          <w:tcPr>
            <w:tcW w:w="11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u w:val="none"/>
                <w:lang w:val="en-US" w:eastAsia="zh-CN" w:bidi="ar"/>
              </w:rPr>
              <w:t>1.26</w:t>
            </w:r>
          </w:p>
        </w:tc>
      </w:tr>
      <w:tr>
        <w:tblPrEx>
          <w:tblCellMar>
            <w:top w:w="0" w:type="dxa"/>
            <w:left w:w="108" w:type="dxa"/>
            <w:bottom w:w="0" w:type="dxa"/>
            <w:right w:w="108" w:type="dxa"/>
          </w:tblCellMar>
        </w:tblPrEx>
        <w:trPr>
          <w:trHeight w:val="292" w:hRule="atLeast"/>
        </w:trPr>
        <w:tc>
          <w:tcPr>
            <w:tcW w:w="1486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注：本表反映部门本年度一般公共预算财政拨款基本支出明细情况。</w:t>
            </w:r>
          </w:p>
        </w:tc>
      </w:tr>
    </w:tbl>
    <w:p>
      <w:pPr>
        <w:jc w:val="left"/>
        <w:rPr>
          <w:rFonts w:hint="eastAsia" w:ascii="仿宋" w:hAnsi="仿宋" w:eastAsia="仿宋" w:cs="仿宋"/>
          <w:sz w:val="24"/>
          <w:highlight w:val="none"/>
        </w:rPr>
      </w:pPr>
    </w:p>
    <w:p>
      <w:pPr>
        <w:jc w:val="left"/>
        <w:rPr>
          <w:rFonts w:ascii="仿宋" w:hAnsi="仿宋" w:eastAsia="仿宋" w:cs="仿宋"/>
          <w:sz w:val="13"/>
          <w:szCs w:val="13"/>
          <w:highlight w:val="none"/>
        </w:rPr>
      </w:pPr>
    </w:p>
    <w:p>
      <w:pPr>
        <w:rPr>
          <w:rFonts w:ascii="仿宋" w:hAnsi="仿宋" w:eastAsia="仿宋" w:cs="仿宋"/>
          <w:sz w:val="24"/>
          <w:highlight w:val="none"/>
        </w:rPr>
      </w:pPr>
      <w:r>
        <w:rPr>
          <w:rFonts w:ascii="仿宋" w:hAnsi="仿宋" w:eastAsia="仿宋" w:cs="仿宋"/>
          <w:sz w:val="13"/>
          <w:szCs w:val="13"/>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1"/>
                <w:szCs w:val="21"/>
                <w:highlight w:val="none"/>
                <w:lang w:eastAsia="zh-CN"/>
              </w:rPr>
            </w:pPr>
            <w:r>
              <w:rPr>
                <w:rFonts w:hint="eastAsia" w:ascii="宋体" w:hAnsi="宋体" w:eastAsia="宋体" w:cs="宋体"/>
                <w:color w:val="000000"/>
                <w:kern w:val="0"/>
                <w:sz w:val="21"/>
                <w:szCs w:val="21"/>
                <w:highlight w:val="none"/>
                <w:lang w:bidi="ar"/>
              </w:rPr>
              <w:t>部门：</w:t>
            </w:r>
            <w:r>
              <w:rPr>
                <w:rFonts w:hint="eastAsia" w:ascii="宋体" w:hAnsi="宋体" w:eastAsia="宋体" w:cs="宋体"/>
                <w:color w:val="000000"/>
                <w:sz w:val="21"/>
                <w:szCs w:val="21"/>
                <w:u w:color="auto"/>
                <w:lang w:eastAsia="zh-CN"/>
              </w:rPr>
              <w:t>环江毛南族自治县世界自然遗产保护中心</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1"/>
                <w:szCs w:val="21"/>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1"/>
                <w:szCs w:val="21"/>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r>
      <w:tr>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1"/>
                <w:szCs w:val="21"/>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1"/>
                <w:szCs w:val="21"/>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1"/>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1"/>
                <w:szCs w:val="21"/>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1"/>
                <w:szCs w:val="21"/>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1"/>
                <w:szCs w:val="21"/>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1"/>
                <w:szCs w:val="21"/>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1"/>
                <w:szCs w:val="21"/>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000000" w:themeColor="text1"/>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themeColor="text1"/>
                <w:kern w:val="0"/>
                <w:sz w:val="21"/>
                <w:szCs w:val="21"/>
                <w:highlight w:val="none"/>
                <w:lang w:bidi="ar"/>
                <w14:textFill>
                  <w14:solidFill>
                    <w14:schemeClr w14:val="tx1"/>
                  </w14:solidFill>
                </w14:textFill>
              </w:rPr>
            </w:pPr>
          </w:p>
        </w:tc>
      </w:tr>
    </w:tbl>
    <w:p>
      <w:pPr>
        <w:rPr>
          <w:rFonts w:ascii="仿宋" w:hAnsi="仿宋" w:eastAsia="仿宋" w:cs="仿宋"/>
          <w:sz w:val="24"/>
          <w:highlight w:val="none"/>
        </w:rPr>
      </w:pPr>
      <w:r>
        <w:rPr>
          <w:rFonts w:ascii="仿宋" w:hAnsi="仿宋" w:eastAsia="仿宋" w:cs="仿宋"/>
          <w:color w:val="000000" w:themeColor="text1"/>
          <w:sz w:val="24"/>
          <w:highlight w:val="none"/>
          <w14:textFill>
            <w14:solidFill>
              <w14:schemeClr w14:val="tx1"/>
            </w14:solidFill>
          </w14:textFill>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环江毛南族自治县世界自然遗产保护中心</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环江毛南族自治县世界自然遗产保护中心</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spacing w:before="0" w:beforeAutospacing="0" w:after="0" w:afterAutospacing="0"/>
              <w:ind w:left="210" w:leftChars="100" w:right="0" w:rightChars="0"/>
              <w:jc w:val="both"/>
              <w:textAlignment w:val="center"/>
              <w:rPr>
                <w:rFonts w:hint="eastAsia" w:ascii="宋体" w:hAnsi="宋体" w:eastAsia="宋体" w:cs="宋体"/>
                <w:color w:val="000000"/>
                <w:kern w:val="0"/>
                <w:sz w:val="22"/>
                <w:szCs w:val="22"/>
                <w:highlight w:val="none"/>
                <w:lang w:val="en-US" w:eastAsia="zh-CN" w:bidi="ar"/>
              </w:rPr>
            </w:pPr>
          </w:p>
          <w:p>
            <w:pPr>
              <w:keepNext w:val="0"/>
              <w:keepLines w:val="0"/>
              <w:widowControl/>
              <w:numPr>
                <w:ilvl w:val="0"/>
                <w:numId w:val="0"/>
              </w:numPr>
              <w:suppressLineNumbers w:val="0"/>
              <w:spacing w:before="0" w:beforeAutospacing="0" w:after="0" w:afterAutospacing="0"/>
              <w:ind w:left="210" w:leftChars="100" w:right="0" w:rightChars="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numPr>
                <w:ilvl w:val="0"/>
                <w:numId w:val="0"/>
              </w:numPr>
              <w:suppressLineNumbers w:val="0"/>
              <w:spacing w:before="0" w:beforeAutospacing="0" w:after="0" w:afterAutospacing="0"/>
              <w:ind w:left="210" w:leftChars="100" w:right="0" w:rightChars="0"/>
              <w:jc w:val="both"/>
              <w:rPr>
                <w:rFonts w:hint="eastAsia" w:ascii="宋体" w:hAnsi="宋体" w:eastAsia="宋体" w:cs="宋体"/>
                <w:color w:val="000000"/>
                <w:sz w:val="22"/>
                <w:szCs w:val="22"/>
                <w:highlight w:val="none"/>
              </w:rPr>
            </w:pPr>
          </w:p>
          <w:p>
            <w:pPr>
              <w:keepNext w:val="0"/>
              <w:keepLines w:val="0"/>
              <w:numPr>
                <w:ilvl w:val="0"/>
                <w:numId w:val="0"/>
              </w:numPr>
              <w:suppressLineNumbers w:val="0"/>
              <w:spacing w:before="0" w:beforeAutospacing="0" w:after="0" w:afterAutospacing="0"/>
              <w:ind w:left="210" w:leftChars="100" w:right="0" w:rightChars="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numPr>
                <w:ilvl w:val="0"/>
                <w:numId w:val="0"/>
              </w:numPr>
              <w:suppressLineNumbers w:val="0"/>
              <w:spacing w:before="0" w:beforeAutospacing="0" w:after="0" w:afterAutospacing="0"/>
              <w:ind w:left="210" w:leftChars="100" w:right="0" w:rightChars="0"/>
              <w:jc w:val="both"/>
              <w:rPr>
                <w:rFonts w:hint="eastAsia" w:ascii="宋体" w:hAnsi="宋体" w:eastAsia="宋体" w:cs="宋体"/>
                <w:color w:val="000000"/>
                <w:sz w:val="22"/>
                <w:szCs w:val="22"/>
                <w:highlight w:val="none"/>
              </w:rPr>
            </w:pPr>
          </w:p>
          <w:p>
            <w:pPr>
              <w:keepNext w:val="0"/>
              <w:keepLines w:val="0"/>
              <w:numPr>
                <w:ilvl w:val="0"/>
                <w:numId w:val="0"/>
              </w:numPr>
              <w:suppressLineNumbers w:val="0"/>
              <w:spacing w:before="0" w:beforeAutospacing="0" w:after="0" w:afterAutospacing="0"/>
              <w:ind w:left="210" w:leftChars="100" w:right="0" w:rightChars="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numPr>
                <w:ilvl w:val="0"/>
                <w:numId w:val="0"/>
              </w:numPr>
              <w:suppressLineNumbers w:val="0"/>
              <w:spacing w:before="0" w:beforeAutospacing="0" w:after="0" w:afterAutospacing="0"/>
              <w:ind w:left="210" w:leftChars="100" w:right="0" w:rightChars="0"/>
              <w:jc w:val="both"/>
              <w:rPr>
                <w:rFonts w:hint="eastAsia" w:ascii="宋体" w:hAnsi="宋体" w:eastAsia="宋体" w:cs="宋体"/>
                <w:color w:val="000000"/>
                <w:sz w:val="22"/>
                <w:szCs w:val="22"/>
                <w:highlight w:val="none"/>
              </w:rPr>
            </w:pPr>
          </w:p>
          <w:p>
            <w:pPr>
              <w:keepNext w:val="0"/>
              <w:keepLines w:val="0"/>
              <w:numPr>
                <w:ilvl w:val="0"/>
                <w:numId w:val="0"/>
              </w:numPr>
              <w:suppressLineNumbers w:val="0"/>
              <w:spacing w:before="0" w:beforeAutospacing="0" w:after="0" w:afterAutospacing="0"/>
              <w:ind w:left="210" w:leftChars="100" w:right="0" w:rightChars="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numPr>
                <w:ilvl w:val="0"/>
                <w:numId w:val="0"/>
              </w:numPr>
              <w:suppressLineNumbers w:val="0"/>
              <w:spacing w:before="0" w:beforeAutospacing="0" w:after="0" w:afterAutospacing="0"/>
              <w:ind w:left="210" w:leftChars="100" w:right="0" w:rightChars="0"/>
              <w:jc w:val="both"/>
              <w:rPr>
                <w:rFonts w:hint="default" w:ascii="宋体" w:hAnsi="宋体" w:eastAsia="宋体" w:cs="宋体"/>
                <w:color w:val="000000"/>
                <w:sz w:val="22"/>
                <w:szCs w:val="22"/>
                <w:highlight w:val="none"/>
              </w:rPr>
            </w:pPr>
          </w:p>
          <w:p>
            <w:pPr>
              <w:keepNext w:val="0"/>
              <w:keepLines w:val="0"/>
              <w:numPr>
                <w:ilvl w:val="0"/>
                <w:numId w:val="0"/>
              </w:numPr>
              <w:suppressLineNumbers w:val="0"/>
              <w:spacing w:before="0" w:beforeAutospacing="0" w:after="0" w:afterAutospacing="0"/>
              <w:ind w:left="210" w:leftChars="100" w:right="0" w:rightChars="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spacing w:before="0" w:beforeAutospacing="0" w:after="0" w:afterAutospacing="0"/>
              <w:ind w:left="210" w:leftChars="100" w:right="0" w:rightChars="0"/>
              <w:jc w:val="both"/>
              <w:textAlignment w:val="center"/>
              <w:rPr>
                <w:rFonts w:hint="eastAsia" w:ascii="宋体" w:hAnsi="宋体" w:eastAsia="宋体" w:cs="宋体"/>
                <w:color w:val="000000"/>
                <w:kern w:val="0"/>
                <w:sz w:val="22"/>
                <w:szCs w:val="22"/>
                <w:highlight w:val="none"/>
                <w:lang w:val="en-US" w:eastAsia="zh-CN" w:bidi="ar"/>
              </w:rPr>
            </w:pPr>
          </w:p>
          <w:p>
            <w:pPr>
              <w:keepNext w:val="0"/>
              <w:keepLines w:val="0"/>
              <w:widowControl/>
              <w:numPr>
                <w:ilvl w:val="0"/>
                <w:numId w:val="0"/>
              </w:numPr>
              <w:suppressLineNumbers w:val="0"/>
              <w:spacing w:before="0" w:beforeAutospacing="0" w:after="0" w:afterAutospacing="0"/>
              <w:ind w:left="210" w:leftChars="100" w:right="0" w:rightChars="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spacing w:before="0" w:beforeAutospacing="0" w:after="0" w:afterAutospacing="0"/>
              <w:ind w:left="210" w:leftChars="100" w:right="0" w:rightChars="0"/>
              <w:jc w:val="both"/>
              <w:textAlignment w:val="center"/>
              <w:rPr>
                <w:rFonts w:hint="eastAsia" w:ascii="宋体" w:hAnsi="宋体" w:eastAsia="宋体" w:cs="宋体"/>
                <w:color w:val="000000"/>
                <w:kern w:val="0"/>
                <w:sz w:val="22"/>
                <w:szCs w:val="22"/>
                <w:highlight w:val="none"/>
                <w:lang w:val="en-US" w:eastAsia="zh-CN" w:bidi="ar"/>
              </w:rPr>
            </w:pPr>
          </w:p>
          <w:p>
            <w:pPr>
              <w:keepNext w:val="0"/>
              <w:keepLines w:val="0"/>
              <w:widowControl/>
              <w:numPr>
                <w:ilvl w:val="0"/>
                <w:numId w:val="0"/>
              </w:numPr>
              <w:suppressLineNumbers w:val="0"/>
              <w:spacing w:before="0" w:beforeAutospacing="0" w:after="0" w:afterAutospacing="0"/>
              <w:ind w:left="210" w:leftChars="100" w:right="0" w:rightChars="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numPr>
                <w:ilvl w:val="0"/>
                <w:numId w:val="0"/>
              </w:numPr>
              <w:suppressLineNumbers w:val="0"/>
              <w:spacing w:before="0" w:beforeAutospacing="0" w:after="0" w:afterAutospacing="0"/>
              <w:ind w:left="210" w:leftChars="100" w:right="0" w:rightChars="0"/>
              <w:jc w:val="both"/>
              <w:rPr>
                <w:rFonts w:hint="eastAsia" w:ascii="宋体" w:hAnsi="宋体" w:eastAsia="宋体" w:cs="宋体"/>
                <w:color w:val="000000"/>
                <w:sz w:val="22"/>
                <w:szCs w:val="22"/>
                <w:highlight w:val="none"/>
              </w:rPr>
            </w:pPr>
          </w:p>
          <w:p>
            <w:pPr>
              <w:keepNext w:val="0"/>
              <w:keepLines w:val="0"/>
              <w:numPr>
                <w:ilvl w:val="0"/>
                <w:numId w:val="0"/>
              </w:numPr>
              <w:suppressLineNumbers w:val="0"/>
              <w:spacing w:before="0" w:beforeAutospacing="0" w:after="0" w:afterAutospacing="0"/>
              <w:ind w:left="210" w:leftChars="100" w:right="0" w:rightChars="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numPr>
                <w:ilvl w:val="0"/>
                <w:numId w:val="0"/>
              </w:numPr>
              <w:suppressLineNumbers w:val="0"/>
              <w:spacing w:before="0" w:beforeAutospacing="0" w:after="0" w:afterAutospacing="0"/>
              <w:ind w:left="210" w:leftChars="100" w:right="0" w:rightChars="0"/>
              <w:jc w:val="both"/>
              <w:rPr>
                <w:rFonts w:hint="eastAsia" w:ascii="宋体" w:hAnsi="宋体" w:eastAsia="宋体" w:cs="宋体"/>
                <w:color w:val="000000"/>
                <w:sz w:val="22"/>
                <w:szCs w:val="22"/>
                <w:highlight w:val="none"/>
              </w:rPr>
            </w:pPr>
          </w:p>
          <w:p>
            <w:pPr>
              <w:keepNext w:val="0"/>
              <w:keepLines w:val="0"/>
              <w:numPr>
                <w:ilvl w:val="0"/>
                <w:numId w:val="0"/>
              </w:numPr>
              <w:suppressLineNumbers w:val="0"/>
              <w:spacing w:before="0" w:beforeAutospacing="0" w:after="0" w:afterAutospacing="0"/>
              <w:ind w:left="210" w:leftChars="100" w:right="0" w:rightChars="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numPr>
                <w:ilvl w:val="0"/>
                <w:numId w:val="0"/>
              </w:numPr>
              <w:suppressLineNumbers w:val="0"/>
              <w:spacing w:before="0" w:beforeAutospacing="0" w:after="0" w:afterAutospacing="0"/>
              <w:ind w:left="210" w:leftChars="100" w:right="0" w:rightChars="0"/>
              <w:jc w:val="both"/>
              <w:rPr>
                <w:rFonts w:hint="eastAsia" w:ascii="宋体" w:hAnsi="宋体" w:eastAsia="宋体" w:cs="宋体"/>
                <w:color w:val="000000"/>
                <w:sz w:val="22"/>
                <w:szCs w:val="22"/>
                <w:highlight w:val="none"/>
              </w:rPr>
            </w:pPr>
          </w:p>
          <w:p>
            <w:pPr>
              <w:keepNext w:val="0"/>
              <w:keepLines w:val="0"/>
              <w:numPr>
                <w:ilvl w:val="0"/>
                <w:numId w:val="0"/>
              </w:numPr>
              <w:suppressLineNumbers w:val="0"/>
              <w:spacing w:before="0" w:beforeAutospacing="0" w:after="0" w:afterAutospacing="0"/>
              <w:ind w:left="210" w:leftChars="100" w:right="0" w:rightChars="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numPr>
                <w:ilvl w:val="0"/>
                <w:numId w:val="0"/>
              </w:numPr>
              <w:suppressLineNumbers w:val="0"/>
              <w:spacing w:before="0" w:beforeAutospacing="0" w:after="0" w:afterAutospacing="0"/>
              <w:ind w:left="210" w:leftChars="100" w:right="0" w:rightChars="0"/>
              <w:jc w:val="both"/>
              <w:rPr>
                <w:rFonts w:hint="default"/>
                <w:highlight w:val="none"/>
              </w:rPr>
            </w:pPr>
          </w:p>
          <w:p>
            <w:pPr>
              <w:keepNext w:val="0"/>
              <w:keepLines w:val="0"/>
              <w:numPr>
                <w:ilvl w:val="0"/>
                <w:numId w:val="0"/>
              </w:numPr>
              <w:suppressLineNumbers w:val="0"/>
              <w:spacing w:before="0" w:beforeAutospacing="0" w:after="0" w:afterAutospacing="0"/>
              <w:ind w:left="210" w:leftChars="100" w:right="0" w:rightChars="0"/>
              <w:jc w:val="both"/>
              <w:rPr>
                <w:rFonts w:hint="default"/>
                <w:highlight w:val="none"/>
              </w:rPr>
            </w:pPr>
            <w:r>
              <w:rPr>
                <w:rFonts w:hint="default" w:ascii="宋体" w:hAnsi="宋体" w:eastAsia="宋体" w:cs="宋体"/>
                <w:color w:val="000000"/>
                <w:sz w:val="22"/>
                <w:szCs w:val="22"/>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numPr>
                <w:ilvl w:val="0"/>
                <w:numId w:val="0"/>
              </w:numPr>
              <w:suppressLineNumbers w:val="0"/>
              <w:spacing w:before="0" w:beforeAutospacing="0" w:after="0" w:afterAutospacing="0"/>
              <w:ind w:left="210" w:leftChars="100" w:right="0" w:rightChars="0"/>
              <w:jc w:val="both"/>
              <w:rPr>
                <w:rFonts w:hint="eastAsia" w:ascii="宋体" w:hAnsi="宋体" w:eastAsia="宋体" w:cs="宋体"/>
                <w:color w:val="000000"/>
                <w:kern w:val="0"/>
                <w:sz w:val="22"/>
                <w:szCs w:val="22"/>
                <w:highlight w:val="none"/>
                <w:lang w:val="en-US" w:eastAsia="zh-CN" w:bidi="ar"/>
              </w:rPr>
            </w:pPr>
          </w:p>
          <w:p>
            <w:pPr>
              <w:keepNext w:val="0"/>
              <w:keepLines w:val="0"/>
              <w:numPr>
                <w:ilvl w:val="0"/>
                <w:numId w:val="0"/>
              </w:numPr>
              <w:suppressLineNumbers w:val="0"/>
              <w:spacing w:before="0" w:beforeAutospacing="0" w:after="0" w:afterAutospacing="0"/>
              <w:ind w:left="210" w:leftChars="100" w:right="0" w:rightChars="0"/>
              <w:jc w:val="both"/>
              <w:rPr>
                <w:rFonts w:hint="default" w:eastAsiaTheme="minorEastAsia"/>
                <w:highlight w:val="none"/>
                <w:lang w:val="en-US" w:eastAsia="zh-CN"/>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年度没有一般公共预算财政拨款“三公”经费收入，也没有一般公共预算财政拨款“三公”经费安排的支出，故本表无数据。</w:t>
            </w:r>
          </w:p>
        </w:tc>
      </w:tr>
    </w:tbl>
    <w:p>
      <w:pPr>
        <w:ind w:firstLine="420" w:firstLineChars="0"/>
        <w:jc w:val="left"/>
        <w:rPr>
          <w:rFonts w:ascii="仿宋" w:hAnsi="仿宋" w:eastAsia="仿宋" w:cs="仿宋"/>
          <w:sz w:val="24"/>
          <w:highlight w:val="none"/>
        </w:rPr>
        <w:sectPr>
          <w:pgSz w:w="16838" w:h="11906" w:orient="landscape"/>
          <w:pgMar w:top="283" w:right="567" w:bottom="283" w:left="567" w:header="851" w:footer="992" w:gutter="0"/>
          <w:cols w:space="0" w:num="1"/>
          <w:rtlGutter w:val="0"/>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环江毛南族自治县世界自然遗产保护中心</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u w:color="auto"/>
          <w:lang w:val="en-US" w:eastAsia="zh-CN"/>
        </w:rPr>
        <w:t>97.3</w:t>
      </w:r>
      <w:r>
        <w:rPr>
          <w:rFonts w:hint="eastAsia" w:ascii="仿宋" w:hAnsi="仿宋" w:eastAsia="仿宋" w:cs="仿宋"/>
          <w:sz w:val="32"/>
          <w:szCs w:val="32"/>
          <w:highlight w:val="none"/>
        </w:rPr>
        <w:t>万元，较2021年度决算数</w:t>
      </w:r>
      <w:r>
        <w:rPr>
          <w:rFonts w:hint="eastAsia" w:ascii="仿宋" w:hAnsi="仿宋" w:eastAsia="仿宋" w:cs="仿宋"/>
          <w:sz w:val="32"/>
          <w:szCs w:val="32"/>
          <w:highlight w:val="none"/>
          <w:lang w:eastAsia="zh-CN"/>
        </w:rPr>
        <w:t>增加</w:t>
      </w:r>
      <w:r>
        <w:rPr>
          <w:rFonts w:hint="eastAsia" w:ascii="仿宋" w:hAnsi="仿宋" w:eastAsia="仿宋" w:cs="仿宋"/>
          <w:sz w:val="32"/>
          <w:u w:color="auto"/>
          <w:lang w:val="en-US" w:eastAsia="zh-CN"/>
        </w:rPr>
        <w:t>35.35</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36.3</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97.36</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97.36</w:t>
      </w:r>
      <w:r>
        <w:rPr>
          <w:rFonts w:hint="eastAsia" w:ascii="仿宋" w:hAnsi="仿宋" w:eastAsia="仿宋" w:cs="仿宋"/>
          <w:kern w:val="2"/>
          <w:sz w:val="32"/>
          <w:szCs w:val="32"/>
          <w:highlight w:val="none"/>
          <w:lang w:val="en-US" w:eastAsia="zh-CN" w:bidi="ar"/>
        </w:rPr>
        <w:t>万元，较2021年度决算数</w:t>
      </w:r>
      <w:r>
        <w:rPr>
          <w:rFonts w:hint="eastAsia" w:ascii="仿宋" w:hAnsi="仿宋" w:eastAsia="仿宋" w:cs="仿宋"/>
          <w:sz w:val="32"/>
          <w:szCs w:val="32"/>
          <w:highlight w:val="none"/>
          <w:lang w:eastAsia="zh-CN"/>
        </w:rPr>
        <w:t>增加</w:t>
      </w:r>
      <w:r>
        <w:rPr>
          <w:rFonts w:hint="eastAsia" w:ascii="仿宋" w:hAnsi="仿宋" w:eastAsia="仿宋" w:cs="仿宋"/>
          <w:sz w:val="32"/>
          <w:u w:color="auto"/>
          <w:lang w:val="en-US" w:eastAsia="zh-CN"/>
        </w:rPr>
        <w:t>35.35</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36.3</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主要原因：本年度有项目资金支付。</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主要原因：本部门无</w:t>
      </w:r>
      <w:r>
        <w:rPr>
          <w:rFonts w:hint="eastAsia" w:ascii="仿宋" w:hAnsi="仿宋" w:eastAsia="仿宋" w:cs="仿宋"/>
          <w:kern w:val="2"/>
          <w:sz w:val="32"/>
          <w:szCs w:val="32"/>
          <w:highlight w:val="none"/>
          <w:lang w:val="en-US" w:eastAsia="zh-CN" w:bidi="ar"/>
        </w:rPr>
        <w:t>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主要原因：本部门无</w:t>
      </w:r>
      <w:r>
        <w:rPr>
          <w:rFonts w:hint="eastAsia" w:ascii="仿宋" w:hAnsi="仿宋" w:eastAsia="仿宋" w:cs="仿宋"/>
          <w:kern w:val="2"/>
          <w:sz w:val="32"/>
          <w:szCs w:val="32"/>
          <w:highlight w:val="none"/>
          <w:lang w:val="en-US" w:eastAsia="zh-CN" w:bidi="ar"/>
        </w:rPr>
        <w:t>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主要原因：本部门无</w:t>
      </w:r>
      <w:r>
        <w:rPr>
          <w:rFonts w:hint="eastAsia" w:ascii="仿宋" w:hAnsi="仿宋" w:eastAsia="仿宋" w:cs="仿宋"/>
          <w:kern w:val="2"/>
          <w:sz w:val="32"/>
          <w:szCs w:val="32"/>
          <w:highlight w:val="none"/>
          <w:lang w:val="en-US" w:eastAsia="zh-CN" w:bidi="ar"/>
        </w:rPr>
        <w:t>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主要原因：本部门无</w:t>
      </w:r>
      <w:r>
        <w:rPr>
          <w:rFonts w:hint="eastAsia" w:ascii="仿宋" w:hAnsi="仿宋" w:eastAsia="仿宋" w:cs="仿宋"/>
          <w:kern w:val="2"/>
          <w:sz w:val="32"/>
          <w:szCs w:val="32"/>
          <w:highlight w:val="none"/>
          <w:lang w:val="en-US" w:eastAsia="zh-CN" w:bidi="ar"/>
        </w:rPr>
        <w:t>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kern w:val="2"/>
          <w:sz w:val="32"/>
          <w:szCs w:val="32"/>
          <w:highlight w:val="none"/>
          <w:lang w:val="en-US" w:eastAsia="zh-CN" w:bidi="ar"/>
        </w:rPr>
        <w:t>本部门无经营收入。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7.附属单位上缴收入0.00万元。较2021年度决算数增加0.00万元，增长0%。主要原因：本部门无附属单位上缴收入。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.主要原因：本部门无其他收入。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kern w:val="2"/>
          <w:sz w:val="32"/>
          <w:szCs w:val="32"/>
          <w:highlight w:val="none"/>
          <w:lang w:val="en-US" w:eastAsia="zh-CN" w:bidi="ar"/>
        </w:rPr>
        <w:t>主要原因：本部门无使用非财政拨款。</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eastAsia="zh-CN"/>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u w:color="auto"/>
          <w:lang w:eastAsia="zh-CN"/>
        </w:rPr>
        <w:t>。</w:t>
      </w:r>
    </w:p>
    <w:p>
      <w:pPr>
        <w:jc w:val="center"/>
        <w:rPr>
          <w:rFonts w:ascii="仿宋" w:hAnsi="仿宋" w:eastAsia="仿宋" w:cs="仿宋"/>
          <w:sz w:val="32"/>
          <w:szCs w:val="32"/>
          <w:highlight w:val="none"/>
        </w:rPr>
      </w:pPr>
      <w:r>
        <w:drawing>
          <wp:inline distT="0" distB="0" distL="114300" distR="114300">
            <wp:extent cx="4826000" cy="3457575"/>
            <wp:effectExtent l="4445" t="4445" r="8255" b="50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u w:color="auto"/>
          <w:lang w:val="en-US" w:eastAsia="zh-CN"/>
        </w:rPr>
        <w:t>97.36</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97.36</w:t>
      </w:r>
      <w:r>
        <w:rPr>
          <w:rFonts w:hint="eastAsia" w:ascii="仿宋" w:hAnsi="仿宋" w:eastAsia="仿宋" w:cs="仿宋"/>
          <w:sz w:val="32"/>
          <w:szCs w:val="32"/>
          <w:highlight w:val="none"/>
        </w:rPr>
        <w:t>万元，较2021年度决算数</w:t>
      </w:r>
      <w:r>
        <w:rPr>
          <w:rFonts w:hint="eastAsia" w:ascii="仿宋" w:hAnsi="仿宋" w:eastAsia="仿宋" w:cs="仿宋"/>
          <w:sz w:val="32"/>
          <w:szCs w:val="32"/>
          <w:highlight w:val="none"/>
          <w:lang w:eastAsia="zh-CN"/>
        </w:rPr>
        <w:t>增加</w:t>
      </w:r>
      <w:r>
        <w:rPr>
          <w:rFonts w:hint="eastAsia" w:ascii="仿宋" w:hAnsi="仿宋" w:eastAsia="仿宋" w:cs="仿宋"/>
          <w:sz w:val="32"/>
          <w:u w:color="auto"/>
          <w:lang w:val="en-US" w:eastAsia="zh-CN"/>
        </w:rPr>
        <w:t>35.35</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36.3</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eastAsia="zh-CN"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0.53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：支付</w:t>
      </w:r>
      <w:r>
        <w:rPr>
          <w:rFonts w:hint="eastAsia" w:ascii="仿宋" w:hAnsi="仿宋" w:eastAsia="仿宋" w:cs="仿宋"/>
          <w:color w:val="000000" w:themeColor="text1"/>
          <w:sz w:val="32"/>
          <w:szCs w:val="32"/>
          <w:highlight w:val="none"/>
          <w:lang w:val="en-US" w:eastAsia="zh-CN"/>
          <w14:textFill>
            <w14:solidFill>
              <w14:schemeClr w14:val="tx1"/>
            </w14:solidFill>
          </w14:textFill>
        </w:rPr>
        <w:t>单位工会费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0.32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60.4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w:t>
      </w:r>
      <w:r>
        <w:rPr>
          <w:rFonts w:ascii="仿宋_GB2312" w:hAnsi="宋体" w:eastAsia="仿宋_GB2312" w:cs="仿宋_GB2312"/>
          <w:i w:val="0"/>
          <w:iCs w:val="0"/>
          <w:caps w:val="0"/>
          <w:color w:val="333333"/>
          <w:spacing w:val="0"/>
          <w:sz w:val="31"/>
          <w:szCs w:val="31"/>
          <w:shd w:val="clear" w:fill="FFFFFF"/>
        </w:rPr>
        <w:t>年</w:t>
      </w:r>
      <w:r>
        <w:rPr>
          <w:rFonts w:hint="eastAsia" w:ascii="仿宋_GB2312" w:hAnsi="宋体" w:eastAsia="仿宋_GB2312" w:cs="仿宋_GB2312"/>
          <w:i w:val="0"/>
          <w:iCs w:val="0"/>
          <w:caps w:val="0"/>
          <w:color w:val="333333"/>
          <w:spacing w:val="0"/>
          <w:sz w:val="31"/>
          <w:szCs w:val="31"/>
          <w:shd w:val="clear" w:fill="FFFFFF"/>
        </w:rPr>
        <w:t>度没有脱贫攻坚</w:t>
      </w:r>
      <w:r>
        <w:rPr>
          <w:rFonts w:ascii="黑体" w:hAnsi="宋体" w:eastAsia="黑体" w:cs="黑体"/>
          <w:i w:val="0"/>
          <w:iCs w:val="0"/>
          <w:caps w:val="0"/>
          <w:color w:val="333333"/>
          <w:spacing w:val="0"/>
          <w:sz w:val="31"/>
          <w:szCs w:val="31"/>
          <w:shd w:val="clear" w:fill="FFFFFF"/>
        </w:rPr>
        <w:t>“</w:t>
      </w:r>
      <w:r>
        <w:rPr>
          <w:rFonts w:hint="eastAsia" w:ascii="仿宋_GB2312" w:hAnsi="宋体" w:eastAsia="仿宋_GB2312" w:cs="仿宋_GB2312"/>
          <w:i w:val="0"/>
          <w:iCs w:val="0"/>
          <w:caps w:val="0"/>
          <w:color w:val="333333"/>
          <w:spacing w:val="0"/>
          <w:sz w:val="31"/>
          <w:szCs w:val="31"/>
          <w:shd w:val="clear" w:fill="FFFFFF"/>
        </w:rPr>
        <w:t>百日攻坚冲刺</w:t>
      </w:r>
      <w:r>
        <w:rPr>
          <w:rFonts w:hint="eastAsia" w:ascii="黑体" w:hAnsi="宋体" w:eastAsia="黑体" w:cs="黑体"/>
          <w:i w:val="0"/>
          <w:iCs w:val="0"/>
          <w:caps w:val="0"/>
          <w:color w:val="333333"/>
          <w:spacing w:val="0"/>
          <w:sz w:val="31"/>
          <w:szCs w:val="31"/>
          <w:shd w:val="clear" w:fill="FFFFFF"/>
        </w:rPr>
        <w:t>”</w:t>
      </w:r>
      <w:r>
        <w:rPr>
          <w:rFonts w:hint="eastAsia" w:ascii="仿宋_GB2312" w:hAnsi="宋体" w:eastAsia="仿宋_GB2312" w:cs="仿宋_GB2312"/>
          <w:i w:val="0"/>
          <w:iCs w:val="0"/>
          <w:caps w:val="0"/>
          <w:color w:val="333333"/>
          <w:spacing w:val="0"/>
          <w:sz w:val="31"/>
          <w:szCs w:val="31"/>
          <w:shd w:val="clear" w:fill="FFFFFF"/>
        </w:rPr>
        <w:t>工作队员助勤补助发放。</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_GB2312" w:hAnsi="宋体" w:eastAsia="仿宋_GB2312" w:cs="仿宋_GB2312"/>
          <w:i w:val="0"/>
          <w:iCs w:val="0"/>
          <w:caps w:val="0"/>
          <w:color w:val="333333"/>
          <w:spacing w:val="0"/>
          <w:sz w:val="31"/>
          <w:szCs w:val="31"/>
          <w:shd w:val="clear" w:fill="FFFFFF"/>
        </w:rPr>
        <w:t>文化旅游体育与传媒支出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bidi="ar"/>
        </w:rPr>
        <w:t>207</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44.77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ascii="仿宋_GB2312" w:hAnsi="宋体" w:eastAsia="仿宋_GB2312" w:cs="仿宋_GB2312"/>
          <w:i w:val="0"/>
          <w:iCs w:val="0"/>
          <w:caps w:val="0"/>
          <w:color w:val="333333"/>
          <w:spacing w:val="0"/>
          <w:sz w:val="31"/>
          <w:szCs w:val="31"/>
          <w:shd w:val="clear" w:fill="FFFFFF"/>
        </w:rPr>
        <w:t>主要用于本部门为保证日常运转发生的基本支出和为完成各项工作任务、保障单位事业发展而发生的项目支出。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2.75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6.1</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ascii="仿宋_GB2312" w:hAnsi="宋体" w:eastAsia="仿宋_GB2312" w:cs="仿宋_GB2312"/>
          <w:i w:val="0"/>
          <w:iCs w:val="0"/>
          <w:caps w:val="0"/>
          <w:color w:val="333333"/>
          <w:spacing w:val="0"/>
          <w:sz w:val="31"/>
          <w:szCs w:val="31"/>
          <w:shd w:val="clear" w:fill="FFFFFF"/>
        </w:rPr>
        <w:t>本年度没有重大项目支出</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3</w:t>
      </w:r>
      <w:r>
        <w:rPr>
          <w:rFonts w:ascii="仿宋" w:hAnsi="仿宋" w:eastAsia="仿宋" w:cs="仿宋"/>
          <w:sz w:val="32"/>
          <w:u w:color="auto"/>
        </w:rPr>
        <w:t>.</w:t>
      </w:r>
      <w:r>
        <w:rPr>
          <w:rFonts w:ascii="仿宋_GB2312" w:hAnsi="宋体" w:eastAsia="仿宋_GB2312" w:cs="仿宋_GB2312"/>
          <w:i w:val="0"/>
          <w:iCs w:val="0"/>
          <w:caps w:val="0"/>
          <w:color w:val="333333"/>
          <w:spacing w:val="0"/>
          <w:sz w:val="31"/>
          <w:szCs w:val="31"/>
          <w:shd w:val="clear" w:fill="FFFFFF"/>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3.84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ascii="仿宋_GB2312" w:hAnsi="宋体" w:eastAsia="仿宋_GB2312" w:cs="仿宋_GB2312"/>
          <w:i w:val="0"/>
          <w:iCs w:val="0"/>
          <w:caps w:val="0"/>
          <w:color w:val="333333"/>
          <w:spacing w:val="0"/>
          <w:sz w:val="31"/>
          <w:szCs w:val="31"/>
          <w:shd w:val="clear" w:fill="FFFFFF"/>
        </w:rPr>
        <w:t>主要用于机关事业单位基本养老保险缴费支出。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0.04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1.04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主要原因是：2022年下半年有人员调出。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4</w:t>
      </w:r>
      <w:r>
        <w:rPr>
          <w:rFonts w:ascii="仿宋" w:hAnsi="仿宋" w:eastAsia="仿宋" w:cs="仿宋"/>
          <w:sz w:val="32"/>
          <w:u w:color="auto"/>
        </w:rPr>
        <w:t>.</w:t>
      </w:r>
      <w:r>
        <w:rPr>
          <w:rFonts w:ascii="仿宋_GB2312" w:hAnsi="宋体" w:eastAsia="仿宋_GB2312" w:cs="仿宋_GB2312"/>
          <w:i w:val="0"/>
          <w:iCs w:val="0"/>
          <w:caps w:val="0"/>
          <w:color w:val="333333"/>
          <w:spacing w:val="0"/>
          <w:sz w:val="31"/>
          <w:szCs w:val="31"/>
          <w:shd w:val="clear" w:fill="FFFFFF"/>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3.17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ascii="仿宋_GB2312" w:hAnsi="宋体" w:eastAsia="仿宋_GB2312" w:cs="仿宋_GB2312"/>
          <w:i w:val="0"/>
          <w:iCs w:val="0"/>
          <w:caps w:val="0"/>
          <w:color w:val="333333"/>
          <w:spacing w:val="0"/>
          <w:sz w:val="31"/>
          <w:szCs w:val="31"/>
          <w:shd w:val="clear" w:fill="FFFFFF"/>
        </w:rPr>
        <w:t>主要用于按照国家政策规定向职工发放的住房公积金、提租补贴、购房补贴等住房改革方面的支出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0.57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18</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主要原因是：2022年下半年有人员调出。</w:t>
      </w: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5.</w:t>
      </w:r>
      <w:r>
        <w:rPr>
          <w:rFonts w:hint="eastAsia" w:ascii="仿宋" w:hAnsi="仿宋" w:eastAsia="仿宋" w:cs="仿宋"/>
          <w:color w:val="000000" w:themeColor="text1"/>
          <w:sz w:val="32"/>
          <w:szCs w:val="32"/>
          <w:highlight w:val="none"/>
          <w:lang w:eastAsia="zh-CN" w:bidi="ar"/>
          <w14:textFill>
            <w14:solidFill>
              <w14:schemeClr w14:val="tx1"/>
            </w14:solidFill>
          </w14:textFill>
        </w:rPr>
        <w:t>城乡社区支出</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212</w:t>
      </w:r>
      <w:r>
        <w:rPr>
          <w:rFonts w:ascii="Calibri" w:hAnsi="Calibri" w:eastAsia="宋体" w:cs="Times New Roman"/>
          <w:color w:val="000000" w:themeColor="text1"/>
          <w:highlight w:val="none"/>
          <w:lang w:bidi="ar"/>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类）</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38.55</w:t>
      </w:r>
      <w:r>
        <w:rPr>
          <w:rFonts w:hint="eastAsia" w:ascii="仿宋" w:hAnsi="仿宋" w:eastAsia="仿宋" w:cs="仿宋"/>
          <w:color w:val="000000" w:themeColor="text1"/>
          <w:sz w:val="32"/>
          <w:szCs w:val="32"/>
          <w:highlight w:val="none"/>
          <w14:textFill>
            <w14:solidFill>
              <w14:schemeClr w14:val="tx1"/>
            </w14:solidFill>
          </w14:textFill>
        </w:rPr>
        <w:t>万元：主要用于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支付遗产地步道建设</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38.55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100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主要原因是：本年度有重大项目经费支付。</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_GB2312" w:hAnsi="宋体" w:eastAsia="仿宋_GB2312" w:cs="仿宋_GB2312"/>
          <w:i w:val="0"/>
          <w:iCs w:val="0"/>
          <w:caps w:val="0"/>
          <w:color w:val="333333"/>
          <w:spacing w:val="0"/>
          <w:sz w:val="31"/>
          <w:szCs w:val="31"/>
          <w:shd w:val="clear" w:fill="FFFFFF"/>
          <w:lang w:val="en-US" w:eastAsia="zh-CN"/>
        </w:rPr>
        <w:t>6.</w:t>
      </w:r>
      <w:r>
        <w:rPr>
          <w:rFonts w:ascii="仿宋_GB2312" w:hAnsi="宋体" w:eastAsia="仿宋_GB2312" w:cs="仿宋_GB2312"/>
          <w:i w:val="0"/>
          <w:iCs w:val="0"/>
          <w:caps w:val="0"/>
          <w:color w:val="333333"/>
          <w:spacing w:val="0"/>
          <w:sz w:val="31"/>
          <w:szCs w:val="31"/>
          <w:shd w:val="clear" w:fill="FFFFFF"/>
        </w:rPr>
        <w:t>其他支出</w:t>
      </w:r>
      <w:r>
        <w:rPr>
          <w:rFonts w:hint="eastAsia" w:ascii="仿宋_GB2312" w:hAnsi="宋体" w:eastAsia="仿宋_GB2312" w:cs="仿宋_GB2312"/>
          <w:i w:val="0"/>
          <w:iCs w:val="0"/>
          <w:caps w:val="0"/>
          <w:color w:val="333333"/>
          <w:spacing w:val="0"/>
          <w:sz w:val="31"/>
          <w:szCs w:val="31"/>
          <w:shd w:val="clear" w:fill="FFFFFF"/>
          <w:lang w:eastAsia="zh-CN"/>
        </w:rPr>
        <w:t>（</w:t>
      </w:r>
      <w:r>
        <w:rPr>
          <w:rFonts w:hint="eastAsia" w:ascii="仿宋_GB2312" w:hAnsi="宋体" w:eastAsia="仿宋_GB2312" w:cs="仿宋_GB2312"/>
          <w:i w:val="0"/>
          <w:iCs w:val="0"/>
          <w:caps w:val="0"/>
          <w:color w:val="333333"/>
          <w:spacing w:val="0"/>
          <w:sz w:val="31"/>
          <w:szCs w:val="31"/>
          <w:shd w:val="clear" w:fill="FFFFFF"/>
          <w:lang w:val="en-US" w:eastAsia="zh-CN"/>
        </w:rPr>
        <w:t>229类</w:t>
      </w:r>
      <w:r>
        <w:rPr>
          <w:rFonts w:hint="eastAsia" w:ascii="仿宋_GB2312" w:hAnsi="宋体" w:eastAsia="仿宋_GB2312" w:cs="仿宋_GB2312"/>
          <w:i w:val="0"/>
          <w:iCs w:val="0"/>
          <w:caps w:val="0"/>
          <w:color w:val="333333"/>
          <w:spacing w:val="0"/>
          <w:sz w:val="31"/>
          <w:szCs w:val="31"/>
          <w:shd w:val="clear" w:fill="FFFFFF"/>
          <w:lang w:eastAsia="zh-CN"/>
        </w:rPr>
        <w:t>）</w:t>
      </w:r>
      <w:r>
        <w:rPr>
          <w:rFonts w:hint="eastAsia" w:ascii="仿宋_GB2312" w:hAnsi="宋体" w:eastAsia="仿宋_GB2312" w:cs="仿宋_GB2312"/>
          <w:i w:val="0"/>
          <w:iCs w:val="0"/>
          <w:caps w:val="0"/>
          <w:color w:val="333333"/>
          <w:spacing w:val="0"/>
          <w:sz w:val="31"/>
          <w:szCs w:val="31"/>
          <w:shd w:val="clear" w:fill="FFFFFF"/>
          <w:lang w:val="en-US" w:eastAsia="zh-CN"/>
        </w:rPr>
        <w:t>6.5万元，</w:t>
      </w:r>
      <w:r>
        <w:rPr>
          <w:rFonts w:ascii="仿宋_GB2312" w:hAnsi="宋体" w:eastAsia="仿宋_GB2312" w:cs="仿宋_GB2312"/>
          <w:i w:val="0"/>
          <w:iCs w:val="0"/>
          <w:caps w:val="0"/>
          <w:color w:val="333333"/>
          <w:spacing w:val="0"/>
          <w:sz w:val="31"/>
          <w:szCs w:val="31"/>
          <w:shd w:val="clear" w:fill="FFFFFF"/>
        </w:rPr>
        <w:t>主要用于年终绩效考评奖</w:t>
      </w:r>
      <w:r>
        <w:rPr>
          <w:rFonts w:hint="eastAsia" w:ascii="仿宋_GB2312" w:hAnsi="宋体" w:eastAsia="仿宋_GB2312" w:cs="仿宋_GB2312"/>
          <w:i w:val="0"/>
          <w:iCs w:val="0"/>
          <w:caps w:val="0"/>
          <w:color w:val="333333"/>
          <w:spacing w:val="0"/>
          <w:sz w:val="31"/>
          <w:szCs w:val="31"/>
          <w:shd w:val="clear" w:fill="FFFFFF"/>
          <w:lang w:eastAsia="zh-CN"/>
        </w:rPr>
        <w:t>、</w:t>
      </w:r>
      <w:r>
        <w:rPr>
          <w:rFonts w:hint="eastAsia" w:ascii="仿宋_GB2312" w:hAnsi="宋体" w:eastAsia="仿宋_GB2312" w:cs="仿宋_GB2312"/>
          <w:i w:val="0"/>
          <w:iCs w:val="0"/>
          <w:caps w:val="0"/>
          <w:color w:val="333333"/>
          <w:spacing w:val="0"/>
          <w:sz w:val="31"/>
          <w:szCs w:val="31"/>
          <w:shd w:val="clear" w:fill="FFFFFF"/>
          <w:lang w:val="en-US" w:eastAsia="zh-CN"/>
        </w:rPr>
        <w:t>伙食补助支出</w:t>
      </w:r>
      <w:r>
        <w:rPr>
          <w:rFonts w:ascii="仿宋_GB2312" w:hAnsi="宋体" w:eastAsia="仿宋_GB2312" w:cs="仿宋_GB2312"/>
          <w:i w:val="0"/>
          <w:iCs w:val="0"/>
          <w:caps w:val="0"/>
          <w:color w:val="333333"/>
          <w:spacing w:val="0"/>
          <w:sz w:val="31"/>
          <w:szCs w:val="31"/>
          <w:shd w:val="clear" w:fill="FFFFFF"/>
        </w:rPr>
        <w:t>。较202</w:t>
      </w:r>
      <w:r>
        <w:rPr>
          <w:rFonts w:hint="eastAsia" w:ascii="仿宋_GB2312" w:hAnsi="宋体" w:eastAsia="仿宋_GB2312" w:cs="仿宋_GB2312"/>
          <w:i w:val="0"/>
          <w:iCs w:val="0"/>
          <w:caps w:val="0"/>
          <w:color w:val="333333"/>
          <w:spacing w:val="0"/>
          <w:sz w:val="31"/>
          <w:szCs w:val="31"/>
          <w:shd w:val="clear" w:fill="FFFFFF"/>
          <w:lang w:val="en-US" w:eastAsia="zh-CN"/>
        </w:rPr>
        <w:t>1</w:t>
      </w:r>
      <w:r>
        <w:rPr>
          <w:rFonts w:ascii="仿宋_GB2312" w:hAnsi="宋体" w:eastAsia="仿宋_GB2312" w:cs="仿宋_GB2312"/>
          <w:i w:val="0"/>
          <w:iCs w:val="0"/>
          <w:caps w:val="0"/>
          <w:color w:val="333333"/>
          <w:spacing w:val="0"/>
          <w:sz w:val="31"/>
          <w:szCs w:val="31"/>
          <w:shd w:val="clear" w:fill="FFFFFF"/>
        </w:rPr>
        <w:t>年度决算数</w:t>
      </w:r>
      <w:r>
        <w:rPr>
          <w:rFonts w:hint="eastAsia" w:ascii="仿宋_GB2312" w:hAnsi="宋体" w:eastAsia="仿宋_GB2312" w:cs="仿宋_GB2312"/>
          <w:i w:val="0"/>
          <w:iCs w:val="0"/>
          <w:caps w:val="0"/>
          <w:color w:val="333333"/>
          <w:spacing w:val="0"/>
          <w:sz w:val="31"/>
          <w:szCs w:val="31"/>
          <w:shd w:val="clear" w:fill="FFFFFF"/>
          <w:lang w:eastAsia="zh-CN"/>
        </w:rPr>
        <w:t>减少</w:t>
      </w:r>
      <w:r>
        <w:rPr>
          <w:rFonts w:hint="eastAsia" w:ascii="仿宋_GB2312" w:hAnsi="宋体" w:eastAsia="仿宋_GB2312" w:cs="仿宋_GB2312"/>
          <w:i w:val="0"/>
          <w:iCs w:val="0"/>
          <w:caps w:val="0"/>
          <w:color w:val="333333"/>
          <w:spacing w:val="0"/>
          <w:sz w:val="31"/>
          <w:szCs w:val="31"/>
          <w:shd w:val="clear" w:fill="FFFFFF"/>
          <w:lang w:val="en-US" w:eastAsia="zh-CN"/>
        </w:rPr>
        <w:t>5.02</w:t>
      </w:r>
      <w:r>
        <w:rPr>
          <w:rFonts w:ascii="仿宋_GB2312" w:hAnsi="宋体" w:eastAsia="仿宋_GB2312" w:cs="仿宋_GB2312"/>
          <w:i w:val="0"/>
          <w:iCs w:val="0"/>
          <w:caps w:val="0"/>
          <w:color w:val="333333"/>
          <w:spacing w:val="0"/>
          <w:sz w:val="31"/>
          <w:szCs w:val="31"/>
          <w:shd w:val="clear" w:fill="FFFFFF"/>
        </w:rPr>
        <w:t>万元，</w:t>
      </w:r>
      <w:r>
        <w:rPr>
          <w:rFonts w:hint="eastAsia" w:ascii="仿宋" w:hAnsi="仿宋" w:eastAsia="仿宋" w:cs="仿宋"/>
          <w:sz w:val="32"/>
          <w:szCs w:val="32"/>
          <w:highlight w:val="none"/>
          <w:lang w:bidi="ar"/>
        </w:rPr>
        <w:t>下降</w:t>
      </w:r>
      <w:r>
        <w:rPr>
          <w:rFonts w:hint="eastAsia" w:ascii="仿宋_GB2312" w:hAnsi="宋体" w:eastAsia="仿宋_GB2312" w:cs="仿宋_GB2312"/>
          <w:i w:val="0"/>
          <w:iCs w:val="0"/>
          <w:caps w:val="0"/>
          <w:color w:val="333333"/>
          <w:spacing w:val="0"/>
          <w:sz w:val="31"/>
          <w:szCs w:val="31"/>
          <w:shd w:val="clear" w:fill="FFFFFF"/>
          <w:lang w:val="en-US" w:eastAsia="zh-CN"/>
        </w:rPr>
        <w:t>77.2</w:t>
      </w:r>
      <w:r>
        <w:rPr>
          <w:rFonts w:ascii="仿宋_GB2312" w:hAnsi="宋体" w:eastAsia="仿宋_GB2312" w:cs="仿宋_GB2312"/>
          <w:i w:val="0"/>
          <w:iCs w:val="0"/>
          <w:caps w:val="0"/>
          <w:color w:val="333333"/>
          <w:spacing w:val="0"/>
          <w:sz w:val="31"/>
          <w:szCs w:val="31"/>
          <w:shd w:val="clear" w:fill="FFFFFF"/>
        </w:rPr>
        <w:t>%，主要原因是</w:t>
      </w:r>
      <w:r>
        <w:rPr>
          <w:rFonts w:hint="eastAsia" w:ascii="仿宋_GB2312" w:hAnsi="宋体" w:eastAsia="仿宋_GB2312" w:cs="仿宋_GB2312"/>
          <w:i w:val="0"/>
          <w:iCs w:val="0"/>
          <w:caps w:val="0"/>
          <w:color w:val="333333"/>
          <w:spacing w:val="0"/>
          <w:sz w:val="31"/>
          <w:szCs w:val="31"/>
          <w:shd w:val="clear" w:fill="FFFFFF"/>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2022年下半年有人员调出。</w:t>
      </w:r>
    </w:p>
    <w:p>
      <w:pPr>
        <w:keepNext w:val="0"/>
        <w:keepLines w:val="0"/>
        <w:widowControl w:val="0"/>
        <w:suppressLineNumbers w:val="0"/>
        <w:spacing w:before="0" w:beforeAutospacing="0" w:after="0" w:afterAutospacing="0"/>
        <w:ind w:right="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u w:color="auto"/>
          <w:lang w:eastAsia="zh-CN"/>
        </w:rPr>
        <w:t>。</w:t>
      </w:r>
    </w:p>
    <w:p>
      <w:pPr>
        <w:ind w:firstLine="420" w:firstLineChars="200"/>
        <w:jc w:val="center"/>
        <w:rPr>
          <w:rFonts w:ascii="仿宋" w:hAnsi="仿宋" w:eastAsia="仿宋" w:cs="仿宋"/>
          <w:sz w:val="32"/>
          <w:szCs w:val="32"/>
          <w:highlight w:val="none"/>
        </w:rPr>
      </w:pPr>
      <w:r>
        <w:drawing>
          <wp:inline distT="0" distB="0" distL="114300" distR="114300">
            <wp:extent cx="4826000" cy="2743200"/>
            <wp:effectExtent l="4445" t="4445" r="8255"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环江毛南族自治县世界自然遗产保护中心</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u w:color="auto"/>
          <w:lang w:val="en-US" w:eastAsia="zh-CN"/>
        </w:rPr>
        <w:t>97.36</w:t>
      </w:r>
      <w:r>
        <w:rPr>
          <w:rFonts w:hint="eastAsia" w:ascii="仿宋" w:hAnsi="仿宋" w:eastAsia="仿宋" w:cs="仿宋"/>
          <w:sz w:val="32"/>
          <w:szCs w:val="32"/>
          <w:highlight w:val="none"/>
        </w:rPr>
        <w:t>万元，较2021年度决算数</w:t>
      </w:r>
      <w:r>
        <w:rPr>
          <w:rFonts w:hint="eastAsia" w:ascii="仿宋" w:hAnsi="仿宋" w:eastAsia="仿宋" w:cs="仿宋"/>
          <w:sz w:val="32"/>
          <w:szCs w:val="32"/>
          <w:highlight w:val="none"/>
          <w:lang w:eastAsia="zh-CN"/>
        </w:rPr>
        <w:t>增加</w:t>
      </w:r>
      <w:r>
        <w:rPr>
          <w:rFonts w:hint="eastAsia" w:ascii="仿宋" w:hAnsi="仿宋" w:eastAsia="仿宋" w:cs="仿宋"/>
          <w:sz w:val="32"/>
          <w:u w:color="auto"/>
          <w:lang w:val="en-US" w:eastAsia="zh-CN"/>
        </w:rPr>
        <w:t>35.35</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36.3</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37.54</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59.82</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eastAsia="zh-CN"/>
        </w:rPr>
        <w:t>环江毛南族自治县世界自然遗产保护中心</w:t>
      </w:r>
      <w:r>
        <w:rPr>
          <w:rFonts w:hint="eastAsia" w:ascii="仿宋" w:hAnsi="仿宋" w:eastAsia="仿宋" w:cs="仿宋"/>
          <w:sz w:val="32"/>
          <w:szCs w:val="32"/>
          <w:highlight w:val="none"/>
        </w:rPr>
        <w:t>2022 年度一般公共预算财政拨款支出年初预算为</w:t>
      </w:r>
      <w:r>
        <w:rPr>
          <w:rFonts w:hint="eastAsia" w:ascii="仿宋" w:hAnsi="仿宋" w:eastAsia="仿宋" w:cs="仿宋"/>
          <w:sz w:val="32"/>
          <w:u w:color="auto"/>
          <w:lang w:val="en-US" w:eastAsia="zh-CN"/>
        </w:rPr>
        <w:t>97.36</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97.36</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w:t>
      </w:r>
      <w:r>
        <w:rPr>
          <w:rFonts w:hint="eastAsia" w:ascii="仿宋" w:hAnsi="仿宋" w:eastAsia="仿宋" w:cs="仿宋"/>
          <w:sz w:val="32"/>
          <w:u w:color="auto"/>
          <w:lang w:val="en-US" w:eastAsia="zh-CN"/>
        </w:rPr>
        <w:t>00</w:t>
      </w:r>
      <w:r>
        <w:rPr>
          <w:rFonts w:ascii="仿宋" w:hAnsi="仿宋" w:eastAsia="仿宋" w:cs="仿宋"/>
          <w:sz w:val="32"/>
          <w:u w:color="auto"/>
        </w:rPr>
        <w:t>%</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cs="仿宋"/>
          <w:sz w:val="32"/>
          <w:szCs w:val="32"/>
          <w:highlight w:val="none"/>
          <w:lang w:eastAsia="zh-CN"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0.53</w:t>
      </w:r>
      <w:r>
        <w:rPr>
          <w:rFonts w:hint="eastAsia" w:ascii="仿宋" w:hAnsi="仿宋" w:eastAsia="仿宋" w:cs="仿宋"/>
          <w:sz w:val="32"/>
          <w:szCs w:val="32"/>
          <w:highlight w:val="none"/>
        </w:rPr>
        <w:t>万元</w:t>
      </w:r>
      <w:r>
        <w:rPr>
          <w:rFonts w:hint="eastAsia" w:ascii="仿宋" w:hAnsi="仿宋" w:eastAsia="仿宋"/>
          <w:sz w:val="32"/>
          <w:szCs w:val="32"/>
          <w:highlight w:val="none"/>
        </w:rPr>
        <w:t>，支出决算为</w:t>
      </w:r>
      <w:r>
        <w:rPr>
          <w:rFonts w:hint="eastAsia" w:ascii="仿宋" w:hAnsi="仿宋" w:eastAsia="仿宋"/>
          <w:sz w:val="32"/>
          <w:szCs w:val="32"/>
          <w:highlight w:val="none"/>
          <w:lang w:val="en-US" w:eastAsia="zh-CN"/>
        </w:rPr>
        <w:t>0.53</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一般公共服务支出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0.53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0.53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单位工会费支出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0.53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0.53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单位工会费支出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cs="仿宋"/>
          <w:sz w:val="32"/>
          <w:szCs w:val="32"/>
          <w:highlight w:val="none"/>
        </w:rPr>
        <w:t>2</w:t>
      </w:r>
      <w:r>
        <w:rPr>
          <w:rFonts w:hint="eastAsia" w:ascii="仿宋_GB2312" w:hAnsi="宋体" w:eastAsia="仿宋_GB2312" w:cs="仿宋_GB2312"/>
          <w:i w:val="0"/>
          <w:iCs w:val="0"/>
          <w:caps w:val="0"/>
          <w:color w:val="333333"/>
          <w:spacing w:val="0"/>
          <w:sz w:val="31"/>
          <w:szCs w:val="31"/>
          <w:shd w:val="clear" w:fill="FFFFFF"/>
        </w:rPr>
        <w:t>文化旅游体育与传媒支出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bidi="ar"/>
        </w:rPr>
        <w:t>207</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44.77</w:t>
      </w:r>
      <w:r>
        <w:rPr>
          <w:rFonts w:hint="eastAsia" w:ascii="仿宋" w:hAnsi="仿宋" w:eastAsia="仿宋" w:cs="仿宋"/>
          <w:sz w:val="32"/>
          <w:szCs w:val="32"/>
          <w:highlight w:val="none"/>
        </w:rPr>
        <w:t>万元</w:t>
      </w:r>
      <w:r>
        <w:rPr>
          <w:rFonts w:hint="eastAsia" w:ascii="仿宋" w:hAnsi="仿宋" w:eastAsia="仿宋"/>
          <w:sz w:val="32"/>
          <w:szCs w:val="32"/>
          <w:highlight w:val="none"/>
        </w:rPr>
        <w:t>年初预算为</w:t>
      </w:r>
      <w:r>
        <w:rPr>
          <w:rFonts w:hint="eastAsia" w:ascii="仿宋" w:hAnsi="仿宋" w:eastAsia="仿宋"/>
          <w:sz w:val="32"/>
          <w:szCs w:val="32"/>
          <w:highlight w:val="none"/>
          <w:lang w:val="en-US" w:eastAsia="zh-CN"/>
        </w:rPr>
        <w:t>44.77</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r>
        <w:rPr>
          <w:rFonts w:hint="eastAsia" w:ascii="仿宋" w:hAnsi="仿宋" w:eastAsia="仿宋"/>
          <w:sz w:val="32"/>
          <w:szCs w:val="32"/>
          <w:highlight w:val="none"/>
        </w:rPr>
        <w:t>支出决算为</w:t>
      </w:r>
      <w:r>
        <w:rPr>
          <w:rFonts w:hint="eastAsia" w:ascii="仿宋" w:hAnsi="仿宋" w:eastAsia="仿宋"/>
          <w:sz w:val="32"/>
          <w:szCs w:val="32"/>
          <w:highlight w:val="none"/>
          <w:lang w:val="en-US" w:eastAsia="zh-CN"/>
        </w:rPr>
        <w:t>44.77</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r>
        <w:rPr>
          <w:rFonts w:hint="eastAsia" w:ascii="仿宋" w:hAnsi="仿宋" w:eastAsia="仿宋"/>
          <w:color w:val="000000" w:themeColor="text1"/>
          <w:sz w:val="32"/>
          <w:szCs w:val="32"/>
          <w:highlight w:val="none"/>
          <w:lang w:eastAsia="zh-CN"/>
          <w14:textFill>
            <w14:solidFill>
              <w14:schemeClr w14:val="tx1"/>
            </w14:solidFill>
          </w14:textFill>
        </w:rPr>
        <w:t>（三）</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3.84</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3.84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3.84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3.84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支付单位干部职工养老保险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3.84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3.84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支付单位干部职工养老保险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r>
        <w:rPr>
          <w:rFonts w:hint="eastAsia" w:ascii="仿宋_GB2312" w:hAnsi="宋体" w:eastAsia="仿宋_GB2312" w:cs="仿宋_GB2312"/>
          <w:i w:val="0"/>
          <w:iCs w:val="0"/>
          <w:caps w:val="0"/>
          <w:color w:val="333333"/>
          <w:spacing w:val="0"/>
          <w:sz w:val="31"/>
          <w:szCs w:val="31"/>
          <w:shd w:val="clear" w:fill="FFFFFF"/>
          <w:lang w:eastAsia="zh-CN"/>
        </w:rPr>
        <w:t>（四）</w:t>
      </w:r>
      <w:r>
        <w:rPr>
          <w:rFonts w:ascii="仿宋_GB2312" w:hAnsi="宋体" w:eastAsia="仿宋_GB2312" w:cs="仿宋_GB2312"/>
          <w:i w:val="0"/>
          <w:iCs w:val="0"/>
          <w:caps w:val="0"/>
          <w:color w:val="333333"/>
          <w:spacing w:val="0"/>
          <w:sz w:val="31"/>
          <w:szCs w:val="31"/>
          <w:shd w:val="clear" w:fill="FFFFFF"/>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3.17</w:t>
      </w:r>
      <w:r>
        <w:rPr>
          <w:rFonts w:hint="eastAsia" w:ascii="仿宋" w:hAnsi="仿宋" w:eastAsia="仿宋" w:cs="仿宋"/>
          <w:sz w:val="32"/>
          <w:szCs w:val="32"/>
          <w:highlight w:val="none"/>
        </w:rPr>
        <w:t>万元</w:t>
      </w:r>
      <w:r>
        <w:rPr>
          <w:rFonts w:hint="eastAsia" w:ascii="仿宋" w:hAnsi="仿宋" w:eastAsia="仿宋"/>
          <w:sz w:val="32"/>
          <w:szCs w:val="32"/>
          <w:highlight w:val="none"/>
        </w:rPr>
        <w:t>，支出决算为</w:t>
      </w:r>
      <w:r>
        <w:rPr>
          <w:rFonts w:hint="eastAsia" w:ascii="仿宋" w:hAnsi="仿宋" w:eastAsia="仿宋"/>
          <w:sz w:val="32"/>
          <w:szCs w:val="32"/>
          <w:highlight w:val="none"/>
          <w:lang w:val="en-US" w:eastAsia="zh-CN"/>
        </w:rPr>
        <w:t>3.17</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住房保障支出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3.17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3.17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住房保障支出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3.17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3.17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住房保障支出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r>
        <w:rPr>
          <w:rFonts w:hint="eastAsia" w:ascii="仿宋" w:hAnsi="仿宋" w:eastAsia="仿宋" w:cs="仿宋"/>
          <w:sz w:val="32"/>
          <w:szCs w:val="32"/>
          <w:highlight w:val="none"/>
          <w:lang w:eastAsia="zh-CN" w:bidi="ar"/>
        </w:rPr>
        <w:t>（五）城乡社区支出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bidi="ar"/>
        </w:rPr>
        <w:t>212</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38.55</w:t>
      </w:r>
      <w:r>
        <w:rPr>
          <w:rFonts w:hint="eastAsia" w:ascii="仿宋" w:hAnsi="仿宋" w:eastAsia="仿宋" w:cs="仿宋"/>
          <w:sz w:val="32"/>
          <w:szCs w:val="32"/>
          <w:highlight w:val="none"/>
        </w:rPr>
        <w:t>万元</w:t>
      </w:r>
      <w:r>
        <w:rPr>
          <w:rFonts w:hint="eastAsia" w:ascii="仿宋" w:hAnsi="仿宋" w:eastAsia="仿宋"/>
          <w:sz w:val="32"/>
          <w:szCs w:val="32"/>
          <w:highlight w:val="none"/>
        </w:rPr>
        <w:t>，支出决算为</w:t>
      </w:r>
      <w:r>
        <w:rPr>
          <w:rFonts w:hint="eastAsia" w:ascii="仿宋" w:hAnsi="仿宋" w:eastAsia="仿宋"/>
          <w:sz w:val="32"/>
          <w:szCs w:val="32"/>
          <w:highlight w:val="none"/>
          <w:lang w:val="en-US" w:eastAsia="zh-CN"/>
        </w:rPr>
        <w:t>38.55</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城乡社区支出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38.55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38.55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支付遗产地内步道建设</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38.55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支付遗产地内步道建设</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widowControl w:val="0"/>
        <w:numPr>
          <w:ilvl w:val="0"/>
          <w:numId w:val="0"/>
        </w:numPr>
        <w:suppressLineNumbers w:val="0"/>
        <w:spacing w:before="0" w:beforeAutospacing="0" w:after="0" w:afterAutospacing="0"/>
        <w:ind w:right="0" w:rightChars="0"/>
        <w:jc w:val="left"/>
        <w:rPr>
          <w:rFonts w:hint="eastAsia" w:eastAsia="仿宋"/>
          <w:color w:val="FF0000"/>
          <w:highlight w:val="none"/>
          <w:lang w:val="en-US" w:eastAsia="zh-CN"/>
        </w:rPr>
      </w:pPr>
      <w:r>
        <w:rPr>
          <w:rFonts w:hint="eastAsia" w:ascii="仿宋_GB2312" w:hAnsi="宋体" w:eastAsia="仿宋_GB2312" w:cs="仿宋_GB2312"/>
          <w:i w:val="0"/>
          <w:iCs w:val="0"/>
          <w:caps w:val="0"/>
          <w:color w:val="333333"/>
          <w:spacing w:val="0"/>
          <w:sz w:val="31"/>
          <w:szCs w:val="31"/>
          <w:shd w:val="clear" w:fill="FFFFFF"/>
          <w:lang w:eastAsia="zh-CN"/>
        </w:rPr>
        <w:t>（六）</w:t>
      </w:r>
      <w:r>
        <w:rPr>
          <w:rFonts w:ascii="仿宋_GB2312" w:hAnsi="宋体" w:eastAsia="仿宋_GB2312" w:cs="仿宋_GB2312"/>
          <w:i w:val="0"/>
          <w:iCs w:val="0"/>
          <w:caps w:val="0"/>
          <w:color w:val="333333"/>
          <w:spacing w:val="0"/>
          <w:sz w:val="31"/>
          <w:szCs w:val="31"/>
          <w:shd w:val="clear" w:fill="FFFFFF"/>
        </w:rPr>
        <w:t>其他支出</w:t>
      </w:r>
      <w:r>
        <w:rPr>
          <w:rFonts w:hint="eastAsia" w:ascii="仿宋_GB2312" w:hAnsi="宋体" w:eastAsia="仿宋_GB2312" w:cs="仿宋_GB2312"/>
          <w:i w:val="0"/>
          <w:iCs w:val="0"/>
          <w:caps w:val="0"/>
          <w:color w:val="333333"/>
          <w:spacing w:val="0"/>
          <w:sz w:val="31"/>
          <w:szCs w:val="31"/>
          <w:shd w:val="clear" w:fill="FFFFFF"/>
          <w:lang w:eastAsia="zh-CN"/>
        </w:rPr>
        <w:t>（</w:t>
      </w:r>
      <w:r>
        <w:rPr>
          <w:rFonts w:hint="eastAsia" w:ascii="仿宋_GB2312" w:hAnsi="宋体" w:eastAsia="仿宋_GB2312" w:cs="仿宋_GB2312"/>
          <w:i w:val="0"/>
          <w:iCs w:val="0"/>
          <w:caps w:val="0"/>
          <w:color w:val="333333"/>
          <w:spacing w:val="0"/>
          <w:sz w:val="31"/>
          <w:szCs w:val="31"/>
          <w:shd w:val="clear" w:fill="FFFFFF"/>
          <w:lang w:val="en-US" w:eastAsia="zh-CN"/>
        </w:rPr>
        <w:t>229类</w:t>
      </w:r>
      <w:r>
        <w:rPr>
          <w:rFonts w:hint="eastAsia" w:ascii="仿宋_GB2312" w:hAnsi="宋体" w:eastAsia="仿宋_GB2312" w:cs="仿宋_GB2312"/>
          <w:i w:val="0"/>
          <w:iCs w:val="0"/>
          <w:caps w:val="0"/>
          <w:color w:val="333333"/>
          <w:spacing w:val="0"/>
          <w:sz w:val="31"/>
          <w:szCs w:val="31"/>
          <w:shd w:val="clear" w:fill="FFFFFF"/>
          <w:lang w:eastAsia="zh-CN"/>
        </w:rPr>
        <w:t>）</w:t>
      </w:r>
      <w:r>
        <w:rPr>
          <w:rFonts w:hint="eastAsia" w:ascii="仿宋_GB2312" w:hAnsi="宋体" w:eastAsia="仿宋_GB2312" w:cs="仿宋_GB2312"/>
          <w:i w:val="0"/>
          <w:iCs w:val="0"/>
          <w:caps w:val="0"/>
          <w:color w:val="333333"/>
          <w:spacing w:val="0"/>
          <w:sz w:val="31"/>
          <w:szCs w:val="31"/>
          <w:shd w:val="clear" w:fill="FFFFFF"/>
          <w:lang w:val="en-US" w:eastAsia="zh-CN"/>
        </w:rPr>
        <w:t>6.5万元，</w:t>
      </w:r>
      <w:r>
        <w:rPr>
          <w:rFonts w:hint="eastAsia" w:ascii="仿宋" w:hAnsi="仿宋" w:eastAsia="仿宋"/>
          <w:sz w:val="32"/>
          <w:szCs w:val="32"/>
          <w:highlight w:val="none"/>
        </w:rPr>
        <w:t>支出决算为</w:t>
      </w:r>
      <w:r>
        <w:rPr>
          <w:rFonts w:hint="eastAsia" w:ascii="仿宋" w:hAnsi="仿宋" w:eastAsia="仿宋"/>
          <w:sz w:val="32"/>
          <w:szCs w:val="32"/>
          <w:highlight w:val="none"/>
          <w:lang w:val="en-US" w:eastAsia="zh-CN"/>
        </w:rPr>
        <w:t>6.5</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年终绩效考评奖支出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年终绩效考评奖支出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环江毛南族自治县世界自然遗产保护中心</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u w:color="auto"/>
          <w:lang w:val="en-US" w:eastAsia="zh-CN"/>
        </w:rPr>
        <w:t>97.36</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37.54</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项目</w:t>
      </w:r>
      <w:r>
        <w:rPr>
          <w:rFonts w:hint="default" w:ascii="仿宋_GB2312" w:hAnsi="微软雅黑" w:eastAsia="仿宋_GB2312" w:cs="仿宋_GB2312"/>
          <w:i w:val="0"/>
          <w:iCs w:val="0"/>
          <w:caps w:val="0"/>
          <w:color w:val="000000"/>
          <w:spacing w:val="0"/>
          <w:sz w:val="31"/>
          <w:szCs w:val="31"/>
          <w:highlight w:val="none"/>
          <w:shd w:val="clear" w:color="auto" w:fill="FFFFFF"/>
        </w:rPr>
        <w:t>支出</w:t>
      </w:r>
      <w:r>
        <w:rPr>
          <w:rFonts w:hint="eastAsia" w:ascii="仿宋" w:hAnsi="仿宋" w:eastAsia="仿宋" w:cs="仿宋"/>
          <w:sz w:val="32"/>
          <w:szCs w:val="32"/>
          <w:highlight w:val="none"/>
          <w:lang w:val="en-US" w:eastAsia="zh-CN"/>
        </w:rPr>
        <w:t>59.82</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36.28</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11.66万元，30102津贴补贴0.87万元，30103奖金10.39万元，30106伙食补助费0.6万元，30107绩效工资3.92万元，30108机关事业单位基本养老保险缴费3.84万元，30110职工基本医疗保险缴费1.56万元，30112其他社会保障缴费0.27万元，30113住房公积金3.17万元。</w:t>
      </w:r>
    </w:p>
    <w:p>
      <w:pPr>
        <w:jc w:val="center"/>
        <w:rPr>
          <w:rFonts w:hint="eastAsia" w:ascii="仿宋" w:hAnsi="仿宋" w:eastAsia="仿宋" w:cs="仿宋"/>
          <w:sz w:val="32"/>
          <w:szCs w:val="32"/>
          <w:highlight w:val="none"/>
        </w:rPr>
      </w:pPr>
      <w:r>
        <w:drawing>
          <wp:inline distT="0" distB="0" distL="114300" distR="114300">
            <wp:extent cx="4826000" cy="2743200"/>
            <wp:effectExtent l="4445" t="4445" r="825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1.26</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30201办公费0.02万元，30207邮电费0.02万元，30211差旅费0.7万元，30228工会费0.53万元。</w:t>
      </w:r>
    </w:p>
    <w:p>
      <w:pPr>
        <w:jc w:val="center"/>
        <w:rPr>
          <w:rFonts w:hint="eastAsia" w:ascii="仿宋" w:hAnsi="仿宋" w:eastAsia="仿宋" w:cs="仿宋"/>
          <w:sz w:val="32"/>
          <w:szCs w:val="32"/>
          <w:highlight w:val="none"/>
        </w:rPr>
      </w:pPr>
    </w:p>
    <w:p>
      <w:pPr>
        <w:jc w:val="both"/>
        <w:rPr>
          <w:rFonts w:hint="eastAsia" w:ascii="仿宋" w:hAnsi="仿宋" w:eastAsia="仿宋" w:cs="仿宋"/>
          <w:sz w:val="32"/>
          <w:szCs w:val="32"/>
          <w:highlight w:val="none"/>
        </w:rPr>
      </w:pPr>
      <w:r>
        <w:drawing>
          <wp:inline distT="0" distB="0" distL="114300" distR="114300">
            <wp:extent cx="4826000" cy="2743200"/>
            <wp:effectExtent l="4445" t="4445" r="82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ind w:firstLine="320" w:firstLineChars="100"/>
        <w:jc w:val="both"/>
        <w:rPr>
          <w:rFonts w:hint="default" w:ascii="仿宋" w:hAnsi="仿宋" w:eastAsia="仿宋_GB2312" w:cs="仿宋"/>
          <w:sz w:val="32"/>
          <w:szCs w:val="32"/>
          <w:highlight w:val="none"/>
          <w:lang w:val="en-US"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0</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主要原因：无。</w:t>
      </w:r>
    </w:p>
    <w:p>
      <w:pPr>
        <w:keepNext w:val="0"/>
        <w:keepLines w:val="0"/>
        <w:widowControl w:val="0"/>
        <w:numPr>
          <w:numId w:val="0"/>
        </w:numPr>
        <w:suppressLineNumbers w:val="0"/>
        <w:spacing w:before="0" w:beforeAutospacing="0" w:after="0" w:afterAutospacing="0"/>
        <w:ind w:right="0" w:rightChars="0" w:firstLine="320" w:firstLineChars="1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。主要原因：本单位无</w:t>
      </w:r>
      <w:r>
        <w:rPr>
          <w:rFonts w:hint="eastAsia" w:ascii="仿宋" w:hAnsi="仿宋" w:eastAsia="仿宋" w:cs="仿宋"/>
          <w:sz w:val="32"/>
          <w:szCs w:val="32"/>
          <w:highlight w:val="none"/>
        </w:rPr>
        <w:t>债务利息及费用支出</w:t>
      </w:r>
      <w:r>
        <w:rPr>
          <w:rFonts w:hint="eastAsia" w:ascii="仿宋" w:hAnsi="仿宋" w:eastAsia="仿宋" w:cs="仿宋"/>
          <w:sz w:val="32"/>
          <w:szCs w:val="32"/>
          <w:highlight w:val="none"/>
          <w:lang w:eastAsia="zh-CN"/>
        </w:rPr>
        <w:t>。</w:t>
      </w:r>
    </w:p>
    <w:p>
      <w:pPr>
        <w:ind w:firstLine="320" w:firstLineChars="1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。主要原因：本单位无</w:t>
      </w:r>
      <w:r>
        <w:rPr>
          <w:rFonts w:hint="eastAsia" w:ascii="仿宋" w:hAnsi="仿宋" w:eastAsia="仿宋" w:cs="仿宋"/>
          <w:sz w:val="32"/>
          <w:szCs w:val="32"/>
          <w:highlight w:val="none"/>
        </w:rPr>
        <w:t>资本性支出</w:t>
      </w:r>
      <w:r>
        <w:rPr>
          <w:rFonts w:hint="eastAsia" w:ascii="仿宋" w:hAnsi="仿宋" w:eastAsia="仿宋" w:cs="仿宋"/>
          <w:sz w:val="32"/>
          <w:szCs w:val="32"/>
          <w:highlight w:val="none"/>
          <w:lang w:eastAsia="zh-CN"/>
        </w:rPr>
        <w:t>。</w:t>
      </w:r>
    </w:p>
    <w:p>
      <w:pPr>
        <w:keepNext w:val="0"/>
        <w:keepLines w:val="0"/>
        <w:widowControl w:val="0"/>
        <w:numPr>
          <w:ilvl w:val="0"/>
          <w:numId w:val="0"/>
        </w:numPr>
        <w:suppressLineNumbers w:val="0"/>
        <w:spacing w:before="0" w:beforeAutospacing="0" w:after="0" w:afterAutospacing="0"/>
        <w:ind w:right="0" w:rightChars="0" w:firstLine="320" w:firstLineChars="1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。主要原因：本单位无</w:t>
      </w:r>
      <w:r>
        <w:rPr>
          <w:rFonts w:hint="eastAsia" w:ascii="仿宋" w:hAnsi="仿宋" w:eastAsia="仿宋" w:cs="仿宋"/>
          <w:sz w:val="32"/>
          <w:szCs w:val="32"/>
          <w:highlight w:val="none"/>
        </w:rPr>
        <w:t>其他支出</w:t>
      </w:r>
      <w:r>
        <w:rPr>
          <w:rFonts w:hint="eastAsia" w:ascii="仿宋" w:hAnsi="仿宋" w:eastAsia="仿宋" w:cs="仿宋"/>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环江毛南族自治县世界自然遗产保护中心</w:t>
      </w:r>
      <w:r>
        <w:rPr>
          <w:rFonts w:ascii="仿宋_GB2312" w:hAnsi="仿宋_GB2312" w:eastAsia="仿宋_GB2312" w:cs="仿宋_GB2312"/>
          <w:color w:val="000000" w:themeColor="text1"/>
          <w:sz w:val="32"/>
          <w:u w:color="auto"/>
          <w14:textFill>
            <w14:solidFill>
              <w14:schemeClr w14:val="tx1"/>
            </w14:solidFill>
          </w14:textFill>
        </w:rPr>
        <w:t>没有政府性基金收入，也没有政府性基金收入安排的支出</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bookmarkStart w:id="4" w:name="PO_part3A5B1C1DiffReason1"/>
      <w:r>
        <w:rPr>
          <w:rFonts w:hint="eastAsia" w:ascii="仿宋_GB2312" w:hAnsi="Times New Roman" w:eastAsia="仿宋_GB2312" w:cs="Times New Roman"/>
          <w:color w:val="000000" w:themeColor="text1"/>
          <w:sz w:val="32"/>
          <w:szCs w:val="32"/>
          <w:lang w:eastAsia="zh-CN"/>
          <w14:textFill>
            <w14:solidFill>
              <w14:schemeClr w14:val="tx1"/>
            </w14:solidFill>
          </w14:textFill>
        </w:rPr>
        <w:t>环江毛南族自治县世界自然遗产保护中心</w:t>
      </w:r>
      <w:r>
        <w:rPr>
          <w:rFonts w:ascii="仿宋_GB2312" w:hAnsi="仿宋_GB2312" w:eastAsia="仿宋_GB2312" w:cs="仿宋_GB2312"/>
          <w:color w:val="000000" w:themeColor="text1"/>
          <w:sz w:val="32"/>
          <w:u w:color="auto"/>
          <w14:textFill>
            <w14:solidFill>
              <w14:schemeClr w14:val="tx1"/>
            </w14:solidFill>
          </w14:textFill>
        </w:rPr>
        <w:t>没有国有资本经营预算收入，也没有国有资本经营预算收入</w:t>
      </w:r>
      <w:r>
        <w:rPr>
          <w:rFonts w:hint="eastAsia" w:ascii="仿宋_GB2312" w:hAnsi="Times New Roman" w:eastAsia="仿宋_GB2312" w:cs="Times New Roman"/>
          <w:color w:val="000000" w:themeColor="text1"/>
          <w:sz w:val="32"/>
          <w:szCs w:val="32"/>
          <w14:textFill>
            <w14:solidFill>
              <w14:schemeClr w14:val="tx1"/>
            </w14:solidFill>
          </w14:textFill>
        </w:rPr>
        <w:t>安排的支出。</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一）2022年度一般公共预算财政拨款安排的“三公”经费支出决算0万元，完成年初预算的0%。其中：因公出国（境）费支出决算0万元，完成年初预算的0 %；公务用车购置及运行费支出决算0万元，完成年初预算的0%；公务接待费支出决算 0万元，完成年初预算的0%。支出数未超出年初预算数主要原因是：认真贯彻落实中央“八项规定”精神和厉行节约要求，严控和压缩“三公”经费相关支出。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二）2022年度一般公共预算财政拨款安排的“三公”经费支出决算数较2021年决算数增加（减少）0万元，增长（下降）0%，主要原因是、本部门2021年度没有“三公”经费收支，也没有“三公”经费的支出，故无数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具体情况如下：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9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因公出国（境）费支出0万元，完成年初预算的0%，与上年一致，根据往年来看也无因公出国（境）费支出，故年初不做预算。全年使用财政拨款安排机关、所属单位出国团0个，参加其他单位组织的出国团0个，全年因公出国（境）团组共计0个，累计0人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2.公务用车购置及运行费支出0万元。其中：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公务用车购置支出0万元，完成年初预算的0%，比上年增减（减少）0万元，原因是本部门2022年度没有“三公”经费收支，也没有“三公”经费的支出，故无数据。购置了0辆公务用车.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公务用车运行支出 0万元，完成年初预算的0%，比上年增减（减少）0万元，2022年本单位开支财政拨款的公务用车保有量为0辆，全年运行费支出0万元，平均每辆0万元。2022年决算数较2021年决算数增加（减少）0万元，增长（下降）0%，主要原因是本部门2021年度没有“三公”经费收支，也没有“三公”经费的支出，故无数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3.公务接待费支出0万元，完成年初预算的0%， 比上年增减（减少） 0万元，原因是本部门2022年度没有“三公”经费收支，也没有“三公”经费的支出，故无数据。国内公务接待批次0 次，人次0 次，国（境）外公务接待批次0 次，人次 0次。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ind w:firstLine="640" w:firstLineChars="200"/>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20" w:firstLineChars="200"/>
        <w:jc w:val="left"/>
        <w:rPr>
          <w:rFonts w:hint="eastAsia" w:ascii="仿宋" w:hAnsi="仿宋" w:eastAsia="仿宋" w:cs="仿宋"/>
          <w:color w:val="000000" w:themeColor="text1"/>
          <w:sz w:val="32"/>
          <w:szCs w:val="32"/>
          <w:highlight w:val="none"/>
          <w:lang w:eastAsia="zh-CN"/>
          <w14:textFill>
            <w14:solidFill>
              <w14:schemeClr w14:val="tx1"/>
            </w14:solidFill>
          </w14:textFill>
        </w:rPr>
      </w:pPr>
      <w:r>
        <w:rPr>
          <w:rFonts w:ascii="仿宋_GB2312" w:hAnsi="宋体" w:eastAsia="仿宋_GB2312" w:cs="仿宋_GB2312"/>
          <w:i w:val="0"/>
          <w:iCs w:val="0"/>
          <w:caps w:val="0"/>
          <w:color w:val="333333"/>
          <w:spacing w:val="0"/>
          <w:sz w:val="31"/>
          <w:szCs w:val="31"/>
          <w:shd w:val="clear" w:fill="FFFFFF"/>
        </w:rPr>
        <w:t>本部门</w:t>
      </w:r>
      <w:r>
        <w:rPr>
          <w:rFonts w:hint="eastAsia" w:ascii="仿宋_GB2312" w:hAnsi="宋体" w:eastAsia="仿宋_GB2312" w:cs="仿宋_GB2312"/>
          <w:i w:val="0"/>
          <w:iCs w:val="0"/>
          <w:caps w:val="0"/>
          <w:color w:val="333333"/>
          <w:spacing w:val="0"/>
          <w:sz w:val="31"/>
          <w:szCs w:val="31"/>
          <w:shd w:val="clear" w:fill="FFFFFF"/>
        </w:rPr>
        <w:t>202</w:t>
      </w:r>
      <w:r>
        <w:rPr>
          <w:rFonts w:hint="eastAsia" w:ascii="仿宋_GB2312" w:hAnsi="宋体" w:eastAsia="仿宋_GB2312" w:cs="仿宋_GB2312"/>
          <w:i w:val="0"/>
          <w:iCs w:val="0"/>
          <w:caps w:val="0"/>
          <w:color w:val="333333"/>
          <w:spacing w:val="0"/>
          <w:sz w:val="31"/>
          <w:szCs w:val="31"/>
          <w:shd w:val="clear" w:fill="FFFFFF"/>
          <w:lang w:val="en-US" w:eastAsia="zh-CN"/>
        </w:rPr>
        <w:t>2</w:t>
      </w:r>
      <w:r>
        <w:rPr>
          <w:rFonts w:hint="eastAsia" w:ascii="仿宋_GB2312" w:hAnsi="宋体" w:eastAsia="仿宋_GB2312" w:cs="仿宋_GB2312"/>
          <w:i w:val="0"/>
          <w:iCs w:val="0"/>
          <w:caps w:val="0"/>
          <w:color w:val="333333"/>
          <w:spacing w:val="0"/>
          <w:sz w:val="31"/>
          <w:szCs w:val="31"/>
          <w:shd w:val="clear" w:fill="FFFFFF"/>
        </w:rPr>
        <w:t>年度机关运行经费支出0.75万元，比年初预算数增加（减少）0万元，增长（降低）0%，比上年决算数增加</w:t>
      </w:r>
      <w:r>
        <w:rPr>
          <w:rFonts w:hint="eastAsia" w:ascii="仿宋_GB2312" w:hAnsi="宋体" w:eastAsia="仿宋_GB2312" w:cs="仿宋_GB2312"/>
          <w:i w:val="0"/>
          <w:iCs w:val="0"/>
          <w:caps w:val="0"/>
          <w:color w:val="333333"/>
          <w:spacing w:val="0"/>
          <w:sz w:val="31"/>
          <w:szCs w:val="31"/>
          <w:shd w:val="clear" w:fill="FFFFFF"/>
          <w:lang w:val="en-US" w:eastAsia="zh-CN"/>
        </w:rPr>
        <w:t>0</w:t>
      </w:r>
      <w:r>
        <w:rPr>
          <w:rFonts w:hint="eastAsia" w:ascii="仿宋_GB2312" w:hAnsi="宋体" w:eastAsia="仿宋_GB2312" w:cs="仿宋_GB2312"/>
          <w:i w:val="0"/>
          <w:iCs w:val="0"/>
          <w:caps w:val="0"/>
          <w:color w:val="333333"/>
          <w:spacing w:val="0"/>
          <w:sz w:val="31"/>
          <w:szCs w:val="31"/>
          <w:shd w:val="clear" w:fill="FFFFFF"/>
        </w:rPr>
        <w:t>万元，增长</w:t>
      </w:r>
      <w:r>
        <w:rPr>
          <w:rFonts w:hint="eastAsia" w:ascii="仿宋_GB2312" w:hAnsi="宋体" w:eastAsia="仿宋_GB2312" w:cs="仿宋_GB2312"/>
          <w:i w:val="0"/>
          <w:iCs w:val="0"/>
          <w:caps w:val="0"/>
          <w:color w:val="333333"/>
          <w:spacing w:val="0"/>
          <w:sz w:val="31"/>
          <w:szCs w:val="31"/>
          <w:shd w:val="clear" w:fill="FFFFFF"/>
          <w:lang w:val="en-US" w:eastAsia="zh-CN"/>
        </w:rPr>
        <w:t>0</w:t>
      </w:r>
      <w:r>
        <w:rPr>
          <w:rFonts w:hint="eastAsia" w:ascii="仿宋_GB2312" w:hAnsi="宋体" w:eastAsia="仿宋_GB2312" w:cs="仿宋_GB2312"/>
          <w:i w:val="0"/>
          <w:iCs w:val="0"/>
          <w:caps w:val="0"/>
          <w:color w:val="333333"/>
          <w:spacing w:val="0"/>
          <w:sz w:val="31"/>
          <w:szCs w:val="31"/>
          <w:shd w:val="clear" w:fill="FFFFFF"/>
        </w:rPr>
        <w:t xml:space="preserve"> %。主要原因是</w:t>
      </w:r>
      <w:r>
        <w:rPr>
          <w:rFonts w:hint="eastAsia" w:ascii="仿宋_GB2312" w:hAnsi="宋体" w:eastAsia="仿宋_GB2312" w:cs="仿宋_GB2312"/>
          <w:i w:val="0"/>
          <w:iCs w:val="0"/>
          <w:caps w:val="0"/>
          <w:color w:val="333333"/>
          <w:spacing w:val="0"/>
          <w:sz w:val="31"/>
          <w:szCs w:val="31"/>
          <w:shd w:val="clear" w:fill="FFFFFF"/>
          <w:lang w:eastAsia="zh-CN"/>
        </w:rPr>
        <w:t>：</w:t>
      </w:r>
      <w:r>
        <w:rPr>
          <w:rFonts w:hint="eastAsia" w:ascii="仿宋" w:hAnsi="仿宋" w:eastAsia="仿宋" w:cs="仿宋"/>
          <w:color w:val="000000" w:themeColor="text1"/>
          <w:sz w:val="32"/>
          <w:szCs w:val="32"/>
          <w:highlight w:val="none"/>
          <w14:textFill>
            <w14:solidFill>
              <w14:schemeClr w14:val="tx1"/>
            </w14:solidFill>
          </w14:textFill>
        </w:rPr>
        <w:t>落实过紧日子要求</w:t>
      </w:r>
      <w:r>
        <w:rPr>
          <w:rFonts w:hint="eastAsia" w:ascii="仿宋" w:hAnsi="仿宋" w:eastAsia="仿宋" w:cs="仿宋"/>
          <w:color w:val="000000" w:themeColor="text1"/>
          <w:sz w:val="32"/>
          <w:szCs w:val="32"/>
          <w:highlight w:val="none"/>
          <w:lang w:eastAsia="zh-CN"/>
          <w14:textFill>
            <w14:solidFill>
              <w14:schemeClr w14:val="tx1"/>
            </w14:solidFill>
          </w14:textFill>
        </w:rPr>
        <w:t>做好计划使用资金。</w:t>
      </w:r>
    </w:p>
    <w:p>
      <w:pPr>
        <w:ind w:firstLine="640" w:firstLineChars="200"/>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20" w:firstLineChars="200"/>
        <w:jc w:val="left"/>
        <w:rPr>
          <w:rFonts w:hint="eastAsia" w:ascii="仿宋_GB2312" w:hAnsi="宋体" w:eastAsia="仿宋_GB2312" w:cs="仿宋_GB2312"/>
          <w:i w:val="0"/>
          <w:iCs w:val="0"/>
          <w:caps w:val="0"/>
          <w:color w:val="333333"/>
          <w:spacing w:val="0"/>
          <w:sz w:val="31"/>
          <w:szCs w:val="31"/>
          <w:shd w:val="clear" w:fill="FFFFFF"/>
        </w:rPr>
      </w:pPr>
      <w:r>
        <w:rPr>
          <w:rFonts w:ascii="仿宋_GB2312" w:hAnsi="宋体" w:eastAsia="仿宋_GB2312" w:cs="仿宋_GB2312"/>
          <w:i w:val="0"/>
          <w:iCs w:val="0"/>
          <w:caps w:val="0"/>
          <w:color w:val="333333"/>
          <w:spacing w:val="0"/>
          <w:sz w:val="31"/>
          <w:szCs w:val="31"/>
          <w:shd w:val="clear" w:fill="FFFFFF"/>
        </w:rPr>
        <w:t>202</w:t>
      </w:r>
      <w:r>
        <w:rPr>
          <w:rFonts w:hint="eastAsia" w:ascii="仿宋_GB2312" w:hAnsi="宋体" w:eastAsia="仿宋_GB2312" w:cs="仿宋_GB2312"/>
          <w:i w:val="0"/>
          <w:iCs w:val="0"/>
          <w:caps w:val="0"/>
          <w:color w:val="333333"/>
          <w:spacing w:val="0"/>
          <w:sz w:val="31"/>
          <w:szCs w:val="31"/>
          <w:shd w:val="clear" w:fill="FFFFFF"/>
          <w:lang w:val="en-US" w:eastAsia="zh-CN"/>
        </w:rPr>
        <w:t>2</w:t>
      </w:r>
      <w:r>
        <w:rPr>
          <w:rFonts w:ascii="仿宋_GB2312" w:hAnsi="宋体" w:eastAsia="仿宋_GB2312" w:cs="仿宋_GB2312"/>
          <w:i w:val="0"/>
          <w:iCs w:val="0"/>
          <w:caps w:val="0"/>
          <w:color w:val="333333"/>
          <w:spacing w:val="0"/>
          <w:sz w:val="31"/>
          <w:szCs w:val="31"/>
          <w:shd w:val="clear" w:fill="FFFFFF"/>
        </w:rPr>
        <w:t>年度本部门政府采购支出总额 0 万元，其中：政府采购货</w:t>
      </w:r>
      <w:r>
        <w:rPr>
          <w:rFonts w:hint="eastAsia" w:ascii="仿宋_GB2312" w:hAnsi="宋体" w:eastAsia="仿宋_GB2312" w:cs="仿宋_GB2312"/>
          <w:i w:val="0"/>
          <w:iCs w:val="0"/>
          <w:caps w:val="0"/>
          <w:color w:val="333333"/>
          <w:spacing w:val="0"/>
          <w:sz w:val="31"/>
          <w:szCs w:val="31"/>
          <w:shd w:val="clear" w:fill="FFFFFF"/>
        </w:rPr>
        <w:t>物支出0万元、政府采购工程支出 0万元、政府采购服务支出 0 万元。授予中小企业合同金额0 万元，占政府采购支出总额的 0 %，其中：授予小微企业合同金额0 万元，占政府采购支出总额的0 %。</w:t>
      </w:r>
    </w:p>
    <w:p>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20" w:firstLineChars="200"/>
        <w:jc w:val="left"/>
        <w:rPr>
          <w:rFonts w:hint="eastAsia" w:ascii="仿宋_GB2312" w:hAnsi="宋体" w:eastAsia="仿宋_GB2312" w:cs="仿宋_GB2312"/>
          <w:i w:val="0"/>
          <w:iCs w:val="0"/>
          <w:caps w:val="0"/>
          <w:color w:val="333333"/>
          <w:spacing w:val="0"/>
          <w:sz w:val="31"/>
          <w:szCs w:val="31"/>
          <w:shd w:val="clear" w:fill="FFFFFF"/>
        </w:rPr>
      </w:pPr>
      <w:r>
        <w:rPr>
          <w:rFonts w:ascii="仿宋_GB2312" w:hAnsi="宋体" w:eastAsia="仿宋_GB2312" w:cs="仿宋_GB2312"/>
          <w:i w:val="0"/>
          <w:iCs w:val="0"/>
          <w:caps w:val="0"/>
          <w:color w:val="333333"/>
          <w:spacing w:val="0"/>
          <w:sz w:val="31"/>
          <w:szCs w:val="31"/>
          <w:shd w:val="clear" w:fill="FFFFFF"/>
        </w:rPr>
        <w:t>截至</w:t>
      </w:r>
      <w:r>
        <w:rPr>
          <w:rFonts w:hint="eastAsia" w:ascii="仿宋_GB2312" w:hAnsi="宋体" w:eastAsia="仿宋_GB2312" w:cs="仿宋_GB2312"/>
          <w:i w:val="0"/>
          <w:iCs w:val="0"/>
          <w:caps w:val="0"/>
          <w:color w:val="333333"/>
          <w:spacing w:val="0"/>
          <w:sz w:val="31"/>
          <w:szCs w:val="31"/>
          <w:shd w:val="clear" w:fill="FFFFFF"/>
        </w:rPr>
        <w:t>202</w:t>
      </w:r>
      <w:r>
        <w:rPr>
          <w:rFonts w:hint="eastAsia" w:ascii="仿宋_GB2312" w:hAnsi="宋体" w:eastAsia="仿宋_GB2312" w:cs="仿宋_GB2312"/>
          <w:i w:val="0"/>
          <w:iCs w:val="0"/>
          <w:caps w:val="0"/>
          <w:color w:val="333333"/>
          <w:spacing w:val="0"/>
          <w:sz w:val="31"/>
          <w:szCs w:val="31"/>
          <w:shd w:val="clear" w:fill="FFFFFF"/>
          <w:lang w:val="en-US" w:eastAsia="zh-CN"/>
        </w:rPr>
        <w:t>2</w:t>
      </w:r>
      <w:r>
        <w:rPr>
          <w:rFonts w:hint="eastAsia" w:ascii="仿宋_GB2312" w:hAnsi="宋体" w:eastAsia="仿宋_GB2312" w:cs="仿宋_GB2312"/>
          <w:i w:val="0"/>
          <w:iCs w:val="0"/>
          <w:caps w:val="0"/>
          <w:color w:val="333333"/>
          <w:spacing w:val="0"/>
          <w:sz w:val="31"/>
          <w:szCs w:val="31"/>
          <w:shd w:val="clear" w:fill="FFFFFF"/>
        </w:rPr>
        <w:t>年12月31日，本部门共有车辆0辆，其中：副部（省）级领导干部用车0辆、机要通信用车0辆、应急保障用车0辆、执法执勤用车0辆、特种专业技术用车0辆、其他用车0辆。单位价值50万元以上通用设备。台（套）；单位价值100万元以上专用设备</w:t>
      </w:r>
      <w:r>
        <w:rPr>
          <w:rFonts w:hint="eastAsia" w:ascii="仿宋_GB2312" w:hAnsi="宋体" w:eastAsia="仿宋_GB2312" w:cs="仿宋_GB2312"/>
          <w:i w:val="0"/>
          <w:iCs w:val="0"/>
          <w:caps w:val="0"/>
          <w:color w:val="333333"/>
          <w:spacing w:val="0"/>
          <w:sz w:val="31"/>
          <w:szCs w:val="31"/>
          <w:shd w:val="clear" w:fill="FFFFFF"/>
          <w:lang w:val="en-US" w:eastAsia="zh-CN"/>
        </w:rPr>
        <w:t>0</w:t>
      </w:r>
      <w:r>
        <w:rPr>
          <w:rFonts w:hint="eastAsia" w:ascii="仿宋_GB2312" w:hAnsi="宋体" w:eastAsia="仿宋_GB2312" w:cs="仿宋_GB2312"/>
          <w:i w:val="0"/>
          <w:iCs w:val="0"/>
          <w:caps w:val="0"/>
          <w:color w:val="333333"/>
          <w:spacing w:val="0"/>
          <w:sz w:val="31"/>
          <w:szCs w:val="31"/>
          <w:shd w:val="clear" w:fill="FFFFFF"/>
        </w:rPr>
        <w:t>台（套）</w:t>
      </w:r>
    </w:p>
    <w:p>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56.43</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58</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91.735</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eastAsia="zh-CN"/>
          <w14:textFill>
            <w14:solidFill>
              <w14:schemeClr w14:val="tx1"/>
            </w14:solidFill>
          </w14:textFill>
        </w:rPr>
        <w:t>该项目在实施过程中严格按照年初预算绩效进行，产出指标、效益指标、满意度指标等均达到预期指标值。</w:t>
      </w: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91.735</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eastAsia="zh-CN"/>
          <w14:textFill>
            <w14:solidFill>
              <w14:schemeClr w14:val="tx1"/>
            </w14:solidFill>
          </w14:textFill>
        </w:rPr>
        <w:t>该项目在实施过程中严格按照年初预算绩效进行，产出指标、效益指标、满意度指标等均达到预期指标值。</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2022年中国南方喀斯特集中办公年费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奖励性补贴</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遗产保护宣传经费项目自评得分</w:t>
      </w:r>
      <w:r>
        <w:rPr>
          <w:rFonts w:hint="eastAsia" w:ascii="仿宋" w:hAnsi="仿宋" w:eastAsia="仿宋" w:cs="仿宋"/>
          <w:color w:val="000000" w:themeColor="text1"/>
          <w:sz w:val="32"/>
          <w:szCs w:val="32"/>
          <w:lang w:val="en-US" w:eastAsia="zh-CN"/>
          <w14:textFill>
            <w14:solidFill>
              <w14:schemeClr w14:val="tx1"/>
            </w14:solidFill>
          </w14:textFill>
        </w:rPr>
        <w:t>100分，日常业务工作经费项目自评得分99.95分。</w:t>
      </w:r>
      <w:r>
        <w:rPr>
          <w:rFonts w:hint="eastAsia" w:ascii="仿宋" w:hAnsi="仿宋" w:eastAsia="仿宋" w:cs="仿宋"/>
          <w:color w:val="000000" w:themeColor="text1"/>
          <w:sz w:val="32"/>
          <w:szCs w:val="32"/>
          <w14:textFill>
            <w14:solidFill>
              <w14:schemeClr w14:val="tx1"/>
            </w14:solidFill>
          </w14:textFill>
        </w:rPr>
        <w:t>发现的主要问题及原因：</w:t>
      </w: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 资金使用方面的问题</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因县财政</w:t>
      </w:r>
      <w:r>
        <w:rPr>
          <w:rFonts w:hint="eastAsia" w:ascii="仿宋" w:hAnsi="仿宋" w:eastAsia="仿宋" w:cs="仿宋"/>
          <w:color w:val="000000" w:themeColor="text1"/>
          <w:sz w:val="32"/>
          <w:szCs w:val="32"/>
          <w:lang w:eastAsia="zh-CN"/>
          <w14:textFill>
            <w14:solidFill>
              <w14:schemeClr w14:val="tx1"/>
            </w14:solidFill>
          </w14:textFill>
        </w:rPr>
        <w:t>资金困难</w:t>
      </w:r>
      <w:r>
        <w:rPr>
          <w:rFonts w:hint="eastAsia" w:ascii="仿宋" w:hAnsi="仿宋" w:eastAsia="仿宋" w:cs="仿宋"/>
          <w:color w:val="000000" w:themeColor="text1"/>
          <w:sz w:val="32"/>
          <w:szCs w:val="32"/>
          <w14:textFill>
            <w14:solidFill>
              <w14:schemeClr w14:val="tx1"/>
            </w14:solidFill>
          </w14:textFill>
        </w:rPr>
        <w:t>，导致资金到位较慢，使用率较低。</w:t>
      </w: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2.项目绩效方面的问题</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绩效设置不能充分体现整年工作，可以再精细些</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3.预算编制方面的问题</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预算编制不够明确和细化，预算编制的合理性需要提预算执行力度还要进一步加强。</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是认真做好预算的编制。严格按照预算编制的相关制度和要求全面编制预算项目，进一步提高预算编制的科学性、严谨性和可控性。二是加强财务管理。加强单位财务管理，健全单位财务管理制度体系，规范单位财务行为，严格财务审核，在费用报账支付时，按照预算规定的费用项目和用途进行资金使用审核，杜绝超支现象的发生。三是严格项目实施进度的跟踪，及时开展项目绩效评价，确保项目绩效目标完成。</w:t>
      </w:r>
    </w:p>
    <w:p>
      <w:pPr>
        <w:jc w:val="left"/>
        <w:rPr>
          <w:rFonts w:hint="eastAsia" w:ascii="仿宋" w:hAnsi="仿宋" w:eastAsia="仿宋" w:cs="仿宋"/>
          <w:color w:val="000000" w:themeColor="text1"/>
          <w:sz w:val="32"/>
          <w:szCs w:val="32"/>
          <w14:textFill>
            <w14:solidFill>
              <w14:schemeClr w14:val="tx1"/>
            </w14:solidFill>
          </w14:textFill>
        </w:rPr>
      </w:pPr>
    </w:p>
    <w:p>
      <w:pPr>
        <w:jc w:val="left"/>
        <w:rPr>
          <w:rFonts w:hint="eastAsia" w:ascii="仿宋" w:hAnsi="仿宋" w:eastAsia="仿宋" w:cs="仿宋"/>
          <w:color w:val="000000" w:themeColor="text1"/>
          <w:sz w:val="32"/>
          <w:szCs w:val="32"/>
          <w14:textFill>
            <w14:solidFill>
              <w14:schemeClr w14:val="tx1"/>
            </w14:solidFill>
          </w14:textFill>
        </w:rPr>
      </w:pPr>
    </w:p>
    <w:p>
      <w:pPr>
        <w:jc w:val="left"/>
        <w:rPr>
          <w:rFonts w:hint="eastAsia" w:ascii="仿宋" w:hAnsi="仿宋" w:eastAsia="仿宋" w:cs="仿宋"/>
          <w:color w:val="000000" w:themeColor="text1"/>
          <w:sz w:val="32"/>
          <w:szCs w:val="32"/>
          <w14:textFill>
            <w14:solidFill>
              <w14:schemeClr w14:val="tx1"/>
            </w14:solidFill>
          </w14:textFill>
        </w:rPr>
      </w:pPr>
    </w:p>
    <w:p>
      <w:pPr>
        <w:jc w:val="left"/>
        <w:rPr>
          <w:rFonts w:hint="eastAsia" w:ascii="仿宋" w:hAnsi="仿宋" w:eastAsia="仿宋" w:cs="仿宋"/>
          <w:color w:val="000000" w:themeColor="text1"/>
          <w:sz w:val="32"/>
          <w:szCs w:val="32"/>
          <w14:textFill>
            <w14:solidFill>
              <w14:schemeClr w14:val="tx1"/>
            </w14:solidFill>
          </w14:textFill>
        </w:rPr>
      </w:pPr>
    </w:p>
    <w:p>
      <w:pPr>
        <w:jc w:val="left"/>
        <w:rPr>
          <w:rFonts w:hint="eastAsia" w:ascii="仿宋" w:hAnsi="仿宋" w:eastAsia="仿宋" w:cs="仿宋"/>
          <w:color w:val="000000" w:themeColor="text1"/>
          <w:sz w:val="32"/>
          <w:szCs w:val="32"/>
          <w14:textFill>
            <w14:solidFill>
              <w14:schemeClr w14:val="tx1"/>
            </w14:solidFill>
          </w14:textFill>
        </w:rPr>
      </w:pPr>
    </w:p>
    <w:p>
      <w:pPr>
        <w:jc w:val="left"/>
        <w:rPr>
          <w:rFonts w:hint="eastAsia" w:ascii="仿宋" w:hAnsi="仿宋" w:eastAsia="仿宋" w:cs="仿宋"/>
          <w:color w:val="000000" w:themeColor="text1"/>
          <w:sz w:val="32"/>
          <w:szCs w:val="32"/>
          <w14:textFill>
            <w14:solidFill>
              <w14:schemeClr w14:val="tx1"/>
            </w14:solidFill>
          </w14:textFill>
        </w:rPr>
      </w:pPr>
    </w:p>
    <w:p>
      <w:pPr>
        <w:jc w:val="left"/>
        <w:rPr>
          <w:rFonts w:hint="eastAsia" w:ascii="仿宋" w:hAnsi="仿宋" w:eastAsia="仿宋" w:cs="仿宋"/>
          <w:color w:val="000000" w:themeColor="text1"/>
          <w:sz w:val="32"/>
          <w:szCs w:val="32"/>
          <w14:textFill>
            <w14:solidFill>
              <w14:schemeClr w14:val="tx1"/>
            </w14:solidFill>
          </w14:textFill>
        </w:rPr>
      </w:pPr>
    </w:p>
    <w:p>
      <w:pPr>
        <w:jc w:val="left"/>
        <w:rPr>
          <w:rFonts w:hint="eastAsia" w:ascii="仿宋" w:hAnsi="仿宋" w:eastAsia="仿宋" w:cs="仿宋"/>
          <w:color w:val="000000" w:themeColor="text1"/>
          <w:sz w:val="32"/>
          <w:szCs w:val="32"/>
          <w14:textFill>
            <w14:solidFill>
              <w14:schemeClr w14:val="tx1"/>
            </w14:solidFill>
          </w14:textFill>
        </w:rPr>
      </w:pPr>
    </w:p>
    <w:p>
      <w:pPr>
        <w:jc w:val="left"/>
        <w:rPr>
          <w:rFonts w:hint="eastAsia" w:ascii="仿宋" w:hAnsi="仿宋" w:eastAsia="仿宋" w:cs="仿宋"/>
          <w:color w:val="000000" w:themeColor="text1"/>
          <w:sz w:val="32"/>
          <w:szCs w:val="32"/>
          <w14:textFill>
            <w14:solidFill>
              <w14:schemeClr w14:val="tx1"/>
            </w14:solidFill>
          </w14:textFill>
        </w:rPr>
      </w:pPr>
    </w:p>
    <w:p>
      <w:pPr>
        <w:jc w:val="left"/>
        <w:rPr>
          <w:rFonts w:hint="eastAsia" w:ascii="仿宋" w:hAnsi="仿宋" w:eastAsia="仿宋" w:cs="仿宋"/>
          <w:color w:val="000000" w:themeColor="text1"/>
          <w:sz w:val="32"/>
          <w:szCs w:val="32"/>
          <w14:textFill>
            <w14:solidFill>
              <w14:schemeClr w14:val="tx1"/>
            </w14:solidFill>
          </w14:textFill>
        </w:rPr>
      </w:pPr>
    </w:p>
    <w:p>
      <w:pPr>
        <w:jc w:val="left"/>
        <w:rPr>
          <w:rFonts w:hint="eastAsia" w:ascii="仿宋" w:hAnsi="仿宋" w:eastAsia="仿宋" w:cs="仿宋"/>
          <w:color w:val="000000" w:themeColor="text1"/>
          <w:sz w:val="32"/>
          <w:szCs w:val="32"/>
          <w14:textFill>
            <w14:solidFill>
              <w14:schemeClr w14:val="tx1"/>
            </w14:solidFill>
          </w14:textFill>
        </w:rPr>
      </w:pPr>
    </w:p>
    <w:p>
      <w:pPr>
        <w:jc w:val="left"/>
        <w:rPr>
          <w:rFonts w:hint="eastAsia" w:ascii="仿宋" w:hAnsi="仿宋" w:eastAsia="仿宋" w:cs="仿宋"/>
          <w:color w:val="000000" w:themeColor="text1"/>
          <w:sz w:val="32"/>
          <w:szCs w:val="32"/>
          <w14:textFill>
            <w14:solidFill>
              <w14:schemeClr w14:val="tx1"/>
            </w14:solidFill>
          </w14:textFill>
        </w:rPr>
      </w:pPr>
    </w:p>
    <w:p>
      <w:pPr>
        <w:jc w:val="left"/>
        <w:rPr>
          <w:rFonts w:hint="eastAsia" w:ascii="仿宋" w:hAnsi="仿宋" w:eastAsia="仿宋" w:cs="仿宋"/>
          <w:color w:val="000000" w:themeColor="text1"/>
          <w:sz w:val="32"/>
          <w:szCs w:val="32"/>
          <w14:textFill>
            <w14:solidFill>
              <w14:schemeClr w14:val="tx1"/>
            </w14:solidFill>
          </w14:textFill>
        </w:rPr>
      </w:pPr>
    </w:p>
    <w:p>
      <w:pPr>
        <w:jc w:val="left"/>
        <w:rPr>
          <w:rFonts w:hint="eastAsia" w:ascii="仿宋" w:hAnsi="仿宋" w:eastAsia="仿宋" w:cs="仿宋"/>
          <w:color w:val="000000" w:themeColor="text1"/>
          <w:sz w:val="32"/>
          <w:szCs w:val="32"/>
          <w14:textFill>
            <w14:solidFill>
              <w14:schemeClr w14:val="tx1"/>
            </w14:solidFill>
          </w14:textFill>
        </w:rPr>
      </w:pPr>
    </w:p>
    <w:p>
      <w:pPr>
        <w:jc w:val="left"/>
        <w:rPr>
          <w:rFonts w:hint="eastAsia" w:ascii="仿宋" w:hAnsi="仿宋" w:eastAsia="仿宋" w:cs="仿宋"/>
          <w:color w:val="000000" w:themeColor="text1"/>
          <w:sz w:val="32"/>
          <w:szCs w:val="32"/>
          <w14:textFill>
            <w14:solidFill>
              <w14:schemeClr w14:val="tx1"/>
            </w14:solidFill>
          </w14:textFill>
        </w:rPr>
      </w:pPr>
    </w:p>
    <w:p>
      <w:pPr>
        <w:jc w:val="left"/>
        <w:rPr>
          <w:rFonts w:hint="eastAsia" w:ascii="仿宋" w:hAnsi="仿宋" w:eastAsia="仿宋" w:cs="仿宋"/>
          <w:color w:val="000000" w:themeColor="text1"/>
          <w:sz w:val="32"/>
          <w:szCs w:val="32"/>
          <w14:textFill>
            <w14:solidFill>
              <w14:schemeClr w14:val="tx1"/>
            </w14:solidFill>
          </w14:textFill>
        </w:rPr>
      </w:pPr>
    </w:p>
    <w:p>
      <w:pPr>
        <w:jc w:val="left"/>
        <w:rPr>
          <w:rFonts w:hint="eastAsia" w:ascii="仿宋" w:hAnsi="仿宋" w:eastAsia="仿宋" w:cs="仿宋"/>
          <w:color w:val="000000" w:themeColor="text1"/>
          <w:sz w:val="32"/>
          <w:szCs w:val="32"/>
          <w14:textFill>
            <w14:solidFill>
              <w14:schemeClr w14:val="tx1"/>
            </w14:solidFill>
          </w14:textFill>
        </w:rPr>
      </w:pPr>
    </w:p>
    <w:p>
      <w:pPr>
        <w:jc w:val="left"/>
        <w:rPr>
          <w:rFonts w:hint="eastAsia" w:ascii="仿宋" w:hAnsi="仿宋" w:eastAsia="仿宋" w:cs="仿宋"/>
          <w:color w:val="000000" w:themeColor="text1"/>
          <w:sz w:val="32"/>
          <w:szCs w:val="32"/>
          <w14:textFill>
            <w14:solidFill>
              <w14:schemeClr w14:val="tx1"/>
            </w14:solidFill>
          </w14:textFill>
        </w:rPr>
      </w:pPr>
    </w:p>
    <w:p>
      <w:pPr>
        <w:jc w:val="left"/>
        <w:rPr>
          <w:rFonts w:hint="eastAsia" w:ascii="仿宋" w:hAnsi="仿宋" w:eastAsia="仿宋" w:cs="仿宋"/>
          <w:color w:val="000000" w:themeColor="text1"/>
          <w:sz w:val="32"/>
          <w:szCs w:val="32"/>
          <w14:textFill>
            <w14:solidFill>
              <w14:schemeClr w14:val="tx1"/>
            </w14:solidFill>
          </w14:textFill>
        </w:rPr>
      </w:pPr>
    </w:p>
    <w:p>
      <w:pPr>
        <w:jc w:val="left"/>
        <w:rPr>
          <w:rFonts w:hint="eastAsia" w:ascii="仿宋" w:hAnsi="仿宋" w:eastAsia="仿宋" w:cs="仿宋"/>
          <w:color w:val="000000" w:themeColor="text1"/>
          <w:sz w:val="32"/>
          <w:szCs w:val="32"/>
          <w14:textFill>
            <w14:solidFill>
              <w14:schemeClr w14:val="tx1"/>
            </w14:solidFill>
          </w14:textFill>
        </w:rPr>
      </w:pPr>
    </w:p>
    <w:p>
      <w:pPr>
        <w:jc w:val="left"/>
        <w:rPr>
          <w:rFonts w:hint="eastAsia" w:ascii="仿宋" w:hAnsi="仿宋" w:eastAsia="仿宋" w:cs="仿宋"/>
          <w:color w:val="000000" w:themeColor="text1"/>
          <w:sz w:val="32"/>
          <w:szCs w:val="32"/>
          <w14:textFill>
            <w14:solidFill>
              <w14:schemeClr w14:val="tx1"/>
            </w14:solidFill>
          </w14:textFill>
        </w:rPr>
      </w:pPr>
    </w:p>
    <w:p>
      <w:pPr>
        <w:jc w:val="left"/>
        <w:rPr>
          <w:rFonts w:hint="eastAsia" w:ascii="仿宋" w:hAnsi="仿宋" w:eastAsia="仿宋" w:cs="仿宋"/>
          <w:color w:val="000000" w:themeColor="text1"/>
          <w:sz w:val="32"/>
          <w:szCs w:val="32"/>
          <w14:textFill>
            <w14:solidFill>
              <w14:schemeClr w14:val="tx1"/>
            </w14:solidFill>
          </w14:textFill>
        </w:rPr>
      </w:pPr>
    </w:p>
    <w:p>
      <w:pPr>
        <w:jc w:val="left"/>
        <w:rPr>
          <w:rFonts w:hint="eastAsia" w:ascii="仿宋" w:hAnsi="仿宋" w:eastAsia="仿宋" w:cs="仿宋"/>
          <w:color w:val="000000" w:themeColor="text1"/>
          <w:sz w:val="32"/>
          <w:szCs w:val="32"/>
          <w14:textFill>
            <w14:solidFill>
              <w14:schemeClr w14:val="tx1"/>
            </w14:solidFill>
          </w14:textFill>
        </w:rPr>
      </w:pPr>
    </w:p>
    <w:p>
      <w:pPr>
        <w:jc w:val="left"/>
        <w:rPr>
          <w:rFonts w:hint="eastAsia" w:ascii="仿宋" w:hAnsi="仿宋" w:eastAsia="仿宋" w:cs="仿宋"/>
          <w:color w:val="000000" w:themeColor="text1"/>
          <w:sz w:val="32"/>
          <w:szCs w:val="32"/>
          <w14:textFill>
            <w14:solidFill>
              <w14:schemeClr w14:val="tx1"/>
            </w14:solidFill>
          </w14:textFill>
        </w:rPr>
      </w:pPr>
    </w:p>
    <w:tbl>
      <w:tblPr>
        <w:tblStyle w:val="6"/>
        <w:tblW w:w="48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8"/>
        <w:gridCol w:w="829"/>
        <w:gridCol w:w="829"/>
        <w:gridCol w:w="661"/>
        <w:gridCol w:w="1151"/>
        <w:gridCol w:w="1697"/>
        <w:gridCol w:w="868"/>
        <w:gridCol w:w="1140"/>
        <w:gridCol w:w="889"/>
        <w:gridCol w:w="855"/>
        <w:gridCol w:w="9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Style w:val="13"/>
                <w:sz w:val="15"/>
                <w:szCs w:val="15"/>
                <w:lang w:val="en-US" w:eastAsia="zh-CN" w:bidi="ar"/>
              </w:rPr>
              <w:t>2022年度部门整体绩效自评表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部门名称</w:t>
            </w:r>
          </w:p>
        </w:tc>
        <w:tc>
          <w:tcPr>
            <w:tcW w:w="242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Style w:val="14"/>
                <w:sz w:val="15"/>
                <w:szCs w:val="15"/>
                <w:lang w:val="en-US" w:eastAsia="zh-CN" w:bidi="ar"/>
              </w:rPr>
              <w:t>环江毛南族自治县世界自然遗产保护中心</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部门编码</w:t>
            </w:r>
          </w:p>
        </w:tc>
        <w:tc>
          <w:tcPr>
            <w:tcW w:w="179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Style w:val="14"/>
                <w:sz w:val="15"/>
                <w:szCs w:val="15"/>
                <w:lang w:val="en-US" w:eastAsia="zh-CN" w:bidi="ar"/>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部门预算安排资金</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（万元）</w:t>
            </w:r>
          </w:p>
        </w:tc>
        <w:tc>
          <w:tcPr>
            <w:tcW w:w="10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资金来源</w:t>
            </w:r>
          </w:p>
        </w:tc>
        <w:tc>
          <w:tcPr>
            <w:tcW w:w="1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年初预算数</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年中预算调整数</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调整后预算数</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实际支出数</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10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合计</w:t>
            </w:r>
          </w:p>
        </w:tc>
        <w:tc>
          <w:tcPr>
            <w:tcW w:w="1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34.587</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57.182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91.769</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91.735</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10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其中：一般公共预算拨款</w:t>
            </w:r>
          </w:p>
        </w:tc>
        <w:tc>
          <w:tcPr>
            <w:tcW w:w="1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34.587</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57.182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91.769</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91.735</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10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政府性基金</w:t>
            </w:r>
          </w:p>
        </w:tc>
        <w:tc>
          <w:tcPr>
            <w:tcW w:w="1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10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国有资本经营预算</w:t>
            </w:r>
          </w:p>
        </w:tc>
        <w:tc>
          <w:tcPr>
            <w:tcW w:w="1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10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其他资金</w:t>
            </w:r>
          </w:p>
        </w:tc>
        <w:tc>
          <w:tcPr>
            <w:tcW w:w="1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部门职能概述（逐条填写，每条控制在150字以内。）</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组织世界自然遗产的科学普及和宣传教育培训，倡导生态文明，提高公众的世界自然遗产保护意识。提高管理服务水平，有计划地引进管理技术和人才，推进世界自然遗产的资源价值研究、资源展示和科教宣传；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负责协调做好环江喀斯特世界自然遗产保护范围内资源的保护、监测、调查、评估和登记工作；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组织实施环江喀斯特世界自然遗产保护管理规划，制定并实施环江喀斯特世界自然遗产的具体保护管理制度；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法律法规规定的其他职责；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加强与其他世界自然遗产管理机构和国际组织的交流合作，构建国际国内专家咨询网络，推介环江喀斯特世界自然遗产资源价值；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建立健全安全保障制度，加强安全管理；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.承办自治县人民政府交办的其他事项。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8"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部门整体支出年度绩效目标（逐条填写，和部门职能对应）</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做好世界自然遗产保护知识的宣传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7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自评得分（满分100分）</w:t>
            </w:r>
          </w:p>
        </w:tc>
        <w:tc>
          <w:tcPr>
            <w:tcW w:w="12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12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预算执行（10分）</w:t>
            </w:r>
          </w:p>
        </w:tc>
        <w:tc>
          <w:tcPr>
            <w:tcW w:w="179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4" w:hRule="atLeast"/>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部门整体支出年度绩效目标衡量指标</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一级指标</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二级指标</w:t>
            </w:r>
          </w:p>
        </w:tc>
        <w:tc>
          <w:tcPr>
            <w:tcW w:w="8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指标内容</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等线" w:eastAsia="仿宋_GB2312" w:cs="仿宋_GB2312"/>
                <w:b/>
                <w:bCs/>
                <w:i w:val="0"/>
                <w:iCs w:val="0"/>
                <w:color w:val="000000"/>
                <w:sz w:val="15"/>
                <w:szCs w:val="15"/>
                <w:u w:val="none"/>
              </w:rPr>
            </w:pPr>
            <w:r>
              <w:rPr>
                <w:rFonts w:hint="eastAsia" w:ascii="仿宋_GB2312" w:hAnsi="等线" w:eastAsia="仿宋_GB2312" w:cs="仿宋_GB2312"/>
                <w:b/>
                <w:bCs/>
                <w:i w:val="0"/>
                <w:iCs w:val="0"/>
                <w:color w:val="000000"/>
                <w:kern w:val="0"/>
                <w:sz w:val="15"/>
                <w:szCs w:val="15"/>
                <w:u w:val="none"/>
                <w:lang w:val="en-US" w:eastAsia="zh-CN" w:bidi="ar"/>
              </w:rPr>
              <w:t>指标值</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等线" w:eastAsia="仿宋_GB2312" w:cs="仿宋_GB2312"/>
                <w:b/>
                <w:bCs/>
                <w:i w:val="0"/>
                <w:iCs w:val="0"/>
                <w:color w:val="000000"/>
                <w:sz w:val="15"/>
                <w:szCs w:val="15"/>
                <w:u w:val="none"/>
              </w:rPr>
            </w:pPr>
            <w:r>
              <w:rPr>
                <w:rFonts w:hint="eastAsia" w:ascii="仿宋_GB2312" w:hAnsi="等线" w:eastAsia="仿宋_GB2312" w:cs="仿宋_GB2312"/>
                <w:b/>
                <w:bCs/>
                <w:i w:val="0"/>
                <w:iCs w:val="0"/>
                <w:color w:val="000000"/>
                <w:kern w:val="0"/>
                <w:sz w:val="15"/>
                <w:szCs w:val="15"/>
                <w:u w:val="none"/>
                <w:lang w:val="en-US" w:eastAsia="zh-CN" w:bidi="ar"/>
              </w:rPr>
              <w:t>分值</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等线" w:eastAsia="仿宋_GB2312" w:cs="仿宋_GB2312"/>
                <w:b/>
                <w:bCs/>
                <w:i w:val="0"/>
                <w:iCs w:val="0"/>
                <w:color w:val="000000"/>
                <w:sz w:val="15"/>
                <w:szCs w:val="15"/>
                <w:u w:val="none"/>
              </w:rPr>
            </w:pPr>
            <w:r>
              <w:rPr>
                <w:rFonts w:hint="eastAsia" w:ascii="仿宋_GB2312" w:hAnsi="等线" w:eastAsia="仿宋_GB2312" w:cs="仿宋_GB2312"/>
                <w:b/>
                <w:bCs/>
                <w:i w:val="0"/>
                <w:iCs w:val="0"/>
                <w:color w:val="000000"/>
                <w:kern w:val="0"/>
                <w:sz w:val="15"/>
                <w:szCs w:val="15"/>
                <w:u w:val="none"/>
                <w:lang w:val="en-US" w:eastAsia="zh-CN" w:bidi="ar"/>
              </w:rPr>
              <w:t>实际完成值</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等线" w:eastAsia="仿宋_GB2312" w:cs="仿宋_GB2312"/>
                <w:b/>
                <w:bCs/>
                <w:i w:val="0"/>
                <w:iCs w:val="0"/>
                <w:color w:val="000000"/>
                <w:sz w:val="15"/>
                <w:szCs w:val="15"/>
                <w:u w:val="none"/>
              </w:rPr>
            </w:pPr>
            <w:r>
              <w:rPr>
                <w:rFonts w:hint="eastAsia" w:ascii="仿宋_GB2312" w:hAnsi="等线" w:eastAsia="仿宋_GB2312" w:cs="仿宋_GB2312"/>
                <w:b/>
                <w:bCs/>
                <w:i w:val="0"/>
                <w:iCs w:val="0"/>
                <w:color w:val="000000"/>
                <w:kern w:val="0"/>
                <w:sz w:val="15"/>
                <w:szCs w:val="15"/>
                <w:u w:val="none"/>
                <w:lang w:val="en-US" w:eastAsia="zh-CN" w:bidi="ar"/>
              </w:rPr>
              <w:t>指标得分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等线" w:eastAsia="仿宋_GB2312" w:cs="仿宋_GB2312"/>
                <w:b/>
                <w:bCs/>
                <w:i w:val="0"/>
                <w:iCs w:val="0"/>
                <w:color w:val="000000"/>
                <w:sz w:val="15"/>
                <w:szCs w:val="15"/>
                <w:u w:val="none"/>
              </w:rPr>
            </w:pPr>
            <w:r>
              <w:rPr>
                <w:rFonts w:hint="eastAsia" w:ascii="仿宋_GB2312" w:hAnsi="等线" w:eastAsia="仿宋_GB2312" w:cs="仿宋_GB2312"/>
                <w:b/>
                <w:bCs/>
                <w:i w:val="0"/>
                <w:iCs w:val="0"/>
                <w:color w:val="000000"/>
                <w:kern w:val="0"/>
                <w:sz w:val="15"/>
                <w:szCs w:val="15"/>
                <w:u w:val="none"/>
                <w:lang w:val="en-US" w:eastAsia="zh-CN" w:bidi="ar"/>
              </w:rPr>
              <w:t>完成情况简要描述</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等线" w:eastAsia="仿宋_GB2312" w:cs="仿宋_GB2312"/>
                <w:b/>
                <w:bCs/>
                <w:i w:val="0"/>
                <w:iCs w:val="0"/>
                <w:color w:val="000000"/>
                <w:sz w:val="15"/>
                <w:szCs w:val="15"/>
                <w:u w:val="none"/>
              </w:rPr>
            </w:pPr>
            <w:r>
              <w:rPr>
                <w:rFonts w:hint="eastAsia" w:ascii="仿宋_GB2312" w:hAnsi="等线" w:eastAsia="仿宋_GB2312" w:cs="仿宋_GB2312"/>
                <w:b/>
                <w:bCs/>
                <w:i w:val="0"/>
                <w:iCs w:val="0"/>
                <w:color w:val="000000"/>
                <w:kern w:val="0"/>
                <w:sz w:val="15"/>
                <w:szCs w:val="15"/>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产出指标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数量指标</w:t>
            </w:r>
          </w:p>
        </w:tc>
        <w:tc>
          <w:tcPr>
            <w:tcW w:w="8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保护遗知识产宣传</w:t>
            </w: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≥4次</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suppressLineNumbers w:val="0"/>
              <w:spacing w:before="0" w:beforeAutospacing="0" w:after="0" w:afterAutospacing="0"/>
              <w:ind w:left="0" w:right="0"/>
              <w:jc w:val="left"/>
              <w:rPr>
                <w:rFonts w:hint="default" w:ascii="等线" w:hAnsi="等线" w:eastAsia="等线" w:cs="等线"/>
                <w:i w:val="0"/>
                <w:iCs w:val="0"/>
                <w:color w:val="000000"/>
                <w:sz w:val="15"/>
                <w:szCs w:val="15"/>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default" w:ascii="等线" w:hAnsi="等线" w:eastAsia="等线" w:cs="等线"/>
                <w:i w:val="0"/>
                <w:iCs w:val="0"/>
                <w:color w:val="000000"/>
                <w:sz w:val="15"/>
                <w:szCs w:val="15"/>
                <w:u w:val="none"/>
              </w:rPr>
            </w:pPr>
            <w:r>
              <w:rPr>
                <w:rFonts w:hint="default" w:ascii="等线" w:hAnsi="等线" w:eastAsia="等线" w:cs="等线"/>
                <w:i w:val="0"/>
                <w:iCs w:val="0"/>
                <w:color w:val="000000"/>
                <w:kern w:val="0"/>
                <w:sz w:val="15"/>
                <w:szCs w:val="15"/>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5"/>
                <w:szCs w:val="15"/>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质量指标</w:t>
            </w:r>
          </w:p>
        </w:tc>
        <w:tc>
          <w:tcPr>
            <w:tcW w:w="8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资金拨付合规性</w:t>
            </w: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合理合规</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达成预期指标</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suppressLineNumbers w:val="0"/>
              <w:spacing w:before="0" w:beforeAutospacing="0" w:after="0" w:afterAutospacing="0"/>
              <w:ind w:left="0" w:right="0"/>
              <w:jc w:val="left"/>
              <w:rPr>
                <w:rFonts w:hint="default" w:ascii="等线" w:hAnsi="等线" w:eastAsia="等线" w:cs="等线"/>
                <w:i w:val="0"/>
                <w:iCs w:val="0"/>
                <w:color w:val="000000"/>
                <w:sz w:val="15"/>
                <w:szCs w:val="15"/>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default" w:ascii="等线" w:hAnsi="等线" w:eastAsia="等线" w:cs="等线"/>
                <w:i w:val="0"/>
                <w:iCs w:val="0"/>
                <w:color w:val="000000"/>
                <w:sz w:val="15"/>
                <w:szCs w:val="15"/>
                <w:u w:val="none"/>
              </w:rPr>
            </w:pPr>
            <w:r>
              <w:rPr>
                <w:rFonts w:hint="default" w:ascii="等线" w:hAnsi="等线" w:eastAsia="等线" w:cs="等线"/>
                <w:i w:val="0"/>
                <w:iCs w:val="0"/>
                <w:color w:val="000000"/>
                <w:kern w:val="0"/>
                <w:sz w:val="15"/>
                <w:szCs w:val="15"/>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5"/>
                <w:szCs w:val="15"/>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时效指标</w:t>
            </w:r>
          </w:p>
        </w:tc>
        <w:tc>
          <w:tcPr>
            <w:tcW w:w="8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资金支付时限</w:t>
            </w: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2022年12月31日前</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达成预期指标</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suppressLineNumbers w:val="0"/>
              <w:spacing w:before="0" w:beforeAutospacing="0" w:after="0" w:afterAutospacing="0"/>
              <w:ind w:left="0" w:right="0"/>
              <w:jc w:val="left"/>
              <w:rPr>
                <w:rFonts w:hint="default" w:ascii="等线" w:hAnsi="等线" w:eastAsia="等线" w:cs="等线"/>
                <w:i w:val="0"/>
                <w:iCs w:val="0"/>
                <w:color w:val="000000"/>
                <w:sz w:val="15"/>
                <w:szCs w:val="15"/>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default" w:ascii="等线" w:hAnsi="等线" w:eastAsia="等线" w:cs="等线"/>
                <w:i w:val="0"/>
                <w:iCs w:val="0"/>
                <w:color w:val="000000"/>
                <w:sz w:val="15"/>
                <w:szCs w:val="15"/>
                <w:u w:val="none"/>
              </w:rPr>
            </w:pPr>
            <w:r>
              <w:rPr>
                <w:rFonts w:hint="default" w:ascii="等线" w:hAnsi="等线" w:eastAsia="等线" w:cs="等线"/>
                <w:i w:val="0"/>
                <w:iCs w:val="0"/>
                <w:color w:val="000000"/>
                <w:kern w:val="0"/>
                <w:sz w:val="15"/>
                <w:szCs w:val="15"/>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5"/>
                <w:szCs w:val="15"/>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成本指标</w:t>
            </w:r>
          </w:p>
        </w:tc>
        <w:tc>
          <w:tcPr>
            <w:tcW w:w="8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控制在预算数内</w:t>
            </w: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≤50000元</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suppressLineNumbers w:val="0"/>
              <w:spacing w:before="0" w:beforeAutospacing="0" w:after="0" w:afterAutospacing="0"/>
              <w:ind w:left="0" w:right="0"/>
              <w:jc w:val="left"/>
              <w:rPr>
                <w:rFonts w:hint="default" w:ascii="等线" w:hAnsi="等线" w:eastAsia="等线" w:cs="等线"/>
                <w:i w:val="0"/>
                <w:iCs w:val="0"/>
                <w:color w:val="000000"/>
                <w:sz w:val="15"/>
                <w:szCs w:val="15"/>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default" w:ascii="等线" w:hAnsi="等线" w:eastAsia="等线" w:cs="等线"/>
                <w:i w:val="0"/>
                <w:iCs w:val="0"/>
                <w:color w:val="000000"/>
                <w:sz w:val="15"/>
                <w:szCs w:val="15"/>
                <w:u w:val="none"/>
              </w:rPr>
            </w:pPr>
            <w:r>
              <w:rPr>
                <w:rFonts w:hint="default" w:ascii="等线" w:hAnsi="等线" w:eastAsia="等线" w:cs="等线"/>
                <w:i w:val="0"/>
                <w:iCs w:val="0"/>
                <w:color w:val="000000"/>
                <w:kern w:val="0"/>
                <w:sz w:val="15"/>
                <w:szCs w:val="15"/>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效益指标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社会效益指标</w:t>
            </w:r>
          </w:p>
        </w:tc>
        <w:tc>
          <w:tcPr>
            <w:tcW w:w="8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全民知晓遗产保护知识</w:t>
            </w: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效果显著</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达成预期指标</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suppressLineNumbers w:val="0"/>
              <w:spacing w:before="0" w:beforeAutospacing="0" w:after="0" w:afterAutospacing="0"/>
              <w:ind w:left="0" w:right="0"/>
              <w:jc w:val="left"/>
              <w:rPr>
                <w:rFonts w:hint="default" w:ascii="等线" w:hAnsi="等线" w:eastAsia="等线" w:cs="等线"/>
                <w:i w:val="0"/>
                <w:iCs w:val="0"/>
                <w:color w:val="000000"/>
                <w:sz w:val="15"/>
                <w:szCs w:val="15"/>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default" w:ascii="等线" w:hAnsi="等线" w:eastAsia="等线" w:cs="等线"/>
                <w:i w:val="0"/>
                <w:iCs w:val="0"/>
                <w:color w:val="000000"/>
                <w:sz w:val="15"/>
                <w:szCs w:val="15"/>
                <w:u w:val="none"/>
              </w:rPr>
            </w:pPr>
            <w:r>
              <w:rPr>
                <w:rFonts w:hint="default" w:ascii="等线" w:hAnsi="等线" w:eastAsia="等线" w:cs="等线"/>
                <w:i w:val="0"/>
                <w:iCs w:val="0"/>
                <w:color w:val="000000"/>
                <w:kern w:val="0"/>
                <w:sz w:val="15"/>
                <w:szCs w:val="15"/>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满意度指标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满意度指标</w:t>
            </w:r>
          </w:p>
        </w:tc>
        <w:tc>
          <w:tcPr>
            <w:tcW w:w="8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满意度指标</w:t>
            </w:r>
          </w:p>
        </w:tc>
        <w:tc>
          <w:tcPr>
            <w:tcW w:w="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≥98%</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98</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suppressLineNumbers w:val="0"/>
              <w:spacing w:before="0" w:beforeAutospacing="0" w:after="0" w:afterAutospacing="0"/>
              <w:ind w:left="0" w:right="0"/>
              <w:jc w:val="left"/>
              <w:rPr>
                <w:rFonts w:hint="default" w:ascii="等线" w:hAnsi="等线" w:eastAsia="等线" w:cs="等线"/>
                <w:i w:val="0"/>
                <w:iCs w:val="0"/>
                <w:color w:val="000000"/>
                <w:sz w:val="15"/>
                <w:szCs w:val="15"/>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default" w:ascii="等线" w:hAnsi="等线" w:eastAsia="等线" w:cs="等线"/>
                <w:i w:val="0"/>
                <w:iCs w:val="0"/>
                <w:color w:val="000000"/>
                <w:sz w:val="15"/>
                <w:szCs w:val="15"/>
                <w:u w:val="none"/>
              </w:rPr>
            </w:pPr>
            <w:r>
              <w:rPr>
                <w:rFonts w:hint="default" w:ascii="等线" w:hAnsi="等线" w:eastAsia="等线" w:cs="等线"/>
                <w:i w:val="0"/>
                <w:iCs w:val="0"/>
                <w:color w:val="000000"/>
                <w:kern w:val="0"/>
                <w:sz w:val="15"/>
                <w:szCs w:val="15"/>
                <w:u w:val="none"/>
                <w:lang w:val="en-US" w:eastAsia="zh-CN" w:bidi="ar"/>
              </w:rPr>
              <w:t>已完成</w:t>
            </w:r>
          </w:p>
        </w:tc>
      </w:tr>
    </w:tbl>
    <w:p>
      <w:pPr>
        <w:jc w:val="left"/>
        <w:rPr>
          <w:rFonts w:hint="eastAsia" w:ascii="仿宋" w:hAnsi="仿宋" w:eastAsia="仿宋" w:cs="仿宋"/>
          <w:color w:val="000000" w:themeColor="text1"/>
          <w:sz w:val="32"/>
          <w:szCs w:val="32"/>
          <w14:textFill>
            <w14:solidFill>
              <w14:schemeClr w14:val="tx1"/>
            </w14:solidFill>
          </w14:textFill>
        </w:rPr>
      </w:pPr>
    </w:p>
    <w:p>
      <w:pPr>
        <w:jc w:val="left"/>
        <w:rPr>
          <w:rFonts w:hint="eastAsia" w:ascii="仿宋" w:hAnsi="仿宋" w:eastAsia="仿宋" w:cs="仿宋"/>
          <w:color w:val="000000" w:themeColor="text1"/>
          <w:sz w:val="32"/>
          <w:szCs w:val="32"/>
          <w14:textFill>
            <w14:solidFill>
              <w14:schemeClr w14:val="tx1"/>
            </w14:solidFill>
          </w14:textFill>
        </w:rPr>
      </w:pPr>
    </w:p>
    <w:p>
      <w:pPr>
        <w:jc w:val="left"/>
        <w:rPr>
          <w:rFonts w:hint="eastAsia" w:ascii="仿宋" w:hAnsi="仿宋" w:eastAsia="仿宋" w:cs="仿宋"/>
          <w:color w:val="000000" w:themeColor="text1"/>
          <w:sz w:val="32"/>
          <w:szCs w:val="32"/>
          <w14:textFill>
            <w14:solidFill>
              <w14:schemeClr w14:val="tx1"/>
            </w14:solidFill>
          </w14:textFill>
        </w:rPr>
      </w:pPr>
    </w:p>
    <w:p>
      <w:pPr>
        <w:jc w:val="left"/>
        <w:rPr>
          <w:rFonts w:hint="eastAsia" w:ascii="仿宋" w:hAnsi="仿宋" w:eastAsia="仿宋" w:cs="仿宋"/>
          <w:color w:val="000000" w:themeColor="text1"/>
          <w:sz w:val="32"/>
          <w:szCs w:val="32"/>
          <w14:textFill>
            <w14:solidFill>
              <w14:schemeClr w14:val="tx1"/>
            </w14:solidFill>
          </w14:textFill>
        </w:rPr>
      </w:pPr>
    </w:p>
    <w:tbl>
      <w:tblPr>
        <w:tblStyle w:val="6"/>
        <w:tblpPr w:leftFromText="180" w:rightFromText="180" w:vertAnchor="text" w:horzAnchor="page" w:tblpX="667" w:tblpY="439"/>
        <w:tblOverlap w:val="never"/>
        <w:tblW w:w="49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6"/>
        <w:gridCol w:w="801"/>
        <w:gridCol w:w="1976"/>
        <w:gridCol w:w="1016"/>
        <w:gridCol w:w="936"/>
        <w:gridCol w:w="1696"/>
        <w:gridCol w:w="668"/>
        <w:gridCol w:w="1176"/>
        <w:gridCol w:w="696"/>
        <w:gridCol w:w="563"/>
        <w:gridCol w:w="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2"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18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日常业务工作经费</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1866"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451226210415300004015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2" w:hRule="atLeast"/>
        </w:trPr>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项目实施单位</w:t>
            </w:r>
          </w:p>
        </w:tc>
        <w:tc>
          <w:tcPr>
            <w:tcW w:w="18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153001-环江毛南族自治县世界自然遗产保护中心</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1866"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153-环江毛南族自治县世界自然遗产保护中心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trPr>
        <w:tc>
          <w:tcPr>
            <w:tcW w:w="54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预算执行情况</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(万元)</w:t>
            </w:r>
          </w:p>
        </w:tc>
        <w:tc>
          <w:tcPr>
            <w:tcW w:w="13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资金来源</w:t>
            </w:r>
          </w:p>
        </w:tc>
        <w:tc>
          <w:tcPr>
            <w:tcW w:w="12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年初预算数</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年中预算调整数</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调整后预算数</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实际支出数</w:t>
            </w:r>
          </w:p>
        </w:tc>
        <w:tc>
          <w:tcPr>
            <w:tcW w:w="6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5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合计</w:t>
            </w:r>
          </w:p>
        </w:tc>
        <w:tc>
          <w:tcPr>
            <w:tcW w:w="12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6.3665</w:t>
            </w:r>
          </w:p>
        </w:tc>
        <w:tc>
          <w:tcPr>
            <w:tcW w:w="6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5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9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其中：一般公共预算拨款</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 上级</w:t>
            </w:r>
          </w:p>
        </w:tc>
        <w:tc>
          <w:tcPr>
            <w:tcW w:w="12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6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5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9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本级</w:t>
            </w:r>
          </w:p>
        </w:tc>
        <w:tc>
          <w:tcPr>
            <w:tcW w:w="12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6.3665</w:t>
            </w:r>
          </w:p>
        </w:tc>
        <w:tc>
          <w:tcPr>
            <w:tcW w:w="6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5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政府性基金</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2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6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5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国有资本经营预算</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2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6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5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2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6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财政拨款预算调整率（%）</w:t>
            </w:r>
          </w:p>
        </w:tc>
        <w:tc>
          <w:tcPr>
            <w:tcW w:w="13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2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调整原因说明</w:t>
            </w:r>
          </w:p>
        </w:tc>
        <w:tc>
          <w:tcPr>
            <w:tcW w:w="1866"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8" w:hRule="atLeast"/>
        </w:trPr>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项目概况（包括项目立项依据、可行性和必要性、支持范围、实施内容等）</w:t>
            </w:r>
          </w:p>
        </w:tc>
        <w:tc>
          <w:tcPr>
            <w:tcW w:w="4457"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日常业务工作经费，维持日常办公正常支出。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项目起始时间</w:t>
            </w:r>
          </w:p>
        </w:tc>
        <w:tc>
          <w:tcPr>
            <w:tcW w:w="18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项目终止时间</w:t>
            </w:r>
          </w:p>
        </w:tc>
        <w:tc>
          <w:tcPr>
            <w:tcW w:w="186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项目实施进度安排</w:t>
            </w:r>
          </w:p>
        </w:tc>
        <w:tc>
          <w:tcPr>
            <w:tcW w:w="4457"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年度绩效目标</w:t>
            </w:r>
          </w:p>
        </w:tc>
        <w:tc>
          <w:tcPr>
            <w:tcW w:w="4457"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2022年日常业务工作经费，维持日常办公正常支出。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145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自评得分（满分100分）</w:t>
            </w:r>
          </w:p>
        </w:tc>
        <w:tc>
          <w:tcPr>
            <w:tcW w:w="8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99.95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预算执行（10分）</w:t>
            </w:r>
          </w:p>
        </w:tc>
        <w:tc>
          <w:tcPr>
            <w:tcW w:w="186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trPr>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项目绩效目标衡量指标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一级指标</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二级指标</w:t>
            </w:r>
          </w:p>
        </w:tc>
        <w:tc>
          <w:tcPr>
            <w:tcW w:w="8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指标内容</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指标值</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分值</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实际完成值</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指标得分</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完成情况简要描述</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8"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9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8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办公用品</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≥10000元</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8"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9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办公耗材</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≤14000元</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14000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9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横幅、展板、宣传版</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≥20000元</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9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宣传资料印刷费</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≤20000元</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8"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8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经费保障效果</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维持单位日常办公</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8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支付限时</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2022年12月31日前</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8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成本总额</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≤64000元</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63644.77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8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办公环境的改善</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效果明显</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w:t>
            </w:r>
          </w:p>
        </w:tc>
        <w:tc>
          <w:tcPr>
            <w:tcW w:w="8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群众满意度</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bl>
    <w:p>
      <w:pPr>
        <w:jc w:val="left"/>
        <w:rPr>
          <w:rFonts w:hint="eastAsia" w:ascii="仿宋" w:hAnsi="仿宋" w:eastAsia="仿宋" w:cs="仿宋"/>
          <w:color w:val="000000" w:themeColor="text1"/>
          <w:sz w:val="32"/>
          <w:szCs w:val="32"/>
          <w14:textFill>
            <w14:solidFill>
              <w14:schemeClr w14:val="tx1"/>
            </w14:solidFill>
          </w14:textFill>
        </w:rPr>
      </w:pPr>
    </w:p>
    <w:p>
      <w:pPr>
        <w:jc w:val="left"/>
        <w:rPr>
          <w:rFonts w:hint="eastAsia" w:ascii="仿宋" w:hAnsi="仿宋" w:eastAsia="仿宋" w:cs="仿宋"/>
          <w:color w:val="000000" w:themeColor="text1"/>
          <w:sz w:val="32"/>
          <w:szCs w:val="32"/>
          <w14:textFill>
            <w14:solidFill>
              <w14:schemeClr w14:val="tx1"/>
            </w14:solidFill>
          </w14:textFill>
        </w:rPr>
      </w:pPr>
    </w:p>
    <w:tbl>
      <w:tblPr>
        <w:tblStyle w:val="6"/>
        <w:tblpPr w:leftFromText="180" w:rightFromText="180" w:vertAnchor="text" w:horzAnchor="page" w:tblpX="742" w:tblpY="457"/>
        <w:tblOverlap w:val="never"/>
        <w:tblW w:w="497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7"/>
        <w:gridCol w:w="799"/>
        <w:gridCol w:w="1976"/>
        <w:gridCol w:w="1016"/>
        <w:gridCol w:w="1027"/>
        <w:gridCol w:w="1696"/>
        <w:gridCol w:w="710"/>
        <w:gridCol w:w="1176"/>
        <w:gridCol w:w="620"/>
        <w:gridCol w:w="604"/>
        <w:gridCol w:w="9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18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遗产保护宣传经费</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184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451226210415300004073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项目实施单位</w:t>
            </w:r>
          </w:p>
        </w:tc>
        <w:tc>
          <w:tcPr>
            <w:tcW w:w="18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153001-环江毛南族自治县世界自然遗产保护中心</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184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153-环江毛南族自治县世界自然遗产保护中心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(万元)</w:t>
            </w:r>
          </w:p>
        </w:tc>
        <w:tc>
          <w:tcPr>
            <w:tcW w:w="1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资金来源</w:t>
            </w:r>
          </w:p>
        </w:tc>
        <w:tc>
          <w:tcPr>
            <w:tcW w:w="12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年初预算数</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年中预算调整数</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调整后预算数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实际支出数</w:t>
            </w:r>
          </w:p>
        </w:tc>
        <w:tc>
          <w:tcPr>
            <w:tcW w:w="7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合计</w:t>
            </w:r>
          </w:p>
        </w:tc>
        <w:tc>
          <w:tcPr>
            <w:tcW w:w="12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37.93</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37.93</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37.93</w:t>
            </w:r>
          </w:p>
        </w:tc>
        <w:tc>
          <w:tcPr>
            <w:tcW w:w="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其中：一般公共预算拨款</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 上级</w:t>
            </w:r>
          </w:p>
        </w:tc>
        <w:tc>
          <w:tcPr>
            <w:tcW w:w="12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本级</w:t>
            </w:r>
          </w:p>
        </w:tc>
        <w:tc>
          <w:tcPr>
            <w:tcW w:w="12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37.93</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37.93</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37.93</w:t>
            </w:r>
          </w:p>
        </w:tc>
        <w:tc>
          <w:tcPr>
            <w:tcW w:w="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政府性基金</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2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国有资本经营预算</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2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2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财政拨款预算调整率（%）</w:t>
            </w:r>
          </w:p>
        </w:tc>
        <w:tc>
          <w:tcPr>
            <w:tcW w:w="13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#DIV/0!</w:t>
            </w:r>
          </w:p>
        </w:tc>
        <w:tc>
          <w:tcPr>
            <w:tcW w:w="12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调整原因说明</w:t>
            </w:r>
          </w:p>
        </w:tc>
        <w:tc>
          <w:tcPr>
            <w:tcW w:w="184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项目概况（包括项目立项依据、可行性和必要性、支持范围、实施内容等）</w:t>
            </w:r>
          </w:p>
        </w:tc>
        <w:tc>
          <w:tcPr>
            <w:tcW w:w="4462"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每年的世界自然遗产保护日我单位都会有些遗产地保护宣传活动。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项目起始时间</w:t>
            </w:r>
          </w:p>
        </w:tc>
        <w:tc>
          <w:tcPr>
            <w:tcW w:w="18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2021</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项目终止时间</w:t>
            </w:r>
          </w:p>
        </w:tc>
        <w:tc>
          <w:tcPr>
            <w:tcW w:w="18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项目实施进度安排</w:t>
            </w:r>
          </w:p>
        </w:tc>
        <w:tc>
          <w:tcPr>
            <w:tcW w:w="4462"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年度绩效目标</w:t>
            </w:r>
          </w:p>
        </w:tc>
        <w:tc>
          <w:tcPr>
            <w:tcW w:w="4462"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完成2022年遗产宣传工作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自评得分（满分100分）</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100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预算执行（10分）</w:t>
            </w:r>
          </w:p>
        </w:tc>
        <w:tc>
          <w:tcPr>
            <w:tcW w:w="18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项目绩效目标衡量指标</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一级指标</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二级指标</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指标内容</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指标值</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分值</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实际完成值</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指标得分</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完成情况简要描述</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宣传活动4次</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≥4次</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宣传对象知晓率</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支付限时</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2022年12月31日前</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宣传资料制作经费</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≤50000元</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提高公众政策、知识、制度或宣传点的知晓率普及率</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bl>
    <w:p>
      <w:pPr>
        <w:jc w:val="center"/>
        <w:rPr>
          <w:rFonts w:hint="eastAsia" w:ascii="黑体" w:hAnsi="黑体" w:eastAsia="黑体" w:cs="黑体"/>
          <w:sz w:val="32"/>
          <w:szCs w:val="32"/>
          <w:highlight w:val="none"/>
        </w:rPr>
      </w:pPr>
    </w:p>
    <w:p>
      <w:pPr>
        <w:jc w:val="center"/>
        <w:rPr>
          <w:rFonts w:hint="eastAsia" w:ascii="黑体" w:hAnsi="黑体" w:eastAsia="黑体" w:cs="黑体"/>
          <w:sz w:val="13"/>
          <w:szCs w:val="13"/>
          <w:highlight w:val="none"/>
        </w:rPr>
      </w:pPr>
    </w:p>
    <w:p>
      <w:pPr>
        <w:jc w:val="center"/>
        <w:rPr>
          <w:rFonts w:hint="eastAsia" w:ascii="黑体" w:hAnsi="黑体" w:eastAsia="黑体" w:cs="黑体"/>
          <w:sz w:val="32"/>
          <w:szCs w:val="32"/>
          <w:highlight w:val="none"/>
        </w:rPr>
      </w:pPr>
    </w:p>
    <w:p>
      <w:pPr>
        <w:jc w:val="center"/>
        <w:rPr>
          <w:rFonts w:hint="eastAsia" w:ascii="黑体" w:hAnsi="黑体" w:eastAsia="黑体" w:cs="黑体"/>
          <w:sz w:val="16"/>
          <w:szCs w:val="16"/>
          <w:highlight w:val="none"/>
        </w:rPr>
      </w:pPr>
    </w:p>
    <w:tbl>
      <w:tblPr>
        <w:tblStyle w:val="6"/>
        <w:tblpPr w:leftFromText="180" w:rightFromText="180" w:vertAnchor="text" w:horzAnchor="page" w:tblpX="547" w:tblpY="589"/>
        <w:tblOverlap w:val="never"/>
        <w:tblW w:w="501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7"/>
        <w:gridCol w:w="799"/>
        <w:gridCol w:w="1979"/>
        <w:gridCol w:w="1016"/>
        <w:gridCol w:w="1049"/>
        <w:gridCol w:w="1697"/>
        <w:gridCol w:w="723"/>
        <w:gridCol w:w="1177"/>
        <w:gridCol w:w="628"/>
        <w:gridCol w:w="615"/>
        <w:gridCol w:w="9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18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2022年中国南方喀斯特集中办公年费</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186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451226210415300004896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项目实施单位</w:t>
            </w:r>
          </w:p>
        </w:tc>
        <w:tc>
          <w:tcPr>
            <w:tcW w:w="18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153001-环江毛南族自治县世界自然遗产保护中心</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186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153-环江毛南族自治县世界自然遗产保护中心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5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(万元)</w:t>
            </w:r>
          </w:p>
        </w:tc>
        <w:tc>
          <w:tcPr>
            <w:tcW w:w="13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资金来源</w:t>
            </w:r>
          </w:p>
        </w:tc>
        <w:tc>
          <w:tcPr>
            <w:tcW w:w="12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年初预算数</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年中预算调整数</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调整后预算数</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实际支出数</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2" w:hRule="atLeast"/>
        </w:trPr>
        <w:tc>
          <w:tcPr>
            <w:tcW w:w="5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合计</w:t>
            </w:r>
          </w:p>
        </w:tc>
        <w:tc>
          <w:tcPr>
            <w:tcW w:w="12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其中：一般公共预算拨款</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 上级</w:t>
            </w:r>
          </w:p>
        </w:tc>
        <w:tc>
          <w:tcPr>
            <w:tcW w:w="12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本级</w:t>
            </w:r>
          </w:p>
        </w:tc>
        <w:tc>
          <w:tcPr>
            <w:tcW w:w="12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5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政府性基金</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2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2" w:hRule="atLeast"/>
        </w:trPr>
        <w:tc>
          <w:tcPr>
            <w:tcW w:w="5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国有资本经营预算</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2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5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2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财政拨款预算调整率（%）</w:t>
            </w:r>
          </w:p>
        </w:tc>
        <w:tc>
          <w:tcPr>
            <w:tcW w:w="13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#DIV/0!</w:t>
            </w:r>
          </w:p>
        </w:tc>
        <w:tc>
          <w:tcPr>
            <w:tcW w:w="12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调整原因说明</w:t>
            </w:r>
          </w:p>
        </w:tc>
        <w:tc>
          <w:tcPr>
            <w:tcW w:w="186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2" w:hRule="atLeast"/>
        </w:trPr>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项目概况（包括项目立项依据、可行性和必要性、支持范围、实施内容等）</w:t>
            </w:r>
          </w:p>
        </w:tc>
        <w:tc>
          <w:tcPr>
            <w:tcW w:w="446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2022年中国南方喀斯特集中办公年费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0" w:hRule="atLeast"/>
        </w:trPr>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项目起始时间</w:t>
            </w:r>
          </w:p>
        </w:tc>
        <w:tc>
          <w:tcPr>
            <w:tcW w:w="18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项目终止时间</w:t>
            </w:r>
          </w:p>
        </w:tc>
        <w:tc>
          <w:tcPr>
            <w:tcW w:w="18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项目实施进度安排</w:t>
            </w:r>
          </w:p>
        </w:tc>
        <w:tc>
          <w:tcPr>
            <w:tcW w:w="446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2022年中国南方喀斯特集中办公年费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年度绩效目标</w:t>
            </w:r>
          </w:p>
        </w:tc>
        <w:tc>
          <w:tcPr>
            <w:tcW w:w="446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完成2022年度日常工作经费支出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43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自评得分（满分100分）</w:t>
            </w:r>
          </w:p>
        </w:tc>
        <w:tc>
          <w:tcPr>
            <w:tcW w:w="9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100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预算执行（10分）</w:t>
            </w:r>
          </w:p>
        </w:tc>
        <w:tc>
          <w:tcPr>
            <w:tcW w:w="18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38"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项目绩效目标衡量指标</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一级指标</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二级指标</w:t>
            </w:r>
          </w:p>
        </w:tc>
        <w:tc>
          <w:tcPr>
            <w:tcW w:w="9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指标内容</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指标值</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分值</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指标得分</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完成情况简要描述</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9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研究报告数量</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1个</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9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研究报告验收</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4"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9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资金拨付时限</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2022年12月31日前</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4"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9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成本总额</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≤100000元</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53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9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提高群众的知晓率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效果显著</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w:t>
            </w:r>
          </w:p>
        </w:tc>
        <w:tc>
          <w:tcPr>
            <w:tcW w:w="9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bl>
    <w:p>
      <w:pPr>
        <w:jc w:val="center"/>
        <w:rPr>
          <w:rFonts w:hint="eastAsia" w:ascii="黑体" w:hAnsi="黑体" w:eastAsia="黑体" w:cs="黑体"/>
          <w:sz w:val="32"/>
          <w:szCs w:val="32"/>
          <w:highlight w:val="none"/>
        </w:rPr>
      </w:pPr>
    </w:p>
    <w:tbl>
      <w:tblPr>
        <w:tblStyle w:val="6"/>
        <w:tblpPr w:leftFromText="180" w:rightFromText="180" w:vertAnchor="text" w:horzAnchor="page" w:tblpX="622" w:tblpY="316"/>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1"/>
        <w:gridCol w:w="801"/>
        <w:gridCol w:w="1976"/>
        <w:gridCol w:w="1016"/>
        <w:gridCol w:w="1034"/>
        <w:gridCol w:w="1696"/>
        <w:gridCol w:w="751"/>
        <w:gridCol w:w="1176"/>
        <w:gridCol w:w="663"/>
        <w:gridCol w:w="650"/>
        <w:gridCol w:w="8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2022年度预算项目绩效自评表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18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奖励性补贴</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项目编码</w:t>
            </w:r>
          </w:p>
        </w:tc>
        <w:tc>
          <w:tcPr>
            <w:tcW w:w="1858"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451226220315300006365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9" w:hRule="atLeast"/>
        </w:trPr>
        <w:tc>
          <w:tcPr>
            <w:tcW w:w="5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项目实施单位</w:t>
            </w:r>
          </w:p>
        </w:tc>
        <w:tc>
          <w:tcPr>
            <w:tcW w:w="18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153001-环江毛南族自治县世界自然遗产保护中心</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1858"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153-环江毛南族自治县世界自然遗产保护中心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5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(万元)</w:t>
            </w:r>
          </w:p>
        </w:tc>
        <w:tc>
          <w:tcPr>
            <w:tcW w:w="13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资金来源</w:t>
            </w:r>
          </w:p>
        </w:tc>
        <w:tc>
          <w:tcPr>
            <w:tcW w:w="12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年初预算数</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年中预算调整数</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调整后预算数</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实际支出数</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5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合计</w:t>
            </w:r>
          </w:p>
        </w:tc>
        <w:tc>
          <w:tcPr>
            <w:tcW w:w="12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5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其中：一般公共预算拨款</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 上级</w:t>
            </w:r>
          </w:p>
        </w:tc>
        <w:tc>
          <w:tcPr>
            <w:tcW w:w="12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5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本级</w:t>
            </w:r>
          </w:p>
        </w:tc>
        <w:tc>
          <w:tcPr>
            <w:tcW w:w="12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9" w:hRule="atLeast"/>
        </w:trPr>
        <w:tc>
          <w:tcPr>
            <w:tcW w:w="55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政府性基金</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2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5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国有资本经营预算</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2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5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12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w:t>
            </w:r>
          </w:p>
        </w:tc>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财政拨款预算调整率（%）</w:t>
            </w:r>
          </w:p>
        </w:tc>
        <w:tc>
          <w:tcPr>
            <w:tcW w:w="13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#DIV/0!</w:t>
            </w:r>
          </w:p>
        </w:tc>
        <w:tc>
          <w:tcPr>
            <w:tcW w:w="12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调整原因说明</w:t>
            </w:r>
          </w:p>
        </w:tc>
        <w:tc>
          <w:tcPr>
            <w:tcW w:w="1858"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9" w:hRule="atLeast"/>
        </w:trPr>
        <w:tc>
          <w:tcPr>
            <w:tcW w:w="5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项目概况（包括项目立项依据、可行性和必要性、支持范围、实施内容等）</w:t>
            </w:r>
          </w:p>
        </w:tc>
        <w:tc>
          <w:tcPr>
            <w:tcW w:w="4443"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奖励性补贴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项目起始时间</w:t>
            </w:r>
          </w:p>
        </w:tc>
        <w:tc>
          <w:tcPr>
            <w:tcW w:w="18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项目终止时间</w:t>
            </w:r>
          </w:p>
        </w:tc>
        <w:tc>
          <w:tcPr>
            <w:tcW w:w="18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项目实施进度安排</w:t>
            </w:r>
          </w:p>
        </w:tc>
        <w:tc>
          <w:tcPr>
            <w:tcW w:w="4443"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按进度支付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5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年度绩效目标</w:t>
            </w:r>
          </w:p>
        </w:tc>
        <w:tc>
          <w:tcPr>
            <w:tcW w:w="4443"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按进度支付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144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自评得分（满分100分）</w:t>
            </w:r>
          </w:p>
        </w:tc>
        <w:tc>
          <w:tcPr>
            <w:tcW w:w="9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i w:val="0"/>
                <w:iCs w:val="0"/>
                <w:color w:val="000000"/>
                <w:sz w:val="16"/>
                <w:szCs w:val="16"/>
                <w:u w:val="none"/>
              </w:rPr>
            </w:pPr>
            <w:r>
              <w:rPr>
                <w:rFonts w:hint="eastAsia" w:ascii="仿宋_GB2312" w:hAnsi="Arial" w:eastAsia="仿宋_GB2312" w:cs="仿宋_GB2312"/>
                <w:i w:val="0"/>
                <w:iCs w:val="0"/>
                <w:color w:val="000000"/>
                <w:kern w:val="0"/>
                <w:sz w:val="16"/>
                <w:szCs w:val="16"/>
                <w:u w:val="none"/>
                <w:lang w:val="en-US" w:eastAsia="zh-CN" w:bidi="ar"/>
              </w:rPr>
              <w:t>100</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预算执行（10分）</w:t>
            </w:r>
          </w:p>
        </w:tc>
        <w:tc>
          <w:tcPr>
            <w:tcW w:w="18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项目绩效目标衡量指标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一级指标</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二级指标</w:t>
            </w:r>
          </w:p>
        </w:tc>
        <w:tc>
          <w:tcPr>
            <w:tcW w:w="9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指标内容</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指标值</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分值</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实际完成值</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指标得分</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完成情况简要描述</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Arial" w:eastAsia="仿宋_GB2312" w:cs="仿宋_GB2312"/>
                <w:b/>
                <w:bCs/>
                <w:i w:val="0"/>
                <w:iCs w:val="0"/>
                <w:color w:val="000000"/>
                <w:sz w:val="16"/>
                <w:szCs w:val="16"/>
                <w:u w:val="none"/>
              </w:rPr>
            </w:pPr>
            <w:r>
              <w:rPr>
                <w:rFonts w:hint="eastAsia" w:ascii="仿宋_GB2312" w:hAnsi="Arial" w:eastAsia="仿宋_GB2312" w:cs="仿宋_GB2312"/>
                <w:b/>
                <w:bCs/>
                <w:i w:val="0"/>
                <w:iCs w:val="0"/>
                <w:color w:val="000000"/>
                <w:kern w:val="0"/>
                <w:sz w:val="16"/>
                <w:szCs w:val="16"/>
                <w:u w:val="none"/>
                <w:lang w:val="en-US" w:eastAsia="zh-CN" w:bidi="ar"/>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9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经费支付单位员工数</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3人</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9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经费支付合理性</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合理</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9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支付限时</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2022年12月31日前</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9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成本总额</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≤21000元</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21000</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可持续影响指标</w:t>
            </w:r>
          </w:p>
        </w:tc>
        <w:tc>
          <w:tcPr>
            <w:tcW w:w="9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在职员工稳定率</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达成预期指标</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w:t>
            </w:r>
          </w:p>
        </w:tc>
        <w:tc>
          <w:tcPr>
            <w:tcW w:w="9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r>
    </w:tbl>
    <w:p>
      <w:pPr>
        <w:jc w:val="center"/>
        <w:rPr>
          <w:rFonts w:hint="eastAsia" w:ascii="黑体" w:hAnsi="黑体" w:eastAsia="黑体" w:cs="黑体"/>
          <w:sz w:val="32"/>
          <w:szCs w:val="32"/>
          <w:highlight w:val="none"/>
        </w:rPr>
      </w:pPr>
    </w:p>
    <w:p>
      <w:pPr>
        <w:ind w:firstLine="2880" w:firstLineChars="900"/>
        <w:jc w:val="both"/>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val="en-US" w:eastAsia="zh-CN"/>
        </w:rPr>
        <w:t>环江县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val="en-US"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val="en-US" w:eastAsia="zh-CN"/>
        </w:rPr>
        <w:t>环江县</w:t>
      </w:r>
      <w:bookmarkStart w:id="5" w:name="_GoBack"/>
      <w:bookmarkEnd w:id="5"/>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283" w:right="567" w:bottom="283" w:left="567"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5152C774"/>
    <w:multiLevelType w:val="singleLevel"/>
    <w:tmpl w:val="5152C774"/>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JlY2FkZGY2ZDRkZTgwYzMwY2IyMDI5NzY5NjgxNjkifQ=="/>
  </w:docVars>
  <w:rsids>
    <w:rsidRoot w:val="00172A27"/>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7B0770E"/>
    <w:rsid w:val="0942143F"/>
    <w:rsid w:val="096242A4"/>
    <w:rsid w:val="0D100297"/>
    <w:rsid w:val="0D202B45"/>
    <w:rsid w:val="0D815DD4"/>
    <w:rsid w:val="0F8D4C87"/>
    <w:rsid w:val="0FB73D2F"/>
    <w:rsid w:val="10505FAA"/>
    <w:rsid w:val="105F7E7E"/>
    <w:rsid w:val="11E56B5B"/>
    <w:rsid w:val="125C77AB"/>
    <w:rsid w:val="13033CD1"/>
    <w:rsid w:val="134654B7"/>
    <w:rsid w:val="14CB726E"/>
    <w:rsid w:val="17E92249"/>
    <w:rsid w:val="17F06299"/>
    <w:rsid w:val="18D304F1"/>
    <w:rsid w:val="19F32577"/>
    <w:rsid w:val="19F45B80"/>
    <w:rsid w:val="1B0C078D"/>
    <w:rsid w:val="1B2B31E2"/>
    <w:rsid w:val="1B4C295A"/>
    <w:rsid w:val="1B973C63"/>
    <w:rsid w:val="1BA1001E"/>
    <w:rsid w:val="1D317259"/>
    <w:rsid w:val="1E664F5B"/>
    <w:rsid w:val="1EB34BE1"/>
    <w:rsid w:val="215E639F"/>
    <w:rsid w:val="21EC3183"/>
    <w:rsid w:val="225E72CD"/>
    <w:rsid w:val="246E2F77"/>
    <w:rsid w:val="254B4E2B"/>
    <w:rsid w:val="275C1BFC"/>
    <w:rsid w:val="283D7C94"/>
    <w:rsid w:val="29361D11"/>
    <w:rsid w:val="29480E03"/>
    <w:rsid w:val="2983634D"/>
    <w:rsid w:val="2BB02055"/>
    <w:rsid w:val="2C575A56"/>
    <w:rsid w:val="2F257714"/>
    <w:rsid w:val="2F3275E5"/>
    <w:rsid w:val="2F3D30F7"/>
    <w:rsid w:val="2FCF7F23"/>
    <w:rsid w:val="30AA08EF"/>
    <w:rsid w:val="30D23D1C"/>
    <w:rsid w:val="31221CF5"/>
    <w:rsid w:val="31400178"/>
    <w:rsid w:val="321E3342"/>
    <w:rsid w:val="327759C8"/>
    <w:rsid w:val="33185FE3"/>
    <w:rsid w:val="33BC1065"/>
    <w:rsid w:val="34A2197B"/>
    <w:rsid w:val="34EE2E36"/>
    <w:rsid w:val="36173F95"/>
    <w:rsid w:val="36777241"/>
    <w:rsid w:val="38A951DB"/>
    <w:rsid w:val="38B31605"/>
    <w:rsid w:val="39003F4F"/>
    <w:rsid w:val="39FB073A"/>
    <w:rsid w:val="3C07002B"/>
    <w:rsid w:val="3D0D152A"/>
    <w:rsid w:val="3DF62756"/>
    <w:rsid w:val="3F1B7587"/>
    <w:rsid w:val="41E57B4F"/>
    <w:rsid w:val="432F26F6"/>
    <w:rsid w:val="43880F63"/>
    <w:rsid w:val="441C5A6F"/>
    <w:rsid w:val="44C44FCC"/>
    <w:rsid w:val="44CC7369"/>
    <w:rsid w:val="457F5108"/>
    <w:rsid w:val="46951B6B"/>
    <w:rsid w:val="49A34401"/>
    <w:rsid w:val="4A3E30AB"/>
    <w:rsid w:val="4A953885"/>
    <w:rsid w:val="4AC14DAC"/>
    <w:rsid w:val="4D154C85"/>
    <w:rsid w:val="4D9823C4"/>
    <w:rsid w:val="4EC8553A"/>
    <w:rsid w:val="4EF77A24"/>
    <w:rsid w:val="4F956B11"/>
    <w:rsid w:val="508F4E24"/>
    <w:rsid w:val="51461E90"/>
    <w:rsid w:val="51463753"/>
    <w:rsid w:val="52553A93"/>
    <w:rsid w:val="532C567E"/>
    <w:rsid w:val="53521F8B"/>
    <w:rsid w:val="53E22F47"/>
    <w:rsid w:val="54522FF8"/>
    <w:rsid w:val="55450629"/>
    <w:rsid w:val="56692963"/>
    <w:rsid w:val="568B0F48"/>
    <w:rsid w:val="5786217B"/>
    <w:rsid w:val="579F0287"/>
    <w:rsid w:val="589F0489"/>
    <w:rsid w:val="58A71431"/>
    <w:rsid w:val="59337A15"/>
    <w:rsid w:val="59810274"/>
    <w:rsid w:val="5AB346C0"/>
    <w:rsid w:val="5CA96A00"/>
    <w:rsid w:val="5CF730BC"/>
    <w:rsid w:val="5E5F0DCE"/>
    <w:rsid w:val="5FA40A7B"/>
    <w:rsid w:val="5FD56D29"/>
    <w:rsid w:val="5FEC7F3F"/>
    <w:rsid w:val="60F74BC3"/>
    <w:rsid w:val="617D3BF8"/>
    <w:rsid w:val="61841F6A"/>
    <w:rsid w:val="623007A9"/>
    <w:rsid w:val="637D7558"/>
    <w:rsid w:val="644F19AC"/>
    <w:rsid w:val="6461146C"/>
    <w:rsid w:val="65AA4920"/>
    <w:rsid w:val="67694F1E"/>
    <w:rsid w:val="67A535E2"/>
    <w:rsid w:val="68744357"/>
    <w:rsid w:val="69597934"/>
    <w:rsid w:val="6B964DDC"/>
    <w:rsid w:val="6BBF2EC5"/>
    <w:rsid w:val="6C783074"/>
    <w:rsid w:val="6D336C42"/>
    <w:rsid w:val="6D9E65C6"/>
    <w:rsid w:val="6DA81947"/>
    <w:rsid w:val="6DBC51E2"/>
    <w:rsid w:val="6EB66DE2"/>
    <w:rsid w:val="6ED3075F"/>
    <w:rsid w:val="6F2A2D4B"/>
    <w:rsid w:val="6F8A0C1E"/>
    <w:rsid w:val="703F45D4"/>
    <w:rsid w:val="715D6546"/>
    <w:rsid w:val="71A531D0"/>
    <w:rsid w:val="71BE069E"/>
    <w:rsid w:val="73953409"/>
    <w:rsid w:val="73E069A3"/>
    <w:rsid w:val="75AB44BA"/>
    <w:rsid w:val="766F4156"/>
    <w:rsid w:val="767E4DD5"/>
    <w:rsid w:val="78104AA8"/>
    <w:rsid w:val="78E257C5"/>
    <w:rsid w:val="794B35BE"/>
    <w:rsid w:val="7B0A3A31"/>
    <w:rsid w:val="7B3360ED"/>
    <w:rsid w:val="7B5319F3"/>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Emphasis"/>
    <w:basedOn w:val="7"/>
    <w:qFormat/>
    <w:uiPriority w:val="0"/>
    <w:rPr>
      <w:i/>
    </w:r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 w:type="character" w:customStyle="1" w:styleId="13">
    <w:name w:val="font11"/>
    <w:basedOn w:val="7"/>
    <w:qFormat/>
    <w:uiPriority w:val="0"/>
    <w:rPr>
      <w:rFonts w:hint="eastAsia" w:ascii="宋体" w:hAnsi="宋体" w:eastAsia="宋体" w:cs="宋体"/>
      <w:color w:val="000000"/>
      <w:sz w:val="36"/>
      <w:szCs w:val="36"/>
      <w:u w:val="none"/>
    </w:rPr>
  </w:style>
  <w:style w:type="character" w:customStyle="1" w:styleId="14">
    <w:name w:val="font2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20&#24037;&#20316;&#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6032;&#24314;%20XLS%20&#24037;&#20316;&#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6032;&#24314;%20XLS%20&#24037;&#20316;&#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工作表.xls]Sheet1'!$A$1:$A$2</c:f>
              <c:strCache>
                <c:ptCount val="2"/>
                <c:pt idx="0">
                  <c:v>一般公共预算财政拨款收入</c:v>
                </c:pt>
                <c:pt idx="1">
                  <c:v>其他收入</c:v>
                </c:pt>
              </c:strCache>
            </c:strRef>
          </c:cat>
          <c:val>
            <c:numRef>
              <c:f>'[新建 XLS 工作表.xls]Sheet1'!$B$1:$B$2</c:f>
              <c:numCache>
                <c:formatCode>0%</c:formatCode>
                <c:ptCount val="2"/>
                <c:pt idx="0">
                  <c:v>1</c:v>
                </c:pt>
                <c:pt idx="1">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5475"/>
          <c:y val="0.92323232323232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支出决算表图</a:t>
            </a:r>
          </a:p>
        </c:rich>
      </c:tx>
      <c:layout/>
      <c:overlay val="0"/>
      <c:spPr>
        <a:noFill/>
        <a:ln>
          <a:noFill/>
        </a:ln>
        <a:effectLst/>
      </c:spPr>
    </c:title>
    <c:autoTitleDeleted val="0"/>
    <c:plotArea>
      <c:layout/>
      <c:barChart>
        <c:barDir val="col"/>
        <c:grouping val="clustered"/>
        <c:varyColors val="0"/>
        <c:ser>
          <c:idx val="0"/>
          <c:order val="0"/>
          <c:tx>
            <c:strRef>
              <c:f>'[新建 XLS 工作表.xls]Sheet1'!$B$1</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工作表.xls]Sheet1'!$A$2:$A$7</c:f>
              <c:strCache>
                <c:ptCount val="6"/>
                <c:pt idx="0">
                  <c:v>一般公共服务支出</c:v>
                </c:pt>
                <c:pt idx="1">
                  <c:v>文化旅游体育与传媒支出</c:v>
                </c:pt>
                <c:pt idx="2">
                  <c:v>社会保障和就业支出</c:v>
                </c:pt>
                <c:pt idx="3">
                  <c:v>城乡社区支出</c:v>
                </c:pt>
                <c:pt idx="4">
                  <c:v>住房保障支出</c:v>
                </c:pt>
                <c:pt idx="5">
                  <c:v>其他支出</c:v>
                </c:pt>
              </c:strCache>
            </c:strRef>
          </c:cat>
          <c:val>
            <c:numRef>
              <c:f>'[新建 XLS 工作表.xls]Sheet1'!$B$2:$B$7</c:f>
              <c:numCache>
                <c:formatCode>General</c:formatCode>
                <c:ptCount val="6"/>
                <c:pt idx="0">
                  <c:v>62.01</c:v>
                </c:pt>
                <c:pt idx="1">
                  <c:v>42.02</c:v>
                </c:pt>
                <c:pt idx="2">
                  <c:v>3.88</c:v>
                </c:pt>
                <c:pt idx="3">
                  <c:v>0</c:v>
                </c:pt>
                <c:pt idx="4">
                  <c:v>3.74</c:v>
                </c:pt>
                <c:pt idx="5">
                  <c:v>11.52</c:v>
                </c:pt>
              </c:numCache>
            </c:numRef>
          </c:val>
        </c:ser>
        <c:ser>
          <c:idx val="1"/>
          <c:order val="1"/>
          <c:tx>
            <c:strRef>
              <c:f>'[新建 XLS 工作表.xls]Sheet1'!$C$1</c:f>
              <c:strCache>
                <c:ptCount val="1"/>
                <c:pt idx="0">
                  <c:v>2022年</c:v>
                </c:pt>
              </c:strCache>
            </c:strRef>
          </c:tx>
          <c:spPr>
            <a:solidFill>
              <a:schemeClr val="accent2"/>
            </a:solidFill>
            <a:ln>
              <a:noFill/>
            </a:ln>
            <a:effectLst/>
          </c:spPr>
          <c:invertIfNegative val="0"/>
          <c:dLbls>
            <c:dLbl>
              <c:idx val="1"/>
              <c:layout>
                <c:manualLayout>
                  <c:x val="0.0473684210526316"/>
                  <c:y val="-0.0069444444444444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14473684210526"/>
                  <c:y val="-0.0034722222222222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335526315789474"/>
                  <c:y val="-0.027777777777777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394736842105263"/>
                  <c:y val="-0.0312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工作表.xls]Sheet1'!$A$2:$A$7</c:f>
              <c:strCache>
                <c:ptCount val="6"/>
                <c:pt idx="0">
                  <c:v>一般公共服务支出</c:v>
                </c:pt>
                <c:pt idx="1">
                  <c:v>文化旅游体育与传媒支出</c:v>
                </c:pt>
                <c:pt idx="2">
                  <c:v>社会保障和就业支出</c:v>
                </c:pt>
                <c:pt idx="3">
                  <c:v>城乡社区支出</c:v>
                </c:pt>
                <c:pt idx="4">
                  <c:v>住房保障支出</c:v>
                </c:pt>
                <c:pt idx="5">
                  <c:v>其他支出</c:v>
                </c:pt>
              </c:strCache>
            </c:strRef>
          </c:cat>
          <c:val>
            <c:numRef>
              <c:f>'[新建 XLS 工作表.xls]Sheet1'!$C$2:$C$7</c:f>
              <c:numCache>
                <c:formatCode>General</c:formatCode>
                <c:ptCount val="6"/>
                <c:pt idx="0">
                  <c:v>97.36</c:v>
                </c:pt>
                <c:pt idx="1">
                  <c:v>44.77</c:v>
                </c:pt>
                <c:pt idx="2">
                  <c:v>3.84</c:v>
                </c:pt>
                <c:pt idx="3">
                  <c:v>38.55</c:v>
                </c:pt>
                <c:pt idx="4">
                  <c:v>3.17</c:v>
                </c:pt>
                <c:pt idx="5">
                  <c:v>6.5</c:v>
                </c:pt>
              </c:numCache>
            </c:numRef>
          </c:val>
        </c:ser>
        <c:dLbls>
          <c:showLegendKey val="0"/>
          <c:showVal val="1"/>
          <c:showCatName val="0"/>
          <c:showSerName val="0"/>
          <c:showPercent val="0"/>
          <c:showBubbleSize val="0"/>
        </c:dLbls>
        <c:gapWidth val="246"/>
        <c:overlap val="-28"/>
        <c:axId val="728067207"/>
        <c:axId val="263476035"/>
      </c:barChart>
      <c:catAx>
        <c:axId val="72806720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476035"/>
        <c:crosses val="autoZero"/>
        <c:auto val="1"/>
        <c:lblAlgn val="ctr"/>
        <c:lblOffset val="100"/>
        <c:noMultiLvlLbl val="0"/>
      </c:catAx>
      <c:valAx>
        <c:axId val="263476035"/>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806720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工资福利支出</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'[新建 XLS 工作表.xls]Sheet1'!$A$1:$A$9</c:f>
              <c:strCache>
                <c:ptCount val="9"/>
                <c:pt idx="0">
                  <c:v>基础工资</c:v>
                </c:pt>
                <c:pt idx="1">
                  <c:v>津贴补贴</c:v>
                </c:pt>
                <c:pt idx="2">
                  <c:v>奖金</c:v>
                </c:pt>
                <c:pt idx="3">
                  <c:v>伙食补助</c:v>
                </c:pt>
                <c:pt idx="4">
                  <c:v>绩效工资</c:v>
                </c:pt>
                <c:pt idx="5">
                  <c:v>机关事业单位基本养老保险</c:v>
                </c:pt>
                <c:pt idx="6">
                  <c:v>职工基本医疗保险</c:v>
                </c:pt>
                <c:pt idx="7">
                  <c:v>其他社会保障缴费</c:v>
                </c:pt>
                <c:pt idx="8">
                  <c:v>住房公积金</c:v>
                </c:pt>
              </c:strCache>
            </c:strRef>
          </c:cat>
          <c:val>
            <c:numRef>
              <c:f>'[新建 XLS 工作表.xls]Sheet1'!$B$1:$B$9</c:f>
              <c:numCache>
                <c:formatCode>General</c:formatCode>
                <c:ptCount val="9"/>
                <c:pt idx="0">
                  <c:v>11.66</c:v>
                </c:pt>
                <c:pt idx="1">
                  <c:v>0.87</c:v>
                </c:pt>
                <c:pt idx="2">
                  <c:v>10.39</c:v>
                </c:pt>
                <c:pt idx="3">
                  <c:v>0.6</c:v>
                </c:pt>
                <c:pt idx="4">
                  <c:v>3.92</c:v>
                </c:pt>
                <c:pt idx="5">
                  <c:v>3.84</c:v>
                </c:pt>
                <c:pt idx="6">
                  <c:v>1.56</c:v>
                </c:pt>
                <c:pt idx="7">
                  <c:v>0.27</c:v>
                </c:pt>
                <c:pt idx="8">
                  <c:v>3.17</c:v>
                </c:pt>
              </c:numCache>
            </c:numRef>
          </c:val>
        </c:ser>
        <c:dLbls>
          <c:showLegendKey val="0"/>
          <c:showVal val="0"/>
          <c:showCatName val="0"/>
          <c:showSerName val="0"/>
          <c:showPercent val="0"/>
          <c:showBubbleSize val="0"/>
        </c:dLbls>
        <c:gapWidth val="246"/>
        <c:overlap val="-28"/>
        <c:axId val="44895012"/>
        <c:axId val="545518785"/>
      </c:barChart>
      <c:catAx>
        <c:axId val="4489501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5518785"/>
        <c:crosses val="autoZero"/>
        <c:auto val="1"/>
        <c:lblAlgn val="ctr"/>
        <c:lblOffset val="100"/>
        <c:noMultiLvlLbl val="0"/>
      </c:catAx>
      <c:valAx>
        <c:axId val="545518785"/>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89501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商品和服务支出</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'[新建 XLS 工作表.xls]Sheet1'!$A$2:$A$10</c:f>
              <c:strCache>
                <c:ptCount val="9"/>
                <c:pt idx="0">
                  <c:v>办公费</c:v>
                </c:pt>
                <c:pt idx="1">
                  <c:v>邮电费</c:v>
                </c:pt>
                <c:pt idx="2">
                  <c:v>差旅费</c:v>
                </c:pt>
                <c:pt idx="3">
                  <c:v>工会费</c:v>
                </c:pt>
              </c:strCache>
            </c:strRef>
          </c:cat>
          <c:val>
            <c:numRef>
              <c:f>'[新建 XLS 工作表.xls]Sheet1'!$B$2:$B$10</c:f>
              <c:numCache>
                <c:formatCode>General</c:formatCode>
                <c:ptCount val="9"/>
                <c:pt idx="0">
                  <c:v>0.02</c:v>
                </c:pt>
                <c:pt idx="1">
                  <c:v>0.02</c:v>
                </c:pt>
                <c:pt idx="2">
                  <c:v>0.07</c:v>
                </c:pt>
                <c:pt idx="3">
                  <c:v>0.53</c:v>
                </c:pt>
              </c:numCache>
            </c:numRef>
          </c:val>
        </c:ser>
        <c:dLbls>
          <c:showLegendKey val="0"/>
          <c:showVal val="0"/>
          <c:showCatName val="0"/>
          <c:showSerName val="0"/>
          <c:showPercent val="0"/>
          <c:showBubbleSize val="0"/>
        </c:dLbls>
        <c:gapWidth val="246"/>
        <c:overlap val="-28"/>
        <c:axId val="44895012"/>
        <c:axId val="545518785"/>
      </c:barChart>
      <c:catAx>
        <c:axId val="4489501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5518785"/>
        <c:crosses val="autoZero"/>
        <c:auto val="1"/>
        <c:lblAlgn val="ctr"/>
        <c:lblOffset val="100"/>
        <c:noMultiLvlLbl val="0"/>
      </c:catAx>
      <c:valAx>
        <c:axId val="545518785"/>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89501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0</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2023-11-29T08:50:17Z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16A5E58A4C184A0F8AAD5879DBB8AF73</vt:lpwstr>
  </property>
</Properties>
</file>