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环江毛南族自治县公务接待服务中心</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环江毛南族自治县公务接待服务中心</w:t>
      </w:r>
      <w:r>
        <w:rPr>
          <w:rFonts w:hint="eastAsia" w:ascii="黑体" w:hAnsi="黑体" w:eastAsia="黑体" w:cs="黑体"/>
          <w:sz w:val="32"/>
          <w:u w:color="auto"/>
          <w:lang w:eastAsia="zh-CN"/>
        </w:rPr>
        <w:t>单位</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环江毛南族自治县公务接待服务中心</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环江毛南族自治县公务接待服务中心</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val="en-US" w:eastAsia="zh-CN"/>
        </w:rPr>
        <w:t>公务接待服务中心（外事服务中心）</w:t>
      </w:r>
      <w:r>
        <w:rPr>
          <w:rFonts w:hint="eastAsia" w:ascii="黑体" w:hAnsi="黑体" w:eastAsia="黑体" w:cs="黑体"/>
          <w:b/>
          <w:sz w:val="32"/>
          <w:u w:color="auto"/>
          <w:lang w:eastAsia="zh-CN"/>
        </w:rPr>
        <w:t>单位</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numPr>
          <w:ilvl w:val="0"/>
          <w:numId w:val="0"/>
        </w:numPr>
        <w:ind w:firstLine="640" w:firstLineChars="200"/>
        <w:jc w:val="left"/>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为县级四家班子负责对外事务及接待事宜。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县级预算单位（外事服务中心、公务接待服务中心）。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具体情况如下：外事服务中心人员编制总数为2人，其中行政编制1人，参公事业编制2人，机关后勤服务中心聘用人员控制数0人。实有财政供养人数3人，其中行政在职0人，参公事业在职2人，离退休人员1人（其中离休0人）。编外在职实有人数1人。 </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务接待服务中心人员编制总数为3人，其中行政编制0人，参公事业编制2人，机关后勤服务中心聘用人员控制数0人。实有财政供养人数3人，其中行政在职0人，参公事业在职2人，离退休人员1人（其中离休0人）。编外在职实有人数0人</w:t>
      </w:r>
      <w:r>
        <w:rPr>
          <w:rFonts w:hint="eastAsia" w:ascii="仿宋" w:hAnsi="仿宋" w:eastAsia="仿宋" w:cs="仿宋"/>
          <w:color w:val="000000" w:themeColor="text1"/>
          <w:sz w:val="32"/>
          <w:szCs w:val="32"/>
          <w:lang w:eastAsia="zh-CN"/>
          <w14:textFill>
            <w14:solidFill>
              <w14:schemeClr w14:val="tx1"/>
            </w14:solidFill>
          </w14:textFill>
        </w:rPr>
        <w:t>。</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532"/>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pPr>
        <w:ind w:firstLine="2880" w:firstLineChars="9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公务接待服务中心</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149.45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170.18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170.18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149.45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375.21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46.74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0.74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0.74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101.97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20402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公共安全支出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2040201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5.02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2"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170.18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107.18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149.45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42.27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41.35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2019999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其他一般公共服务支出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20402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公共安全支出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2040201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149.45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149.45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170.18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170.18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63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107.18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149.45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42.27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107.18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41.35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5.21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2019999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20402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公共安全支出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2040201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47.63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1.61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5.51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0.25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13.77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1.61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环江毛南族自治县公务接待服务中心</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101.97</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sz w:val="22"/>
                <w:szCs w:val="22"/>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eastAsiaTheme="minorEastAsia"/>
                <w:highlight w:val="none"/>
                <w:lang w:val="en-US" w:eastAsia="zh-CN"/>
              </w:rPr>
            </w:pPr>
            <w:r>
              <w:rPr>
                <w:rFonts w:hint="eastAsia" w:ascii="宋体" w:hAnsi="宋体" w:eastAsia="宋体" w:cs="宋体"/>
                <w:color w:val="000000"/>
                <w:sz w:val="22"/>
                <w:szCs w:val="22"/>
                <w:highlight w:val="none"/>
                <w:lang w:val="en-US" w:eastAsia="zh-CN"/>
              </w:rPr>
              <w:t>101.97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hint="eastAsia" w:ascii="黑体" w:hAnsi="黑体" w:eastAsia="黑体" w:cs="黑体"/>
          <w:sz w:val="32"/>
          <w:u w:color="auto"/>
          <w:lang w:val="en-US" w:eastAsia="zh-CN"/>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环江毛南族自治县公务接待服务中心</w:t>
      </w: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lang w:val="en-US" w:eastAsia="zh-CN"/>
        </w:rPr>
        <w:t>170.18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36.55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17.68</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lang w:val="en-US" w:eastAsia="zh-CN"/>
        </w:rPr>
        <w:t>170.18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lang w:val="en-US" w:eastAsia="zh-CN"/>
        </w:rPr>
        <w:t>170.18</w:t>
      </w:r>
      <w:r>
        <w:rPr>
          <w:rFonts w:hint="eastAsia" w:ascii="仿宋" w:hAnsi="仿宋" w:eastAsia="仿宋" w:cs="仿宋"/>
          <w:kern w:val="2"/>
          <w:sz w:val="32"/>
          <w:szCs w:val="32"/>
          <w:highlight w:val="none"/>
          <w:lang w:val="en-US" w:eastAsia="zh-CN" w:bidi="ar"/>
        </w:rPr>
        <w:t>万元，为环江县本级财政当年拨付的资金。较2021年度决算数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36.55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17.68</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主要原因：各项经费压缩减少。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主要原因：本单位没有</w:t>
      </w:r>
      <w:r>
        <w:rPr>
          <w:rFonts w:hint="eastAsia" w:ascii="仿宋" w:hAnsi="仿宋" w:eastAsia="仿宋" w:cs="仿宋"/>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lang w:val="en-US" w:eastAsia="zh-CN"/>
        </w:rPr>
        <w:t>170.18</w:t>
      </w:r>
      <w:r>
        <w:rPr>
          <w:rFonts w:hint="eastAsia" w:ascii="仿宋" w:hAnsi="仿宋" w:eastAsia="仿宋" w:cs="仿宋"/>
          <w:sz w:val="32"/>
          <w:szCs w:val="32"/>
          <w:highlight w:val="none"/>
        </w:rPr>
        <w:t>万元，其中本年支出</w:t>
      </w:r>
      <w:r>
        <w:rPr>
          <w:rFonts w:hint="eastAsia" w:ascii="仿宋" w:hAnsi="仿宋" w:eastAsia="仿宋" w:cs="仿宋"/>
          <w:sz w:val="32"/>
          <w:u w:color="auto"/>
          <w:lang w:val="en-US" w:eastAsia="zh-CN"/>
        </w:rPr>
        <w:t>170.18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36.55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17.68</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u w:color="auto"/>
          <w:lang w:val="en-US" w:eastAsia="zh-CN"/>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w:t>
      </w:r>
      <w:r>
        <w:rPr>
          <w:rFonts w:hint="eastAsia" w:ascii="仿宋" w:hAnsi="仿宋" w:eastAsia="仿宋" w:cs="仿宋"/>
          <w:sz w:val="32"/>
          <w:szCs w:val="32"/>
          <w:highlight w:val="none"/>
          <w:lang w:val="en-US" w:eastAsia="zh-CN" w:bidi="ar"/>
        </w:rPr>
        <w:t>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149.45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机关为保证日常运转发生的基本支出和按规定预留的绩效工资。如根据国家规定的基本工资和津补贴标准等安排的人员经费支出，确保机关正常运转的办公费、印刷费、水电费、培训费、差旅费、会议费等日常公用经费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31.56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17.44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主要原因是：年度内人员变动，</w:t>
      </w:r>
      <w:r>
        <w:rPr>
          <w:rFonts w:hint="eastAsia" w:ascii="仿宋" w:hAnsi="仿宋" w:eastAsia="仿宋" w:cs="仿宋"/>
          <w:color w:val="auto"/>
          <w:kern w:val="2"/>
          <w:sz w:val="32"/>
          <w:szCs w:val="32"/>
          <w:highlight w:val="none"/>
          <w:lang w:val="en-US" w:eastAsia="zh-CN" w:bidi="ar"/>
        </w:rPr>
        <w:t>各项经费缩减。</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2</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社会保障和就业</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08</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5.02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干部职工机关养老保险缴费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0.12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2.33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w:t>
      </w:r>
      <w:r>
        <w:rPr>
          <w:rFonts w:hint="eastAsia" w:ascii="仿宋" w:hAnsi="仿宋" w:eastAsia="仿宋" w:cs="仿宋"/>
          <w:color w:val="auto"/>
          <w:kern w:val="2"/>
          <w:sz w:val="32"/>
          <w:szCs w:val="32"/>
          <w:highlight w:val="none"/>
          <w:lang w:val="en-US" w:eastAsia="zh-CN" w:bidi="ar"/>
        </w:rPr>
        <w:t>人员变动，经费支出减少。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val="en-US" w:eastAsia="zh-CN" w:bidi="ar"/>
        </w:rPr>
        <w:t>住房保障</w:t>
      </w:r>
      <w:r>
        <w:rPr>
          <w:rFonts w:hint="eastAsia" w:ascii="仿宋" w:hAnsi="仿宋" w:eastAsia="仿宋" w:cs="仿宋"/>
          <w:sz w:val="32"/>
          <w:szCs w:val="32"/>
          <w:highlight w:val="none"/>
          <w:lang w:bidi="ar"/>
        </w:rPr>
        <w:t>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w:t>
      </w:r>
      <w:r>
        <w:rPr>
          <w:rFonts w:hint="eastAsia" w:ascii="仿宋" w:hAnsi="仿宋" w:eastAsia="仿宋" w:cs="仿宋"/>
          <w:sz w:val="32"/>
          <w:szCs w:val="32"/>
          <w:highlight w:val="none"/>
          <w:lang w:val="en-US" w:eastAsia="zh-CN" w:bidi="ar"/>
        </w:rPr>
        <w:t>21</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4.38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干部职工住房公积金缴纳</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0.19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4.16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主要原因是：年度内人员变动，经费支出减少。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auto"/>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当年度无结余分配资金。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当年度无结转结余资金。</w:t>
      </w:r>
    </w:p>
    <w:p>
      <w:pPr>
        <w:ind w:firstLine="640" w:firstLineChars="200"/>
        <w:jc w:val="center"/>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公务接待服务中心</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lang w:val="en-US" w:eastAsia="zh-CN"/>
        </w:rPr>
        <w:t>170.18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36.55</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17.68</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63</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107.18</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公务接待服务中心</w:t>
      </w:r>
      <w:r>
        <w:rPr>
          <w:rFonts w:hint="eastAsia" w:ascii="仿宋" w:hAnsi="仿宋" w:eastAsia="仿宋" w:cs="仿宋"/>
          <w:sz w:val="32"/>
          <w:szCs w:val="32"/>
          <w:highlight w:val="none"/>
        </w:rPr>
        <w:t>2022年度一般公共预算财政拨款支出年初预算为</w:t>
      </w:r>
      <w:r>
        <w:rPr>
          <w:rFonts w:hint="eastAsia" w:ascii="仿宋" w:hAnsi="仿宋" w:eastAsia="仿宋" w:cs="仿宋"/>
          <w:sz w:val="32"/>
          <w:u w:color="auto"/>
          <w:lang w:val="en-US" w:eastAsia="zh-CN"/>
        </w:rPr>
        <w:t>199.90</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170.18</w:t>
      </w:r>
      <w:r>
        <w:rPr>
          <w:rFonts w:hint="eastAsia" w:ascii="仿宋" w:hAnsi="仿宋" w:eastAsia="仿宋" w:cs="仿宋"/>
          <w:sz w:val="32"/>
          <w:szCs w:val="32"/>
          <w:highlight w:val="none"/>
        </w:rPr>
        <w:t>万元，完成年初预算</w:t>
      </w:r>
      <w:r>
        <w:rPr>
          <w:rFonts w:hint="eastAsia" w:ascii="仿宋" w:hAnsi="仿宋" w:eastAsia="仿宋" w:cs="仿宋"/>
          <w:sz w:val="32"/>
          <w:szCs w:val="32"/>
          <w:highlight w:val="none"/>
          <w:lang w:val="en-US" w:eastAsia="zh-CN"/>
        </w:rPr>
        <w:t>85.13</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val="en-US" w:eastAsia="zh-CN"/>
        </w:rPr>
        <w:t>一般公共服务支出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189.52</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149.45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78.86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年度内人员变动，日常经费增加，差旅增加；开源节流、严格把关接待标准，严控各项接待费用支出等。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44.78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机关为保证日常运转发生的基本支出和按规定预留的绩效工资。如根据国家规定的基本工资和津补贴标准等安排的人员经费支出，确保机关正常运转的办公费、印刷费、水电费、培训费、差旅费、会议费等日常公用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年度内人员变动，日常经费增加，差旅增加等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0.74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0.74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年度内完成该项目经费支出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101.97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70.82%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公务接待经费支出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开源节流、严格把关接待标准，严控各项接待费用支出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189.52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149.45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5.93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5.02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84.65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年度内人员变动，经费支出减少。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干部职工机关养老保险缴费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年度内人员变动，经费支出减少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4.45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4.38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98.43</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年度内人员变动，经费支出减少。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干部职工住房公积金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年度内人员变动，经费支出减少。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公务接待服务中心</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63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61.40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1.61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47.63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103.</w:t>
      </w:r>
      <w:r>
        <w:rPr>
          <w:rFonts w:hint="eastAsia" w:ascii="仿宋" w:hAnsi="仿宋" w:eastAsia="仿宋" w:cs="仿宋"/>
          <w:sz w:val="32"/>
          <w:szCs w:val="32"/>
          <w:highlight w:val="none"/>
          <w:lang w:val="en-US" w:eastAsia="zh-CN"/>
        </w:rPr>
        <w:t>45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主要原因是：年度内人员变动，增资调资，实际经费支出增加。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3.20万元，30102津贴补贴5.64万元，30103奖金20.44万元，30106伙食补助费0.00万元，30107绩效工资0.00万元，30108机关事业单位基本养老保险缴费5.51万元，30110职工基本医疗保险缴费2.39万元，30111公务员医疗补助缴费0.00万元，30112其他社会保障缴费0.07万元，30113住房公积金4.38万元，30199其他工资福利支出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0606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1.61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154.81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人员增加，费用实际支出增加。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30201办公费0.31万元，30207邮电费0.25万元，30209物业管理费0.16万元，30211差旅费0.15万元，30228工会经费0.74万元。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13.77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1097.5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新增生活补贴发放。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30301离休费0.00万元，30302退休费0.00万元，30305生活补助13.17万元。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216150"/>
            <wp:effectExtent l="4445" t="4445" r="16510" b="825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5366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59050"/>
            <wp:effectExtent l="4445" t="4445" r="16510"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公务接待服务中心</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val="en-US" w:eastAsia="zh-CN"/>
        </w:rPr>
        <w:t>公务接待服务中心</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101.97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70.81</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下降30.48</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开源节流，严控各项经费支出。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101.97</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原因是：年度内无因公出国事项，所以无该项经费支出。</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w:t>
      </w:r>
      <w:bookmarkStart w:id="5" w:name="PO_part3A6B2IncReason1"/>
      <w:r>
        <w:rPr>
          <w:rFonts w:hint="eastAsia" w:ascii="仿宋" w:hAnsi="仿宋" w:eastAsia="仿宋" w:cs="仿宋"/>
          <w:color w:val="auto"/>
          <w:sz w:val="32"/>
          <w:szCs w:val="32"/>
          <w:lang w:eastAsia="zh-CN"/>
        </w:rPr>
        <w:t>是</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sz w:val="32"/>
          <w:u w:color="auto"/>
          <w:lang w:val="en-US" w:eastAsia="zh-CN"/>
        </w:rPr>
        <w:t>公务接待服务中心</w:t>
      </w:r>
      <w:r>
        <w:rPr>
          <w:rFonts w:hint="eastAsia" w:ascii="仿宋" w:hAnsi="仿宋" w:eastAsia="仿宋" w:cs="仿宋"/>
          <w:sz w:val="32"/>
          <w:szCs w:val="32"/>
          <w:highlight w:val="none"/>
          <w:lang w:val="en-US" w:eastAsia="zh-CN"/>
        </w:rPr>
        <w:t>因车辆改革，本单位无公务用车，无此项费用支出。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107.97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70.81</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下降30.48</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主要原因是：存在部分跨年度接待费未能及时支出，且实际工作中开源节流，严控接待标准。</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330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9076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1.61</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val="en-US" w:eastAsia="zh-CN"/>
        </w:rPr>
        <w:t>增长0.57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增长154.81</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0.31</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95.27</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原因是：办公设施设备购置经费增加、资产运行维护支出增加、人员数量增加</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109.66</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50.13</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1、公务接待费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97.08</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未能及时做到日清月结，及时支付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财政通知的支付时间太紧急，与单位其他业务冲突，导致未能及时进行经费支付</w:t>
      </w:r>
      <w:r>
        <w:rPr>
          <w:rFonts w:hint="eastAsia" w:ascii="仿宋" w:hAnsi="仿宋" w:eastAsia="仿宋" w:cs="仿宋"/>
          <w:color w:val="000000" w:themeColor="text1"/>
          <w:sz w:val="32"/>
          <w:szCs w:val="32"/>
          <w14:textFill>
            <w14:solidFill>
              <w14:schemeClr w14:val="tx1"/>
            </w14:solidFill>
          </w14:textFill>
        </w:rPr>
        <w:t>。下一步改进措施：一是</w:t>
      </w:r>
      <w:r>
        <w:rPr>
          <w:rFonts w:hint="eastAsia" w:ascii="仿宋" w:hAnsi="仿宋" w:eastAsia="仿宋" w:cs="仿宋"/>
          <w:color w:val="000000" w:themeColor="text1"/>
          <w:sz w:val="32"/>
          <w:szCs w:val="32"/>
          <w:lang w:val="en-US" w:eastAsia="zh-CN"/>
          <w14:textFill>
            <w14:solidFill>
              <w14:schemeClr w14:val="tx1"/>
            </w14:solidFill>
          </w14:textFill>
        </w:rPr>
        <w:t>努力做到年度内资金不跨年支付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加强沟通、协调支付时间，便于及时支付各项公务接待经费。2、接待工作经费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99.98</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经费不足保障日常基本运行</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严控经费开支，确保日常工作有序进行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3、外事工作经费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经费不足保障日常基本运行</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严控经费开支，确保日常工作有序进行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4、单独核算的接待经费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经费不足保障日常基本运行</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严控经费开支，确保日常工作有序进行</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大大提升了干部职工工作的积极性，干部满意度较高。</w:t>
      </w:r>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6" w:name="_GoBack"/>
      <w:bookmarkEnd w:id="6"/>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EECE4B9E"/>
    <w:multiLevelType w:val="singleLevel"/>
    <w:tmpl w:val="EECE4B9E"/>
    <w:lvl w:ilvl="0" w:tentative="0">
      <w:start w:val="1"/>
      <w:numFmt w:val="chineseCounting"/>
      <w:suff w:val="nothing"/>
      <w:lvlText w:val="%1、"/>
      <w:lvlJc w:val="left"/>
      <w:rPr>
        <w:rFonts w:hint="eastAsia"/>
      </w:rPr>
    </w:lvl>
  </w:abstractNum>
  <w:abstractNum w:abstractNumId="3">
    <w:nsid w:val="0A8569A0"/>
    <w:multiLevelType w:val="singleLevel"/>
    <w:tmpl w:val="0A8569A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kMTdiMjc4OTAwYzdiOTMzYWNjNzFhODAwMGM2NzIifQ=="/>
  </w:docVars>
  <w:rsids>
    <w:rsidRoot w:val="637D7558"/>
    <w:rsid w:val="00002C84"/>
    <w:rsid w:val="00022149"/>
    <w:rsid w:val="00047F6C"/>
    <w:rsid w:val="00093C26"/>
    <w:rsid w:val="00094B91"/>
    <w:rsid w:val="000A002F"/>
    <w:rsid w:val="000B06D8"/>
    <w:rsid w:val="000E5855"/>
    <w:rsid w:val="001418A5"/>
    <w:rsid w:val="00147D40"/>
    <w:rsid w:val="00156EF2"/>
    <w:rsid w:val="001D7B97"/>
    <w:rsid w:val="00210E20"/>
    <w:rsid w:val="00223F38"/>
    <w:rsid w:val="00233613"/>
    <w:rsid w:val="0024734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83AD0"/>
    <w:rsid w:val="00AA78EE"/>
    <w:rsid w:val="00AB53E1"/>
    <w:rsid w:val="00AE5F66"/>
    <w:rsid w:val="00B07A0B"/>
    <w:rsid w:val="00B22F28"/>
    <w:rsid w:val="00B37453"/>
    <w:rsid w:val="00B45479"/>
    <w:rsid w:val="00B60171"/>
    <w:rsid w:val="00B837AC"/>
    <w:rsid w:val="00BB4FB8"/>
    <w:rsid w:val="00BD315D"/>
    <w:rsid w:val="00C3279E"/>
    <w:rsid w:val="00C34857"/>
    <w:rsid w:val="00CA2E26"/>
    <w:rsid w:val="00CB1EB4"/>
    <w:rsid w:val="00D00918"/>
    <w:rsid w:val="00D14326"/>
    <w:rsid w:val="00D772CC"/>
    <w:rsid w:val="00D84F30"/>
    <w:rsid w:val="00D878A6"/>
    <w:rsid w:val="00DE74BD"/>
    <w:rsid w:val="00DE7D07"/>
    <w:rsid w:val="00EB7822"/>
    <w:rsid w:val="00EC50A9"/>
    <w:rsid w:val="00ED04DB"/>
    <w:rsid w:val="00F21455"/>
    <w:rsid w:val="00F27441"/>
    <w:rsid w:val="00F5354B"/>
    <w:rsid w:val="00F95135"/>
    <w:rsid w:val="00F9658C"/>
    <w:rsid w:val="00F978FD"/>
    <w:rsid w:val="00FA738E"/>
    <w:rsid w:val="00FC438B"/>
    <w:rsid w:val="01101675"/>
    <w:rsid w:val="01234E98"/>
    <w:rsid w:val="015F1951"/>
    <w:rsid w:val="020C171D"/>
    <w:rsid w:val="0216715F"/>
    <w:rsid w:val="02223D56"/>
    <w:rsid w:val="0236335D"/>
    <w:rsid w:val="023B0973"/>
    <w:rsid w:val="02AD1871"/>
    <w:rsid w:val="02E0291A"/>
    <w:rsid w:val="037E6D6A"/>
    <w:rsid w:val="03C2759E"/>
    <w:rsid w:val="03C84489"/>
    <w:rsid w:val="03CA0201"/>
    <w:rsid w:val="04583A5F"/>
    <w:rsid w:val="0475016D"/>
    <w:rsid w:val="04D56E5D"/>
    <w:rsid w:val="04E54546"/>
    <w:rsid w:val="05015EA4"/>
    <w:rsid w:val="05992762"/>
    <w:rsid w:val="0673692E"/>
    <w:rsid w:val="06E03262"/>
    <w:rsid w:val="075B5D40"/>
    <w:rsid w:val="07807554"/>
    <w:rsid w:val="07B0770E"/>
    <w:rsid w:val="08387E2F"/>
    <w:rsid w:val="08585DDB"/>
    <w:rsid w:val="08805332"/>
    <w:rsid w:val="08B37E08"/>
    <w:rsid w:val="0942143F"/>
    <w:rsid w:val="094620D8"/>
    <w:rsid w:val="09D41DD9"/>
    <w:rsid w:val="0A200B7B"/>
    <w:rsid w:val="0A652A31"/>
    <w:rsid w:val="0AA07F0D"/>
    <w:rsid w:val="0ABD0ABF"/>
    <w:rsid w:val="0ACC6D7C"/>
    <w:rsid w:val="0AD55E09"/>
    <w:rsid w:val="0B071D3B"/>
    <w:rsid w:val="0B30303F"/>
    <w:rsid w:val="0B6727D9"/>
    <w:rsid w:val="0B6E5916"/>
    <w:rsid w:val="0B725406"/>
    <w:rsid w:val="0C0A3890"/>
    <w:rsid w:val="0C285C17"/>
    <w:rsid w:val="0C7B478E"/>
    <w:rsid w:val="0CAF61E6"/>
    <w:rsid w:val="0D100297"/>
    <w:rsid w:val="0D202B45"/>
    <w:rsid w:val="0D5F19BA"/>
    <w:rsid w:val="0DB53CD0"/>
    <w:rsid w:val="0DD73C46"/>
    <w:rsid w:val="0E1E6060"/>
    <w:rsid w:val="0E52151F"/>
    <w:rsid w:val="0E67321C"/>
    <w:rsid w:val="0E7E366C"/>
    <w:rsid w:val="0F2509E1"/>
    <w:rsid w:val="0F5F2145"/>
    <w:rsid w:val="0F753717"/>
    <w:rsid w:val="0F8D4C87"/>
    <w:rsid w:val="0F9811B3"/>
    <w:rsid w:val="0FB32491"/>
    <w:rsid w:val="101F3682"/>
    <w:rsid w:val="10505FAA"/>
    <w:rsid w:val="10507CE0"/>
    <w:rsid w:val="105F7E7E"/>
    <w:rsid w:val="106C2D6C"/>
    <w:rsid w:val="10B1077E"/>
    <w:rsid w:val="10B95885"/>
    <w:rsid w:val="115455AE"/>
    <w:rsid w:val="11E44B84"/>
    <w:rsid w:val="11E56B5B"/>
    <w:rsid w:val="12072620"/>
    <w:rsid w:val="121E0096"/>
    <w:rsid w:val="125C77AB"/>
    <w:rsid w:val="127777A6"/>
    <w:rsid w:val="128D6FC9"/>
    <w:rsid w:val="12C56763"/>
    <w:rsid w:val="13054DB2"/>
    <w:rsid w:val="130B7EEE"/>
    <w:rsid w:val="132A4818"/>
    <w:rsid w:val="1343188B"/>
    <w:rsid w:val="13685340"/>
    <w:rsid w:val="13A62350"/>
    <w:rsid w:val="14215C1B"/>
    <w:rsid w:val="14AF76CB"/>
    <w:rsid w:val="14CB726E"/>
    <w:rsid w:val="151632A6"/>
    <w:rsid w:val="152B4878"/>
    <w:rsid w:val="15726411"/>
    <w:rsid w:val="15791A87"/>
    <w:rsid w:val="158B1288"/>
    <w:rsid w:val="159348F7"/>
    <w:rsid w:val="15B4486D"/>
    <w:rsid w:val="167622D6"/>
    <w:rsid w:val="16C805D0"/>
    <w:rsid w:val="16F2389F"/>
    <w:rsid w:val="173B6FF4"/>
    <w:rsid w:val="17465999"/>
    <w:rsid w:val="17E92249"/>
    <w:rsid w:val="17F673BF"/>
    <w:rsid w:val="17FE0021"/>
    <w:rsid w:val="183D0B4A"/>
    <w:rsid w:val="18A1557C"/>
    <w:rsid w:val="18A64941"/>
    <w:rsid w:val="18D25736"/>
    <w:rsid w:val="18D304F1"/>
    <w:rsid w:val="18E36FE2"/>
    <w:rsid w:val="198F3627"/>
    <w:rsid w:val="199D3F96"/>
    <w:rsid w:val="19D826B4"/>
    <w:rsid w:val="19D92AF4"/>
    <w:rsid w:val="19E020D4"/>
    <w:rsid w:val="19F32577"/>
    <w:rsid w:val="19F45B80"/>
    <w:rsid w:val="1A0822E3"/>
    <w:rsid w:val="1A7F5449"/>
    <w:rsid w:val="1B0C078D"/>
    <w:rsid w:val="1B261D69"/>
    <w:rsid w:val="1B2B31E2"/>
    <w:rsid w:val="1B46240B"/>
    <w:rsid w:val="1B4C295A"/>
    <w:rsid w:val="1B973C63"/>
    <w:rsid w:val="1BA1001E"/>
    <w:rsid w:val="1BFD2A6B"/>
    <w:rsid w:val="1C095610"/>
    <w:rsid w:val="1C672639"/>
    <w:rsid w:val="1D317259"/>
    <w:rsid w:val="1DCD0BC2"/>
    <w:rsid w:val="1E116D00"/>
    <w:rsid w:val="1E664F5B"/>
    <w:rsid w:val="1E682698"/>
    <w:rsid w:val="1EB34BE1"/>
    <w:rsid w:val="1EFB350D"/>
    <w:rsid w:val="1F5D7D23"/>
    <w:rsid w:val="1F751511"/>
    <w:rsid w:val="1FE65F6B"/>
    <w:rsid w:val="204C4020"/>
    <w:rsid w:val="207E61A3"/>
    <w:rsid w:val="20DA787E"/>
    <w:rsid w:val="20E13861"/>
    <w:rsid w:val="20FC3C98"/>
    <w:rsid w:val="210743EB"/>
    <w:rsid w:val="212A1E87"/>
    <w:rsid w:val="213D605E"/>
    <w:rsid w:val="215E639F"/>
    <w:rsid w:val="219624CF"/>
    <w:rsid w:val="21EC3183"/>
    <w:rsid w:val="221B014E"/>
    <w:rsid w:val="222B5EB7"/>
    <w:rsid w:val="224F1BA5"/>
    <w:rsid w:val="225E72CD"/>
    <w:rsid w:val="22794E74"/>
    <w:rsid w:val="22A243CB"/>
    <w:rsid w:val="2375388E"/>
    <w:rsid w:val="23FE1AD5"/>
    <w:rsid w:val="246E2F77"/>
    <w:rsid w:val="24877D1C"/>
    <w:rsid w:val="24B623B0"/>
    <w:rsid w:val="24C11F9C"/>
    <w:rsid w:val="24FB4266"/>
    <w:rsid w:val="251D5F8B"/>
    <w:rsid w:val="254B4E2B"/>
    <w:rsid w:val="258A1146"/>
    <w:rsid w:val="259D531E"/>
    <w:rsid w:val="26296BB1"/>
    <w:rsid w:val="26E256DE"/>
    <w:rsid w:val="280B2A12"/>
    <w:rsid w:val="28101DD7"/>
    <w:rsid w:val="281713B7"/>
    <w:rsid w:val="28180C8B"/>
    <w:rsid w:val="281A0EA7"/>
    <w:rsid w:val="283D7C94"/>
    <w:rsid w:val="28616AD6"/>
    <w:rsid w:val="288307FB"/>
    <w:rsid w:val="28B22E8E"/>
    <w:rsid w:val="28DC7F0B"/>
    <w:rsid w:val="293D6BFB"/>
    <w:rsid w:val="29480E03"/>
    <w:rsid w:val="29785E86"/>
    <w:rsid w:val="2983634D"/>
    <w:rsid w:val="29F86FC6"/>
    <w:rsid w:val="2A461AE0"/>
    <w:rsid w:val="2A7A3E7F"/>
    <w:rsid w:val="2A7A5C2D"/>
    <w:rsid w:val="2AA8279A"/>
    <w:rsid w:val="2B597F39"/>
    <w:rsid w:val="2B9D6077"/>
    <w:rsid w:val="2BA94A1C"/>
    <w:rsid w:val="2BB02055"/>
    <w:rsid w:val="2BDB26FC"/>
    <w:rsid w:val="2BE23A8A"/>
    <w:rsid w:val="2BFB4B4C"/>
    <w:rsid w:val="2C2C2F57"/>
    <w:rsid w:val="2C575A56"/>
    <w:rsid w:val="2C626979"/>
    <w:rsid w:val="2CDE06F5"/>
    <w:rsid w:val="2CF25F4F"/>
    <w:rsid w:val="2D7948B0"/>
    <w:rsid w:val="2E045F3A"/>
    <w:rsid w:val="2E3D58F0"/>
    <w:rsid w:val="2E586286"/>
    <w:rsid w:val="2E7B3D22"/>
    <w:rsid w:val="2E9F5C62"/>
    <w:rsid w:val="2EAC037F"/>
    <w:rsid w:val="2EC456C9"/>
    <w:rsid w:val="2EDD678B"/>
    <w:rsid w:val="2EE10029"/>
    <w:rsid w:val="2EF57F78"/>
    <w:rsid w:val="2F257714"/>
    <w:rsid w:val="2F3275E5"/>
    <w:rsid w:val="2F3C6F86"/>
    <w:rsid w:val="2F560A17"/>
    <w:rsid w:val="2F6B1FE9"/>
    <w:rsid w:val="2F6D5D61"/>
    <w:rsid w:val="2FA15A0A"/>
    <w:rsid w:val="2FD600FB"/>
    <w:rsid w:val="304E7940"/>
    <w:rsid w:val="306F78B6"/>
    <w:rsid w:val="308C2216"/>
    <w:rsid w:val="30AA08EF"/>
    <w:rsid w:val="30B04157"/>
    <w:rsid w:val="30D047F9"/>
    <w:rsid w:val="30D23D1C"/>
    <w:rsid w:val="31221CF5"/>
    <w:rsid w:val="31400178"/>
    <w:rsid w:val="314F3970"/>
    <w:rsid w:val="318E0E52"/>
    <w:rsid w:val="31F75DB5"/>
    <w:rsid w:val="321E3342"/>
    <w:rsid w:val="32430FFB"/>
    <w:rsid w:val="32690A61"/>
    <w:rsid w:val="327759C8"/>
    <w:rsid w:val="32FF4F22"/>
    <w:rsid w:val="33185FE3"/>
    <w:rsid w:val="331C1F78"/>
    <w:rsid w:val="332E3A59"/>
    <w:rsid w:val="33552D94"/>
    <w:rsid w:val="335C32F3"/>
    <w:rsid w:val="33A61841"/>
    <w:rsid w:val="33E52369"/>
    <w:rsid w:val="34E46AC5"/>
    <w:rsid w:val="34EC7728"/>
    <w:rsid w:val="34EE2E36"/>
    <w:rsid w:val="34F605A6"/>
    <w:rsid w:val="354D6418"/>
    <w:rsid w:val="357F234A"/>
    <w:rsid w:val="35B71AE4"/>
    <w:rsid w:val="35C83CF1"/>
    <w:rsid w:val="36140CE4"/>
    <w:rsid w:val="362F1FC2"/>
    <w:rsid w:val="36394BEF"/>
    <w:rsid w:val="36777241"/>
    <w:rsid w:val="367774C5"/>
    <w:rsid w:val="36E25286"/>
    <w:rsid w:val="37C45280"/>
    <w:rsid w:val="3894610C"/>
    <w:rsid w:val="38A5656B"/>
    <w:rsid w:val="38A951DB"/>
    <w:rsid w:val="38B31605"/>
    <w:rsid w:val="39003F4F"/>
    <w:rsid w:val="393022D9"/>
    <w:rsid w:val="396106E4"/>
    <w:rsid w:val="398443D3"/>
    <w:rsid w:val="3A7B57D6"/>
    <w:rsid w:val="3A816B64"/>
    <w:rsid w:val="3ACF78CF"/>
    <w:rsid w:val="3ADE0ED3"/>
    <w:rsid w:val="3B003F2D"/>
    <w:rsid w:val="3B196D9D"/>
    <w:rsid w:val="3B451940"/>
    <w:rsid w:val="3B464036"/>
    <w:rsid w:val="3B64626A"/>
    <w:rsid w:val="3B84690C"/>
    <w:rsid w:val="3BDD7DCA"/>
    <w:rsid w:val="3C07002B"/>
    <w:rsid w:val="3C1C6B44"/>
    <w:rsid w:val="3C3245BA"/>
    <w:rsid w:val="3C3F2833"/>
    <w:rsid w:val="3C700C3E"/>
    <w:rsid w:val="3C7921E9"/>
    <w:rsid w:val="3CE21B3C"/>
    <w:rsid w:val="3CE55188"/>
    <w:rsid w:val="3D0D152A"/>
    <w:rsid w:val="3D6562C9"/>
    <w:rsid w:val="3D98044D"/>
    <w:rsid w:val="3DB1150E"/>
    <w:rsid w:val="3DDA2813"/>
    <w:rsid w:val="3DF62756"/>
    <w:rsid w:val="3E3D2DA2"/>
    <w:rsid w:val="3E483C21"/>
    <w:rsid w:val="3EAA2527"/>
    <w:rsid w:val="3EAD617A"/>
    <w:rsid w:val="3EB07A18"/>
    <w:rsid w:val="3F1B7587"/>
    <w:rsid w:val="3F1E7077"/>
    <w:rsid w:val="3F255D10"/>
    <w:rsid w:val="3F381EE7"/>
    <w:rsid w:val="3F7B1DD4"/>
    <w:rsid w:val="3FAC01DF"/>
    <w:rsid w:val="3FCC262F"/>
    <w:rsid w:val="3FE536F1"/>
    <w:rsid w:val="40B3559D"/>
    <w:rsid w:val="40DE6ABE"/>
    <w:rsid w:val="41962A84"/>
    <w:rsid w:val="41E57B4F"/>
    <w:rsid w:val="42BD2703"/>
    <w:rsid w:val="431C38CE"/>
    <w:rsid w:val="432F26F6"/>
    <w:rsid w:val="433504EC"/>
    <w:rsid w:val="43820BB0"/>
    <w:rsid w:val="43851473"/>
    <w:rsid w:val="43880F63"/>
    <w:rsid w:val="43C24475"/>
    <w:rsid w:val="44191BBB"/>
    <w:rsid w:val="441C5A6F"/>
    <w:rsid w:val="44625310"/>
    <w:rsid w:val="446E1F07"/>
    <w:rsid w:val="4476700E"/>
    <w:rsid w:val="44C44FCC"/>
    <w:rsid w:val="44CC7369"/>
    <w:rsid w:val="44D37FBC"/>
    <w:rsid w:val="4530540F"/>
    <w:rsid w:val="454B2248"/>
    <w:rsid w:val="457F5108"/>
    <w:rsid w:val="45B47DEE"/>
    <w:rsid w:val="45E561F9"/>
    <w:rsid w:val="45F91CA4"/>
    <w:rsid w:val="46472A10"/>
    <w:rsid w:val="467C2B9E"/>
    <w:rsid w:val="46951B6B"/>
    <w:rsid w:val="470B6133"/>
    <w:rsid w:val="474D674C"/>
    <w:rsid w:val="476475F1"/>
    <w:rsid w:val="48594C7C"/>
    <w:rsid w:val="48B53AE2"/>
    <w:rsid w:val="48C540C0"/>
    <w:rsid w:val="48C93BB0"/>
    <w:rsid w:val="48D2515B"/>
    <w:rsid w:val="490E3CB9"/>
    <w:rsid w:val="491D5CAA"/>
    <w:rsid w:val="492E6109"/>
    <w:rsid w:val="4939330C"/>
    <w:rsid w:val="4970227E"/>
    <w:rsid w:val="49787384"/>
    <w:rsid w:val="49973CAE"/>
    <w:rsid w:val="49A34401"/>
    <w:rsid w:val="49AD1724"/>
    <w:rsid w:val="49F17862"/>
    <w:rsid w:val="4A1B668D"/>
    <w:rsid w:val="4A3E30AB"/>
    <w:rsid w:val="4A783AE0"/>
    <w:rsid w:val="4AC14DAC"/>
    <w:rsid w:val="4B182BCD"/>
    <w:rsid w:val="4B1A06F3"/>
    <w:rsid w:val="4B473790"/>
    <w:rsid w:val="4BD50ABE"/>
    <w:rsid w:val="4BE60F1D"/>
    <w:rsid w:val="4C237A7B"/>
    <w:rsid w:val="4C2630C7"/>
    <w:rsid w:val="4C395E52"/>
    <w:rsid w:val="4C547C35"/>
    <w:rsid w:val="4C8E75EA"/>
    <w:rsid w:val="4CAC181F"/>
    <w:rsid w:val="4CAD5597"/>
    <w:rsid w:val="4D154C85"/>
    <w:rsid w:val="4DD94895"/>
    <w:rsid w:val="4E7E368F"/>
    <w:rsid w:val="4E850579"/>
    <w:rsid w:val="4EB42C0C"/>
    <w:rsid w:val="4EC8553A"/>
    <w:rsid w:val="4ECC43FA"/>
    <w:rsid w:val="4F135B85"/>
    <w:rsid w:val="4F365D17"/>
    <w:rsid w:val="4F391364"/>
    <w:rsid w:val="4F5A37B4"/>
    <w:rsid w:val="4F652159"/>
    <w:rsid w:val="4F74239C"/>
    <w:rsid w:val="4F9F566B"/>
    <w:rsid w:val="4FD86DCF"/>
    <w:rsid w:val="4FFF6109"/>
    <w:rsid w:val="501A2F43"/>
    <w:rsid w:val="506F14E1"/>
    <w:rsid w:val="508F4E24"/>
    <w:rsid w:val="50D6330E"/>
    <w:rsid w:val="50E7551B"/>
    <w:rsid w:val="51461E90"/>
    <w:rsid w:val="51463753"/>
    <w:rsid w:val="51764AF1"/>
    <w:rsid w:val="518C1C1F"/>
    <w:rsid w:val="51A72EFC"/>
    <w:rsid w:val="51DC173E"/>
    <w:rsid w:val="52397FF8"/>
    <w:rsid w:val="523A78CD"/>
    <w:rsid w:val="52553A93"/>
    <w:rsid w:val="52E87329"/>
    <w:rsid w:val="532A16EF"/>
    <w:rsid w:val="53521F8B"/>
    <w:rsid w:val="537F7C8D"/>
    <w:rsid w:val="53852DC9"/>
    <w:rsid w:val="53D31D87"/>
    <w:rsid w:val="53D63625"/>
    <w:rsid w:val="53E22F47"/>
    <w:rsid w:val="53F32429"/>
    <w:rsid w:val="5429409D"/>
    <w:rsid w:val="54522FF8"/>
    <w:rsid w:val="546D21DB"/>
    <w:rsid w:val="54A0435F"/>
    <w:rsid w:val="54D758A7"/>
    <w:rsid w:val="552D54C7"/>
    <w:rsid w:val="554271C4"/>
    <w:rsid w:val="55450629"/>
    <w:rsid w:val="556E7FB9"/>
    <w:rsid w:val="558A1536"/>
    <w:rsid w:val="55A75279"/>
    <w:rsid w:val="55FB7373"/>
    <w:rsid w:val="56244B1C"/>
    <w:rsid w:val="563665FD"/>
    <w:rsid w:val="564E3947"/>
    <w:rsid w:val="565151E5"/>
    <w:rsid w:val="56692963"/>
    <w:rsid w:val="568B0F48"/>
    <w:rsid w:val="56C1236A"/>
    <w:rsid w:val="576A0C54"/>
    <w:rsid w:val="5786217B"/>
    <w:rsid w:val="57A203EE"/>
    <w:rsid w:val="57BB325E"/>
    <w:rsid w:val="57BE68AA"/>
    <w:rsid w:val="57C2639A"/>
    <w:rsid w:val="57F14ED1"/>
    <w:rsid w:val="5855720E"/>
    <w:rsid w:val="586C6306"/>
    <w:rsid w:val="58977827"/>
    <w:rsid w:val="59337A15"/>
    <w:rsid w:val="59810274"/>
    <w:rsid w:val="5988716F"/>
    <w:rsid w:val="59C363FA"/>
    <w:rsid w:val="59D10F63"/>
    <w:rsid w:val="59D32AE1"/>
    <w:rsid w:val="59DE4C2F"/>
    <w:rsid w:val="5A166E71"/>
    <w:rsid w:val="5A951B44"/>
    <w:rsid w:val="5ABA15AB"/>
    <w:rsid w:val="5AEB20AC"/>
    <w:rsid w:val="5AF96577"/>
    <w:rsid w:val="5B4B2214"/>
    <w:rsid w:val="5B6065F6"/>
    <w:rsid w:val="5BDB7A2A"/>
    <w:rsid w:val="5CA96A00"/>
    <w:rsid w:val="5CAE513F"/>
    <w:rsid w:val="5CC937E3"/>
    <w:rsid w:val="5CD32DF8"/>
    <w:rsid w:val="5CF730BC"/>
    <w:rsid w:val="5D0C00B7"/>
    <w:rsid w:val="5D21471A"/>
    <w:rsid w:val="5D9E3405"/>
    <w:rsid w:val="5DAF116F"/>
    <w:rsid w:val="5DCF1811"/>
    <w:rsid w:val="5E2751A9"/>
    <w:rsid w:val="5E5F0DCE"/>
    <w:rsid w:val="5E8F582E"/>
    <w:rsid w:val="5EBE53E1"/>
    <w:rsid w:val="5EC46E9C"/>
    <w:rsid w:val="5EF57055"/>
    <w:rsid w:val="5EF64B7B"/>
    <w:rsid w:val="5F473629"/>
    <w:rsid w:val="5F506981"/>
    <w:rsid w:val="5F5521EA"/>
    <w:rsid w:val="5F5F6BC4"/>
    <w:rsid w:val="5FA40A7B"/>
    <w:rsid w:val="5FCA3AC9"/>
    <w:rsid w:val="5FD56D29"/>
    <w:rsid w:val="5FEC7F3F"/>
    <w:rsid w:val="5FF13CC0"/>
    <w:rsid w:val="60163727"/>
    <w:rsid w:val="6025396A"/>
    <w:rsid w:val="60A01243"/>
    <w:rsid w:val="60DF7FBD"/>
    <w:rsid w:val="60F74BC3"/>
    <w:rsid w:val="6135490B"/>
    <w:rsid w:val="617D3BF8"/>
    <w:rsid w:val="61841F6A"/>
    <w:rsid w:val="623007A9"/>
    <w:rsid w:val="6267026A"/>
    <w:rsid w:val="627C183B"/>
    <w:rsid w:val="627E55B4"/>
    <w:rsid w:val="629E5C56"/>
    <w:rsid w:val="62AA63A9"/>
    <w:rsid w:val="62D43425"/>
    <w:rsid w:val="63163A3E"/>
    <w:rsid w:val="634265E1"/>
    <w:rsid w:val="637D7558"/>
    <w:rsid w:val="63901A42"/>
    <w:rsid w:val="63C90AB0"/>
    <w:rsid w:val="63DB78CF"/>
    <w:rsid w:val="644F19AC"/>
    <w:rsid w:val="64917820"/>
    <w:rsid w:val="652266CA"/>
    <w:rsid w:val="658C7FE7"/>
    <w:rsid w:val="65A2780B"/>
    <w:rsid w:val="65AA4920"/>
    <w:rsid w:val="66524D8D"/>
    <w:rsid w:val="665E3732"/>
    <w:rsid w:val="66882EA5"/>
    <w:rsid w:val="66E8749F"/>
    <w:rsid w:val="66EC3434"/>
    <w:rsid w:val="670E3F78"/>
    <w:rsid w:val="67236729"/>
    <w:rsid w:val="672C1A82"/>
    <w:rsid w:val="67486190"/>
    <w:rsid w:val="67694F1E"/>
    <w:rsid w:val="67FB3202"/>
    <w:rsid w:val="68273FF7"/>
    <w:rsid w:val="68324E76"/>
    <w:rsid w:val="685272C6"/>
    <w:rsid w:val="68570D81"/>
    <w:rsid w:val="68725BBA"/>
    <w:rsid w:val="68833924"/>
    <w:rsid w:val="68BC6E36"/>
    <w:rsid w:val="690031C6"/>
    <w:rsid w:val="69401815"/>
    <w:rsid w:val="69597934"/>
    <w:rsid w:val="699F29DF"/>
    <w:rsid w:val="69DC5F4E"/>
    <w:rsid w:val="69E71C90"/>
    <w:rsid w:val="69F61ED3"/>
    <w:rsid w:val="6ABC136F"/>
    <w:rsid w:val="6B030D4C"/>
    <w:rsid w:val="6B32518D"/>
    <w:rsid w:val="6B964DDC"/>
    <w:rsid w:val="6BB12556"/>
    <w:rsid w:val="6C783074"/>
    <w:rsid w:val="6CA125CA"/>
    <w:rsid w:val="6CEB1A97"/>
    <w:rsid w:val="6CF748E0"/>
    <w:rsid w:val="6D4A2C62"/>
    <w:rsid w:val="6D6A50B2"/>
    <w:rsid w:val="6D9E65C6"/>
    <w:rsid w:val="6DA81947"/>
    <w:rsid w:val="6E0F7A08"/>
    <w:rsid w:val="6E9028F6"/>
    <w:rsid w:val="6EB02F99"/>
    <w:rsid w:val="6EB66DE2"/>
    <w:rsid w:val="6ED3075F"/>
    <w:rsid w:val="6F2A2D4B"/>
    <w:rsid w:val="6F8A0C1E"/>
    <w:rsid w:val="6F9E1043"/>
    <w:rsid w:val="6FAC19B2"/>
    <w:rsid w:val="6FC0720B"/>
    <w:rsid w:val="6FD40F09"/>
    <w:rsid w:val="703F45D4"/>
    <w:rsid w:val="706C7393"/>
    <w:rsid w:val="707263E0"/>
    <w:rsid w:val="70CC398E"/>
    <w:rsid w:val="711041C2"/>
    <w:rsid w:val="715D6546"/>
    <w:rsid w:val="71BC3A02"/>
    <w:rsid w:val="71BE069E"/>
    <w:rsid w:val="726A2B3A"/>
    <w:rsid w:val="72916C3D"/>
    <w:rsid w:val="72B56DCF"/>
    <w:rsid w:val="72DD00D4"/>
    <w:rsid w:val="72F01BB6"/>
    <w:rsid w:val="72F316A6"/>
    <w:rsid w:val="730438B3"/>
    <w:rsid w:val="730A49CC"/>
    <w:rsid w:val="7315786E"/>
    <w:rsid w:val="733221CE"/>
    <w:rsid w:val="73953409"/>
    <w:rsid w:val="73E069A3"/>
    <w:rsid w:val="74161AF0"/>
    <w:rsid w:val="74331D80"/>
    <w:rsid w:val="749F1AE5"/>
    <w:rsid w:val="74B135C7"/>
    <w:rsid w:val="750A2CD7"/>
    <w:rsid w:val="750B717B"/>
    <w:rsid w:val="751002ED"/>
    <w:rsid w:val="753D4E5A"/>
    <w:rsid w:val="757A4300"/>
    <w:rsid w:val="76085468"/>
    <w:rsid w:val="761D53B8"/>
    <w:rsid w:val="7621652A"/>
    <w:rsid w:val="76B37ACA"/>
    <w:rsid w:val="776E39F1"/>
    <w:rsid w:val="78104AA8"/>
    <w:rsid w:val="781E0F73"/>
    <w:rsid w:val="78570929"/>
    <w:rsid w:val="78713799"/>
    <w:rsid w:val="78AD2A90"/>
    <w:rsid w:val="78C0027C"/>
    <w:rsid w:val="78E257C5"/>
    <w:rsid w:val="792C3B64"/>
    <w:rsid w:val="79426EE3"/>
    <w:rsid w:val="794B35BE"/>
    <w:rsid w:val="79534C4C"/>
    <w:rsid w:val="79607369"/>
    <w:rsid w:val="79780B57"/>
    <w:rsid w:val="79ED6E4F"/>
    <w:rsid w:val="7A4B21AB"/>
    <w:rsid w:val="7AC06311"/>
    <w:rsid w:val="7ADD5115"/>
    <w:rsid w:val="7B0A3A31"/>
    <w:rsid w:val="7B3360ED"/>
    <w:rsid w:val="7B4E6013"/>
    <w:rsid w:val="7B5319F3"/>
    <w:rsid w:val="7B7A2964"/>
    <w:rsid w:val="7B803CF3"/>
    <w:rsid w:val="7BA7127F"/>
    <w:rsid w:val="7BDF037E"/>
    <w:rsid w:val="7BE44282"/>
    <w:rsid w:val="7BF50948"/>
    <w:rsid w:val="7C376AA7"/>
    <w:rsid w:val="7C594C70"/>
    <w:rsid w:val="7C6F7FEF"/>
    <w:rsid w:val="7CE66A78"/>
    <w:rsid w:val="7CE704CD"/>
    <w:rsid w:val="7D0D15B6"/>
    <w:rsid w:val="7D23564C"/>
    <w:rsid w:val="7D31799A"/>
    <w:rsid w:val="7D5E062D"/>
    <w:rsid w:val="7D676F18"/>
    <w:rsid w:val="7DB55ED6"/>
    <w:rsid w:val="7DC223A1"/>
    <w:rsid w:val="7DEB18F7"/>
    <w:rsid w:val="7DF76CD8"/>
    <w:rsid w:val="7E0429B9"/>
    <w:rsid w:val="7E1F3C97"/>
    <w:rsid w:val="7E24305B"/>
    <w:rsid w:val="7E3A462D"/>
    <w:rsid w:val="7E3D5ECB"/>
    <w:rsid w:val="7E5D031B"/>
    <w:rsid w:val="7EE36A72"/>
    <w:rsid w:val="7EFB3DBC"/>
    <w:rsid w:val="7F141322"/>
    <w:rsid w:val="7F160BF6"/>
    <w:rsid w:val="7F231565"/>
    <w:rsid w:val="7F27158A"/>
    <w:rsid w:val="7F4F4108"/>
    <w:rsid w:val="7F695C26"/>
    <w:rsid w:val="7F8A3392"/>
    <w:rsid w:val="7FAE0E2E"/>
    <w:rsid w:val="7FCF62D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170.18</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社会保障和就业支出</c:v>
                </c:pt>
                <c:pt idx="2">
                  <c:v>住房保障支出</c:v>
                </c:pt>
                <c:pt idx="4">
                  <c:v>其他支出</c:v>
                </c:pt>
              </c:strCache>
            </c:strRef>
          </c:cat>
          <c:val>
            <c:numRef>
              <c:f>Sheet1!$B$2:$B$6</c:f>
              <c:numCache>
                <c:formatCode>General</c:formatCode>
                <c:ptCount val="5"/>
                <c:pt idx="0">
                  <c:v>181.01</c:v>
                </c:pt>
                <c:pt idx="1">
                  <c:v>5.14</c:v>
                </c:pt>
                <c:pt idx="2">
                  <c:v>4.57</c:v>
                </c:pt>
                <c:pt idx="4">
                  <c:v>16.02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社会保障和就业支出</c:v>
                </c:pt>
                <c:pt idx="2">
                  <c:v>住房保障支出</c:v>
                </c:pt>
                <c:pt idx="4">
                  <c:v>其他支出</c:v>
                </c:pt>
              </c:strCache>
            </c:strRef>
          </c:cat>
          <c:val>
            <c:numRef>
              <c:f>Sheet1!$C$2:$C$6</c:f>
              <c:numCache>
                <c:formatCode>General</c:formatCode>
                <c:ptCount val="5"/>
                <c:pt idx="0">
                  <c:v>149.45</c:v>
                </c:pt>
                <c:pt idx="1">
                  <c:v>5.02</c:v>
                </c:pt>
                <c:pt idx="2">
                  <c:v>4.38</c:v>
                </c:pt>
                <c:pt idx="4">
                  <c:v>11.14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2010301</c:v>
                </c:pt>
                <c:pt idx="1">
                  <c:v>2019999</c:v>
                </c:pt>
                <c:pt idx="2">
                  <c:v>2012999</c:v>
                </c:pt>
                <c:pt idx="3">
                  <c:v>205x</c:v>
                </c:pt>
              </c:strCache>
            </c:strRef>
          </c:cat>
          <c:val>
            <c:numRef>
              <c:f>Sheet1!$B$2:$B$6</c:f>
              <c:numCache>
                <c:formatCode>General</c:formatCode>
                <c:ptCount val="5"/>
                <c:pt idx="0">
                  <c:v>46.74</c:v>
                </c:pt>
                <c:pt idx="1">
                  <c:v>101.97</c:v>
                </c:pt>
                <c:pt idx="2">
                  <c:v>0.74</c:v>
                </c:pt>
                <c:pt idx="3">
                  <c:v>149.45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3">
                  <c:v>208x</c:v>
                </c:pt>
              </c:strCache>
            </c:strRef>
          </c:cat>
          <c:val>
            <c:numRef>
              <c:f>Sheet1!$B$2:$B$5</c:f>
              <c:numCache>
                <c:formatCode>General</c:formatCode>
                <c:ptCount val="4"/>
                <c:pt idx="0">
                  <c:v>5.02</c:v>
                </c:pt>
                <c:pt idx="3">
                  <c:v>5.02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98.43</c:v>
                </c:pt>
                <c:pt idx="1">
                  <c:v>98.43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3.2</c:v>
                </c:pt>
                <c:pt idx="1">
                  <c:v>5.64</c:v>
                </c:pt>
                <c:pt idx="2">
                  <c:v>20.44</c:v>
                </c:pt>
                <c:pt idx="3">
                  <c:v>0</c:v>
                </c:pt>
                <c:pt idx="4">
                  <c:v>0</c:v>
                </c:pt>
                <c:pt idx="5">
                  <c:v>5.51</c:v>
                </c:pt>
                <c:pt idx="6">
                  <c:v>0</c:v>
                </c:pt>
                <c:pt idx="7">
                  <c:v>2.39</c:v>
                </c:pt>
                <c:pt idx="8">
                  <c:v>0</c:v>
                </c:pt>
                <c:pt idx="9">
                  <c:v>0.07</c:v>
                </c:pt>
                <c:pt idx="10">
                  <c:v>4.38</c:v>
                </c:pt>
                <c:pt idx="11">
                  <c:v>0</c:v>
                </c:pt>
                <c:pt idx="12">
                  <c:v>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0.31</c:v>
                </c:pt>
                <c:pt idx="1">
                  <c:v>0</c:v>
                </c:pt>
                <c:pt idx="2">
                  <c:v>0</c:v>
                </c:pt>
                <c:pt idx="3">
                  <c:v>0</c:v>
                </c:pt>
                <c:pt idx="4">
                  <c:v>0</c:v>
                </c:pt>
                <c:pt idx="5">
                  <c:v>0</c:v>
                </c:pt>
                <c:pt idx="6">
                  <c:v>0.25</c:v>
                </c:pt>
                <c:pt idx="7">
                  <c:v>0</c:v>
                </c:pt>
                <c:pt idx="8">
                  <c:v>0.16</c:v>
                </c:pt>
                <c:pt idx="9">
                  <c:v>0.15</c:v>
                </c:pt>
                <c:pt idx="10">
                  <c:v>0</c:v>
                </c:pt>
                <c:pt idx="11">
                  <c:v>0</c:v>
                </c:pt>
                <c:pt idx="12">
                  <c:v>0</c:v>
                </c:pt>
                <c:pt idx="13">
                  <c:v>0</c:v>
                </c:pt>
                <c:pt idx="14">
                  <c:v>0</c:v>
                </c:pt>
                <c:pt idx="15">
                  <c:v>0</c:v>
                </c:pt>
                <c:pt idx="16">
                  <c:v>0</c:v>
                </c:pt>
                <c:pt idx="17">
                  <c:v>0</c:v>
                </c:pt>
                <c:pt idx="18">
                  <c:v>0</c:v>
                </c:pt>
                <c:pt idx="19">
                  <c:v>0</c:v>
                </c:pt>
                <c:pt idx="20">
                  <c:v>0</c:v>
                </c:pt>
                <c:pt idx="21">
                  <c:v>0.74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15.22</c:v>
                </c:pt>
                <c:pt idx="1">
                  <c:v>0.76</c:v>
                </c:pt>
                <c:pt idx="2">
                  <c:v>0</c:v>
                </c:pt>
                <c:pt idx="3">
                  <c:v>0</c:v>
                </c:pt>
                <c:pt idx="4">
                  <c:v>3.75</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2023-12-01T01:14:12Z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9CF45A9164114D45A6E4C76CE2E88595_13</vt:lpwstr>
  </property>
</Properties>
</file>