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环江毛南族自治县工业信息化和商务局</w:t>
      </w:r>
    </w:p>
    <w:p>
      <w:pPr>
        <w:pStyle w:val="Bodytext|5"/>
        <w:jc w:val="center"/>
        <w:rPr>
          <w:sz w:val="56"/>
          <w:szCs w:val="56"/>
        </w:rPr>
        <w:sectPr>
          <w:headerReference w:type="default" r:id="rId5"/>
          <w:footerReference w:type="default" r:id="rId6"/>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p>
    <w:p>
      <w:pPr>
        <w:pStyle w:val="Heading#1|1"/>
        <w:keepNext/>
        <w:keepLines/>
        <w:spacing w:after="240"/>
        <w:jc w:val="center"/>
      </w:pPr>
      <w:bookmarkStart w:id="1" w:name="bookmark2"/>
      <w:bookmarkStart w:id="2" w:name="bookmark0"/>
      <w:bookmarkStart w:id="3" w:name="bookmark1"/>
      <w:r>
        <w:t xml:space="preserve">目录</w:t>
      </w:r>
      <w:bookmarkEnd w:id="1"/>
      <w:bookmarkEnd w:id="2"/>
      <w:bookmarkEnd w:id="3"/>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环江毛南族自治县工业信息化和商务局</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环江毛南族自治县工业信息化和商务局</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环江毛南族自治县工业信息化和商务局</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7"/>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4" w:name="bookmark14"/>
      <w:bookmarkStart w:id="5" w:name="bookmark13"/>
      <w:bookmarkStart w:id="6" w:name="bookmark12"/>
      <w:r>
        <w:rPr>
          <w:b/>
          <w:bCs/>
          <w:sz w:val="40"/>
          <w:szCs w:val="40"/>
        </w:rPr>
        <w:t xml:space="preserve">第一部分</w:t>
      </w:r>
      <w:r>
        <w:rPr>
          <w:rFonts w:hint="eastAsia"/>
          <w:b/>
          <w:bCs/>
          <w:sz w:val="40"/>
          <w:szCs w:val="40"/>
          <w:lang w:eastAsia="zh-CN"/>
        </w:rPr>
        <w:t xml:space="preserve">：</w:t>
      </w:r>
      <w:r>
        <w:rPr>
          <w:b/>
          <w:sz w:val="40"/>
          <w:u w:color="auto"/>
        </w:rPr>
        <w:t xml:space="preserve">环江毛南族自治县工业信息化和商务局</w:t>
      </w:r>
      <w:r>
        <w:rPr>
          <w:b/>
          <w:bCs/>
          <w:sz w:val="40"/>
          <w:szCs w:val="40"/>
        </w:rPr>
        <w:t xml:space="preserve">概况</w:t>
      </w:r>
      <w:bookmarkEnd w:id="4"/>
      <w:bookmarkEnd w:id="5"/>
      <w:bookmarkEnd w:id="6"/>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贯彻落实党中央、自治区、河池市和自治县党委关于工业信息化、商务和科学技术工作的方针政策和决策部署，在履行职责过程中坚持和加强党对工业信息化和商务管理、科技创新工作的集中统一领导。其主要职责是：1、提出全县新型工业化和商务发展战略和政策，协调解决新型工业化和商务发展进程中的重大问题，起草并组织实施全县工业、信息化的发展规划，推进产业结构战略性调整和优化升级，推进工业、商贸和信息化融合发展。2、拟订并组织实施全县工业、信息化相关的行业规划、计划和产业政策，提出优化产业布局、结构调整的政策建议，组织实施行业技术规范和标准，指导行业质量管理工作。3、监测、分析全县工业和信息化相关产业运行态势，统计并发布相关信息，进行预测预警和信息引导，协调解决行业运行发展的有关问题并提出政策建议；指导工业信息化、商务相关行业应急管理、产业安全和国防动员有关工作。4、负责提出全县工业信息化、商务固定资产投资规模和方向、财政性建设资金安排的意见，协调全县工业信息化、商务相关产业投资的组织实施，按规定权限对项目进行审批、核准和备案以及节能项目评估相关工作。5、指导行业技术创新和技术进步，以先进适用技术改造提升传统产业，组织实施有关科技重大专项，推进相关科研成果产业化，推动新兴产业发展。6、拟订并组织实施全县工业信息化相关产业的能源节约、资源综合利用、清洁生产、循环经济规划和促进相关产业发展政策；组织协调相关重大示范工程和新产品、新技术、新设备、新材料及散装水泥的推广应用。7、推进工业和信息化相关行业体制改革和管理创新，提高行业综合素质和核心竞争力，协调配合相关部门加强安全生产管理。8、负责全县中小企业、乡镇企业发展的宏观指导，会同有关部门拟订促进工业经济发展的相关政策和措施，协调解决有关重大问题；推进农产品加工业、贸易市场发展；负责组织协调减轻企业负担工作。9、统筹推进全县信息化工作，提出相关政策、措施并协调信息化建设中的重大问题，促进电信、广播电视和计算机网络融合，指导协调电子政务发展，推动跨行业、跨部门的互联互通和重要信息资源的开发利用、共享。10、协调指导相关部门、重点行业的信息系统与基础信息网络的安全保障工作，配合处理网络与信息安全的重大事件。11、指导全县工业和信息化相关行业的管理工作，负责全县茧丝绸、煤炭等工业行业管理，负责做好无线电管理协调工作，配合做好全县铁路、公路、水路、邮电年度运输和生产工作。12、负责民用爆破器材仓储、化工（含石油化工）、医药、煤炭、冶金、有色金属、建材、机械、轻工等行业的监督管理。13、组织全县工程系列初级职称评审工作。14、指导和协调本县内外贸易管理工作；监测分析市场运行和商品供求状况；指导大宗产品批发市场的流通服务和市场建设；指导城镇商业网点规划，协助有关部门培育和发展农村市场；指导流通企业改革、商贸服务业和社区商业发展，推动流通标准化和连锁经营、物流配送、电子商务等现代流通方式及商贸领域信息化发展；推动商务领域信用建设，指导商业信用销售，组织指导规范零售企业促销行为，协调整顿和规范市场经济秩序工作。按规定对成品油流通、再生资源回收进行监督管理。15、贯彻落实国家进出口商品、加工贸易管理办法，拟订促进外贸增长方式转变的措施，指导贸易促进活动和外贸促进体系建设，负责环江县对外贸易经营者备案登记审核工作。16、负责本县外国专家管理及服务工作。17、负责组织制订我县科技发展和科技促进经济、社会发展战略、方针和政策法规，会同有关部门研究制订我县科技体制改革的方针、政策、措施和总体规划。18、研究确定我县优先发展领域，研究分析促进经济、社会发展的重大课题；负责组织制订我县科技发展计划和规划，合理配置科技经费，协同有关部门计划落实科技有关政策，加强对科技工作的宏观调控。19、负责组织制订我县基础性研究、应用研技术开发和科技成果转化的政策和措施；负责组织我县重大基础性研究，科技创新、高新技术发展、社会经济发展以及科技攻关等重点科技计划的制订与实施；负责重大科技成果的推广、研究新产品试制、科技扶贫等科技开发计划的制订和指导实施，协同有关部门推动社会科技进步。20、配合协调开辟科技经费渠道，筹措科技资金，统一管理科技经费（技术研究与开发经费）和科学事业费，组织协调科技信贷的管理与使用，协助管理自治县级财政科技计划（专项、基金等）并监督实施。21、组织制订科技合作与交流的政策与措施，负责科技合作项目的智力、资金、人才、技术、设备的引进工作和科技人员出国以及来访专家学者的审批，协同有关部门组织技术出口、技术引进和消化吸收创新工作。22、负责组织制订有关技术市场的政策法规，监督、检查技术合同法的实施；负责管理技术仲裁、科技无形资产评估和技术、信息市场；负责管理全县科技成果鉴定、登记、申报、奖励、保密以及重大科技成果推广协调工作。23、负责协调有关部门制订科技人员的有关政策、法规和选拔、培养科学技术带头人，组织指导科技管理干部的培训工作。24、负责管理软科学研究和科技信息工作，指导科技第三产业和科技企业的发展，以及科技统计工作。25、负责制订科学技术普及计划，牵头抓好科学技术普及工作。26、指导、协调县直各部门及乡镇的科技工作，协同有关部门推动行业的科技进步；主管科技情报工作。27、负责主管盐业工作，制定盐业产业政策，管理工业盐，组织落实国家储备盐制度和食盐供应应急管理。28、承担自治县党委、自治县人民政府交办的其他工作任务。</w:t>
      </w:r>
    </w:p>
    <w:p>
      <w:pPr>
        <w:pStyle w:val="Bodytext|2"/>
        <w:spacing w:after="0" w:line="619" w:lineRule="exact"/>
        <w:ind w:firstLine="620"/>
        <w:jc w:val="left"/>
        <w:rPr>
          <w:rFonts w:hint="eastAsia"/>
          <w:b/>
          <w:bCs/>
          <w:lang w:val="en-US" w:eastAsia="zh-CN"/>
        </w:rPr>
      </w:pPr>
      <w:bookmarkStart w:id="7" w:name="bookmark24"/>
      <w:r>
        <w:rPr>
          <w:rFonts w:hint="eastAsia"/>
          <w:b/>
          <w:bCs/>
          <w:lang w:val="en-US" w:eastAsia="zh-CN"/>
        </w:rPr>
        <w:t xml:space="preserve">二</w:t>
      </w:r>
      <w:bookmarkEnd w:id="7"/>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自治县工业信息化和商务局（自治县科学技术局9）一套人马，加挂科技局牌子）：现有人员编制14人，实有在职人员11人。工业信息化和商务局内设办公室、经济运行股、中小企业和信息化发展股、投资规划股（行政审批办公室）、执法监察股、能源资源股、外贸外资管理股、科技综合股。下辖四个事业单位：即自治县科学技术情报研究所（生产力促进中心，一套人马两块牌子）：人员编制6人，实有在职人员5人。其主要职责是收集、整理、研究、传阅县内外科技情报信息，搞好情报信息，搞好科技情报研究与交流；自治县技术开发中心（自治县技术市场管理办公室，一套人马两块牌子）：人员编制10人，实有在职人员9人。其主要职责是开展技术开发、攻关、研究、交流和协作，抓好技术成果转化中间试验和应用示范，新技术试验应用和推广，进行技术项目评估与论证等；县商务中心(参公）：人员编制6人，实有在职人员4人。其主要职责是：1.贯彻落实国家、自治区、市有关内外贸易和国际经济合作发展战略、方针、政策；2.贯彻落实上级有关规范流通领域市场体系及流通秩序政策，建立健全统一、开放、竞争、有序的市场体系；监测分析市场运行和商品供求状况，组织实施重要消费品市场调控和重点生产资料流通管理。3.承担牵头协调整顿和规范全县市场秩序工作的责任，推动商务领域信用建设，指导商业信用销售，建立市场诚信公共服务平台，按有关规定对特殊流通行业进行监督管理。4.提出流通体制改革建议，培育发展城乡市场，指导城镇商业网点规划，推进流通产业结构调整、物流配送、电子商务等现代流通业发展。县节能监察中心：人员编制6人，实有在职人员5人，其主要职责是：负责宣传贯彻节能法律法规及有关政策;受节能行政主管部门委托对用能单位履行国家及自治区颁布的节能法律、法规、规章及节能标准进行监督监察，依法对自治县重点用能企业的用能状况进行监督检查；参与制定节能监察计划，并对执行情况进行监督监察，受理全县能源利用违法，违规案件的举报，投诉和仲裁及处罚。</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8" w:name="bookmark69"/>
      <w:bookmarkStart w:id="9" w:name="bookmark68"/>
      <w:bookmarkStart w:id="10" w:name="bookmark70"/>
      <w:bookmarkStart w:id="11" w:name="bookmark26"/>
      <w:bookmarkStart w:id="12" w:name="bookmark28"/>
      <w:bookmarkStart w:id="13" w:name="bookmark27"/>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8"/>
      <w:bookmarkEnd w:id="9"/>
      <w:bookmarkEnd w:id="10"/>
      <w:r>
        <w:rPr>
          <w:rFonts w:hint="eastAsia"/>
          <w:b/>
          <w:bCs/>
          <w:sz w:val="40"/>
          <w:szCs w:val="40"/>
          <w:lang w:eastAsia="zh-CN"/>
        </w:rPr>
        <w:t xml:space="preserve">环江毛南族自治县工业信息化和商务局</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4" w:name="bookmark71"/>
      <w:r>
        <w:rPr>
          <w:rFonts w:hint="eastAsia"/>
          <w:b/>
          <w:bCs/>
          <w:lang w:val="en-US" w:eastAsia="zh-CN"/>
        </w:rPr>
        <w:t xml:space="preserve">一</w:t>
      </w:r>
      <w:bookmarkEnd w:id="14"/>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1173.41</w:t>
      </w:r>
      <w:r>
        <w:rPr>
          <w:rFonts w:hint="eastAsia"/>
          <w:b w:val="0"/>
          <w:bCs w:val="0"/>
          <w:sz w:val="28"/>
          <w:szCs w:val="28"/>
        </w:rPr>
        <w:t xml:space="preserve">万元，总支出</w:t>
      </w:r>
      <w:r>
        <w:rPr>
          <w:rFonts w:hint="eastAsia"/>
          <w:sz w:val="28"/>
          <w:szCs w:val="28"/>
          <w:lang w:val="en-US" w:eastAsia="zh-CN"/>
        </w:rPr>
        <w:t xml:space="preserve">1173.41</w:t>
      </w:r>
      <w:r>
        <w:rPr>
          <w:rFonts w:hint="eastAsia"/>
          <w:b w:val="0"/>
          <w:bCs w:val="0"/>
          <w:sz w:val="28"/>
          <w:szCs w:val="28"/>
        </w:rPr>
        <w:t xml:space="preserve">万元。总收入较2023年度预算数</w:t>
      </w:r>
      <w:r>
        <w:rPr>
          <w:rFonts w:hint="eastAsia"/>
          <w:sz w:val="28"/>
          <w:szCs w:val="28"/>
          <w:lang w:val="en-US" w:eastAsia="zh-CN"/>
        </w:rPr>
        <w:t xml:space="preserve">1243.78</w:t>
      </w:r>
      <w:r>
        <w:rPr>
          <w:rFonts w:hint="eastAsia"/>
          <w:b w:val="0"/>
          <w:bCs w:val="0"/>
          <w:sz w:val="28"/>
          <w:szCs w:val="28"/>
        </w:rPr>
        <w:t xml:space="preserve">万元，</w:t>
      </w:r>
      <w:r>
        <w:rPr>
          <w:rFonts w:hint="eastAsia"/>
          <w:sz w:val="28"/>
          <w:szCs w:val="28"/>
        </w:rPr>
        <w:t xml:space="preserve">减少70.37</w:t>
      </w:r>
      <w:r>
        <w:rPr>
          <w:rFonts w:hint="eastAsia"/>
          <w:b w:val="0"/>
          <w:bCs w:val="0"/>
          <w:sz w:val="28"/>
          <w:szCs w:val="28"/>
        </w:rPr>
        <w:t xml:space="preserve">万元，</w:t>
      </w:r>
      <w:r>
        <w:rPr>
          <w:rFonts w:hint="eastAsia"/>
          <w:sz w:val="28"/>
          <w:szCs w:val="28"/>
        </w:rPr>
        <w:t xml:space="preserve">下降5.66%</w:t>
      </w:r>
      <w:r>
        <w:rPr>
          <w:rFonts w:hint="eastAsia"/>
          <w:b w:val="0"/>
          <w:bCs w:val="0"/>
          <w:sz w:val="28"/>
          <w:szCs w:val="28"/>
        </w:rPr>
        <w:t xml:space="preserve">，主要原因是</w:t>
      </w:r>
      <w:r>
        <w:rPr>
          <w:rFonts w:hint="eastAsia"/>
          <w:highlight w:val="none"/>
          <w:lang w:val="en-US" w:eastAsia="zh-CN"/>
        </w:rPr>
        <w:t xml:space="preserve">按相关政策规定压减预算数，节能环保、商业服务业等收入明显减少</w:t>
      </w:r>
      <w:r>
        <w:rPr>
          <w:rFonts w:hint="eastAsia"/>
          <w:b w:val="0"/>
          <w:bCs w:val="0"/>
          <w:sz w:val="28"/>
          <w:szCs w:val="28"/>
        </w:rPr>
        <w:t xml:space="preserve">。总支出较2023年度预算数</w:t>
      </w:r>
      <w:r>
        <w:rPr>
          <w:rFonts w:hint="eastAsia"/>
          <w:sz w:val="28"/>
          <w:szCs w:val="28"/>
          <w:lang w:val="en-US" w:eastAsia="zh-CN"/>
        </w:rPr>
        <w:t xml:space="preserve">1243.78</w:t>
      </w:r>
      <w:r>
        <w:rPr>
          <w:rFonts w:hint="eastAsia"/>
          <w:b w:val="0"/>
          <w:bCs w:val="0"/>
          <w:sz w:val="28"/>
          <w:szCs w:val="28"/>
        </w:rPr>
        <w:t xml:space="preserve">万元，</w:t>
      </w:r>
      <w:r>
        <w:rPr>
          <w:rFonts w:hint="eastAsia"/>
          <w:sz w:val="28"/>
          <w:szCs w:val="28"/>
        </w:rPr>
        <w:t xml:space="preserve">减少70.37</w:t>
      </w:r>
      <w:r>
        <w:rPr>
          <w:rFonts w:hint="eastAsia"/>
          <w:b w:val="0"/>
          <w:bCs w:val="0"/>
          <w:sz w:val="28"/>
          <w:szCs w:val="28"/>
        </w:rPr>
        <w:t xml:space="preserve">万元，</w:t>
      </w:r>
      <w:r>
        <w:rPr>
          <w:rFonts w:hint="eastAsia"/>
          <w:sz w:val="28"/>
          <w:szCs w:val="28"/>
        </w:rPr>
        <w:t xml:space="preserve">下降5.66%</w:t>
      </w:r>
      <w:r>
        <w:rPr>
          <w:rFonts w:hint="eastAsia"/>
          <w:b w:val="0"/>
          <w:bCs w:val="0"/>
          <w:sz w:val="28"/>
          <w:szCs w:val="28"/>
        </w:rPr>
        <w:t xml:space="preserve">，主要原因是</w:t>
      </w:r>
      <w:r>
        <w:rPr>
          <w:rFonts w:hint="eastAsia"/>
          <w:highlight w:val="none"/>
          <w:lang w:val="en-US" w:eastAsia="zh-CN"/>
        </w:rPr>
        <w:t xml:space="preserve">按相关政策规定压减预算数，节能环保、商业服务业等支出明显减少</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3534"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1173.41</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1243.78</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减少70.37</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下降5.66%</w:t>
      </w:r>
      <w:r>
        <w:rPr>
          <w:rFonts w:ascii="宋体" w:eastAsia="宋体" w:hAnsi="宋体" w:cs="宋体" w:hint="eastAsia"/>
          <w:sz w:val="28"/>
          <w:szCs w:val="28"/>
          <w:u w:color="auto"/>
        </w:rPr>
        <w:t xml:space="preserve">，主要原因是</w:t>
      </w:r>
      <w:r>
        <w:rPr>
          <w:rFonts w:hint="eastAsia"/>
          <w:highlight w:val="none"/>
          <w:lang w:val="en-US" w:eastAsia="zh-CN"/>
        </w:rPr>
        <w:t xml:space="preserve">按相关政策规定压减预算数，节能环保、商业服务业等支出明显减少</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3535"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1173.41</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1243.78</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减少70.37</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下降5.66%</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highlight w:val="none"/>
          <w:lang w:val="en-US" w:eastAsia="zh-CN"/>
        </w:rPr>
        <w:t xml:space="preserve">以上级相关资金文件为依据，大部分属于专项资金，按实际下达金额进行预算，今年结转金额与去年比较也有所减少，所以整体下降</w:t>
      </w:r>
      <w:r>
        <w:rPr>
          <w:rFonts w:ascii="宋体" w:eastAsia="宋体" w:hAnsi="宋体" w:cs="宋体" w:hint="eastAsia"/>
          <w:sz w:val="28"/>
          <w:szCs w:val="28"/>
          <w:lang w:eastAsia="zh-CN"/>
        </w:rPr>
        <w:t xml:space="preserve">。主要包括：</w:t>
      </w:r>
      <w:r>
        <w:rPr>
          <w:rFonts w:ascii="宋体" w:eastAsia="宋体" w:hAnsi="宋体" w:cs="宋体" w:hint="eastAsia"/>
          <w:sz w:val="28"/>
          <w:szCs w:val="28"/>
          <w:highlight w:val="none"/>
          <w:lang w:val="en-US" w:eastAsia="zh-CN"/>
        </w:rPr>
        <w:t xml:space="preserve">节能环保、商业服务业等支出明显减少</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（一）按支出功能分类科目划分，共分为</w:t>
      </w:r>
      <w:r>
        <w:rPr>
          <w:rFonts w:ascii="宋体" w:eastAsia="宋体" w:hAnsi="宋体" w:cs="宋体" w:hint="eastAsia"/>
          <w:sz w:val="28"/>
          <w:szCs w:val="28"/>
          <w:lang w:val="en-US" w:eastAsia="zh-CN"/>
        </w:rPr>
        <w:t xml:space="preserve">8</w:t>
      </w:r>
      <w:r>
        <w:rPr>
          <w:rFonts w:ascii="宋体" w:eastAsia="宋体" w:hAnsi="宋体" w:cs="宋体" w:hint="eastAsia"/>
          <w:sz w:val="28"/>
          <w:szCs w:val="28"/>
        </w:rP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社会保障和就业支出</w:t>
      </w:r>
      <w:r>
        <w:rPr>
          <w:rFonts w:ascii="宋体" w:eastAsia="宋体" w:hAnsi="宋体" w:cs="宋体" w:hint="eastAsia"/>
          <w:sz w:val="28"/>
          <w:szCs w:val="28"/>
          <w:lang w:val="en-US" w:eastAsia="zh-CN"/>
        </w:rPr>
        <w:t xml:space="preserve">55.36</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4.72%</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减少5.53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减少9.08%</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在职人员有调出及退休，人员减少，相应的支出也随着减少</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一般公共服务支出</w:t>
      </w:r>
      <w:r>
        <w:rPr>
          <w:rFonts w:ascii="宋体" w:eastAsia="宋体" w:hAnsi="宋体" w:cs="宋体" w:hint="eastAsia"/>
          <w:sz w:val="28"/>
          <w:szCs w:val="28"/>
          <w:lang w:val="en-US" w:eastAsia="zh-CN"/>
        </w:rPr>
        <w:t xml:space="preserve">551.59</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47.01%</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增长108.99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增长24.62%</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新增在职公务员基础绩效奖及事业人员基础性绩效工资增量预算，同时离退休干部生活补助费有所增加</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科学技术支出</w:t>
      </w:r>
      <w:r>
        <w:rPr>
          <w:rFonts w:ascii="宋体" w:eastAsia="宋体" w:hAnsi="宋体" w:cs="宋体" w:hint="eastAsia"/>
          <w:sz w:val="28"/>
          <w:szCs w:val="28"/>
          <w:lang w:val="en-US" w:eastAsia="zh-CN"/>
        </w:rPr>
        <w:t xml:space="preserve">300.00</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25.57%</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增长132.08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增长78.66%</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结合本单位实际工作情况，科技三项费用属于本年度新预算项目</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国有资本经营预算支出</w:t>
      </w:r>
      <w:r>
        <w:rPr>
          <w:rFonts w:ascii="宋体" w:eastAsia="宋体" w:hAnsi="宋体" w:cs="宋体" w:hint="eastAsia"/>
          <w:sz w:val="28"/>
          <w:szCs w:val="28"/>
          <w:lang w:val="en-US" w:eastAsia="zh-CN"/>
        </w:rPr>
        <w:t xml:space="preserve">5.21</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0.44%</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增长5.21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增长100%</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以上级相关资金文件为依据，属于中央专项补助资金，按实际下达金额进行本年度新增预算</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5</w:t>
      </w:r>
      <w:r>
        <w:rPr>
          <w:rFonts w:ascii="宋体" w:eastAsia="宋体" w:hAnsi="宋体" w:cs="宋体"/>
          <w:sz w:val="28"/>
          <w:u w:color="auto"/>
        </w:rPr>
        <w:t xml:space="preserve">)</w:t>
      </w:r>
      <w:r>
        <w:rPr>
          <w:rFonts w:ascii="宋体" w:eastAsia="宋体" w:hAnsi="宋体" w:cs="宋体"/>
          <w:sz w:val="28"/>
          <w:u w:color="auto"/>
        </w:rPr>
        <w:t xml:space="preserve">商业服务业等支出</w:t>
      </w:r>
      <w:r>
        <w:rPr>
          <w:rFonts w:ascii="宋体" w:eastAsia="宋体" w:hAnsi="宋体" w:cs="宋体" w:hint="eastAsia"/>
          <w:sz w:val="28"/>
          <w:szCs w:val="28"/>
          <w:lang w:val="en-US" w:eastAsia="zh-CN"/>
        </w:rPr>
        <w:t xml:space="preserve">102.00</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8.69%</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减少98.00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减少49.00%</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以上级相关资金文件为依据，属于中央外经贸专项资金，按实际下达金额进行预算</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6</w:t>
      </w:r>
      <w:r>
        <w:rPr>
          <w:rFonts w:ascii="宋体" w:eastAsia="宋体" w:hAnsi="宋体" w:cs="宋体"/>
          <w:sz w:val="28"/>
          <w:u w:color="auto"/>
        </w:rPr>
        <w:t xml:space="preserve">)</w:t>
      </w:r>
      <w:r>
        <w:rPr>
          <w:rFonts w:ascii="宋体" w:eastAsia="宋体" w:hAnsi="宋体" w:cs="宋体"/>
          <w:sz w:val="28"/>
          <w:u w:color="auto"/>
        </w:rPr>
        <w:t xml:space="preserve">节能环保支出</w:t>
      </w:r>
      <w:r>
        <w:rPr>
          <w:rFonts w:ascii="宋体" w:eastAsia="宋体" w:hAnsi="宋体" w:cs="宋体" w:hint="eastAsia"/>
          <w:sz w:val="28"/>
          <w:szCs w:val="28"/>
          <w:lang w:val="en-US" w:eastAsia="zh-CN"/>
        </w:rPr>
        <w:t xml:space="preserve">26.70</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2.28%</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减少300.00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减少91.83%</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以上级相关资金文件为依据，属于专项资金，按实际下达金额进行预算</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7</w:t>
      </w:r>
      <w:r>
        <w:rPr>
          <w:rFonts w:ascii="宋体" w:eastAsia="宋体" w:hAnsi="宋体" w:cs="宋体"/>
          <w:sz w:val="28"/>
          <w:u w:color="auto"/>
        </w:rPr>
        <w:t xml:space="preserve">)</w:t>
      </w:r>
      <w:r>
        <w:rPr>
          <w:rFonts w:ascii="宋体" w:eastAsia="宋体" w:hAnsi="宋体" w:cs="宋体"/>
          <w:sz w:val="28"/>
          <w:u w:color="auto"/>
        </w:rPr>
        <w:t xml:space="preserve">住房保障支出</w:t>
      </w:r>
      <w:r>
        <w:rPr>
          <w:rFonts w:ascii="宋体" w:eastAsia="宋体" w:hAnsi="宋体" w:cs="宋体" w:hint="eastAsia"/>
          <w:sz w:val="28"/>
          <w:szCs w:val="28"/>
          <w:lang w:val="en-US" w:eastAsia="zh-CN"/>
        </w:rPr>
        <w:t xml:space="preserve">47.55</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4.05%</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增长1.88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增长4.12%</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随着每个在职人员的工资逐年增加，公积金基数也随着增加，住房保障支出整体呈现增长</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8</w:t>
      </w:r>
      <w:r>
        <w:rPr>
          <w:rFonts w:ascii="宋体" w:eastAsia="宋体" w:hAnsi="宋体" w:cs="宋体"/>
          <w:sz w:val="28"/>
          <w:u w:color="auto"/>
        </w:rPr>
        <w:t xml:space="preserve">)</w:t>
      </w:r>
      <w:r>
        <w:rPr>
          <w:rFonts w:ascii="宋体" w:eastAsia="宋体" w:hAnsi="宋体" w:cs="宋体"/>
          <w:sz w:val="28"/>
          <w:u w:color="auto"/>
        </w:rPr>
        <w:t xml:space="preserve">资源勘探工业信息等支出</w:t>
      </w:r>
      <w:r>
        <w:rPr>
          <w:rFonts w:ascii="宋体" w:eastAsia="宋体" w:hAnsi="宋体" w:cs="宋体" w:hint="eastAsia"/>
          <w:sz w:val="28"/>
          <w:szCs w:val="28"/>
          <w:lang w:val="en-US" w:eastAsia="zh-CN"/>
        </w:rPr>
        <w:t xml:space="preserve">85.00</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7.24%</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增长85.00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增长100%</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以上级相关资金文件为依据，属于专项资金，按实际下达金额进行预算</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基本支出预算</w:t>
      </w:r>
      <w:r>
        <w:rPr>
          <w:rFonts w:ascii="宋体" w:eastAsia="宋体" w:hAnsi="宋体" w:cs="宋体" w:hint="eastAsia"/>
          <w:sz w:val="28"/>
          <w:szCs w:val="28"/>
          <w:lang w:val="en-US" w:eastAsia="zh-CN"/>
        </w:rPr>
        <w:t xml:space="preserve">578.11</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49.27%</w:t>
      </w:r>
      <w:r>
        <w:rPr>
          <w:rFonts w:ascii="宋体" w:eastAsia="宋体" w:hAnsi="宋体" w:cs="宋体"/>
          <w:sz w:val="28"/>
          <w:u w:color="auto"/>
        </w:rPr>
        <w:t xml:space="preserve">,比上年</w:t>
      </w:r>
      <w:r>
        <w:rPr>
          <w:rFonts w:ascii="宋体" w:eastAsia="宋体" w:hAnsi="宋体" w:cs="宋体"/>
          <w:sz w:val="28"/>
          <w:u w:color="auto"/>
        </w:rPr>
        <w:t xml:space="preserve">增长28.95</w:t>
      </w:r>
      <w:r>
        <w:rPr>
          <w:rFonts w:ascii="宋体" w:eastAsia="宋体" w:hAnsi="宋体" w:cs="宋体"/>
          <w:sz w:val="28"/>
          <w:u w:color="auto"/>
        </w:rPr>
        <w:t xml:space="preserve">万元，</w:t>
      </w:r>
      <w:r>
        <w:rPr>
          <w:rFonts w:ascii="宋体" w:eastAsia="宋体" w:hAnsi="宋体" w:cs="宋体"/>
          <w:sz w:val="28"/>
          <w:u w:color="auto"/>
        </w:rPr>
        <w:t xml:space="preserve">增长5.27%</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474.65</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82.10%</w:t>
      </w:r>
      <w:r>
        <w:rPr>
          <w:rFonts w:ascii="宋体" w:eastAsia="宋体" w:hAnsi="宋体" w:cs="宋体" w:hint="eastAsia"/>
          <w:sz w:val="28"/>
          <w:szCs w:val="28"/>
        </w:rPr>
        <w:t xml:space="preserve">,比上年</w:t>
      </w:r>
      <w:r>
        <w:rPr>
          <w:rFonts w:ascii="宋体" w:eastAsia="宋体" w:hAnsi="宋体" w:cs="宋体"/>
          <w:sz w:val="28"/>
          <w:u w:color="auto"/>
        </w:rPr>
        <w:t xml:space="preserve">增长11.72</w:t>
      </w:r>
      <w:r>
        <w:rPr>
          <w:rFonts w:ascii="宋体" w:eastAsia="宋体" w:hAnsi="宋体" w:cs="宋体"/>
          <w:sz w:val="28"/>
          <w:u w:color="auto"/>
        </w:rPr>
        <w:t xml:space="preserve">万元，</w:t>
      </w:r>
      <w:r>
        <w:rPr>
          <w:rFonts w:ascii="宋体" w:eastAsia="宋体" w:hAnsi="宋体" w:cs="宋体"/>
          <w:sz w:val="28"/>
          <w:u w:color="auto"/>
        </w:rPr>
        <w:t xml:space="preserve">增长2.53%</w:t>
      </w:r>
      <w:r>
        <w:rPr>
          <w:rFonts w:ascii="宋体" w:eastAsia="宋体" w:hAnsi="宋体" w:cs="宋体"/>
          <w:sz w:val="28"/>
          <w:u w:color="auto"/>
        </w:rPr>
        <w:t xml:space="preserve">,主要原因是：新增在职公务员基础绩效奖及事业人员基础性绩效工资增量预算，同时离退休干部生活补助费有所增加</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37.20</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6.43%</w:t>
      </w:r>
      <w:r>
        <w:rPr>
          <w:rFonts w:ascii="宋体" w:eastAsia="宋体" w:hAnsi="宋体" w:cs="宋体" w:hint="eastAsia"/>
          <w:sz w:val="28"/>
          <w:szCs w:val="28"/>
        </w:rPr>
        <w:t xml:space="preserve">,比上年</w:t>
      </w:r>
      <w:r>
        <w:rPr>
          <w:rFonts w:ascii="宋体" w:eastAsia="宋体" w:hAnsi="宋体" w:cs="宋体"/>
          <w:sz w:val="28"/>
          <w:u w:color="auto"/>
        </w:rPr>
        <w:t xml:space="preserve">减少5.38</w:t>
      </w:r>
      <w:r>
        <w:rPr>
          <w:rFonts w:ascii="宋体" w:eastAsia="宋体" w:hAnsi="宋体" w:cs="宋体"/>
          <w:sz w:val="28"/>
          <w:u w:color="auto"/>
        </w:rPr>
        <w:t xml:space="preserve">万元，</w:t>
      </w:r>
      <w:r>
        <w:rPr>
          <w:rFonts w:ascii="宋体" w:eastAsia="宋体" w:hAnsi="宋体" w:cs="宋体"/>
          <w:sz w:val="28"/>
          <w:u w:color="auto"/>
        </w:rPr>
        <w:t xml:space="preserve">减少12.64%</w:t>
      </w:r>
      <w:r>
        <w:rPr>
          <w:rFonts w:ascii="宋体" w:eastAsia="宋体" w:hAnsi="宋体" w:cs="宋体"/>
          <w:sz w:val="28"/>
          <w:u w:color="auto"/>
        </w:rPr>
        <w:t xml:space="preserve">,主要原因是：财政财力紧张，按相关政策规定压减预算数，加上在职人员调出及退休，工会会费预算数相应减少</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66.25</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11.46%</w:t>
      </w:r>
      <w:r>
        <w:rPr>
          <w:rFonts w:ascii="宋体" w:eastAsia="宋体" w:hAnsi="宋体" w:cs="宋体" w:hint="eastAsia"/>
          <w:sz w:val="28"/>
          <w:szCs w:val="28"/>
        </w:rPr>
        <w:t xml:space="preserve">,比上年</w:t>
      </w:r>
      <w:r>
        <w:rPr>
          <w:rFonts w:ascii="宋体" w:eastAsia="宋体" w:hAnsi="宋体" w:cs="宋体"/>
          <w:sz w:val="28"/>
          <w:u w:color="auto"/>
        </w:rPr>
        <w:t xml:space="preserve">增长22.61</w:t>
      </w:r>
      <w:r>
        <w:rPr>
          <w:rFonts w:ascii="宋体" w:eastAsia="宋体" w:hAnsi="宋体" w:cs="宋体"/>
          <w:sz w:val="28"/>
          <w:u w:color="auto"/>
        </w:rPr>
        <w:t xml:space="preserve">万元，</w:t>
      </w:r>
      <w:r>
        <w:rPr>
          <w:rFonts w:ascii="宋体" w:eastAsia="宋体" w:hAnsi="宋体" w:cs="宋体"/>
          <w:sz w:val="28"/>
          <w:u w:color="auto"/>
        </w:rPr>
        <w:t xml:space="preserve">增长51.81%</w:t>
      </w:r>
      <w:r>
        <w:rPr>
          <w:rFonts w:ascii="宋体" w:eastAsia="宋体" w:hAnsi="宋体" w:cs="宋体"/>
          <w:sz w:val="28"/>
          <w:u w:color="auto"/>
        </w:rPr>
        <w:t xml:space="preserve">,主要原因是：退休干部职工生活补助费有所提高</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项目支出预算</w:t>
      </w:r>
      <w:r>
        <w:rPr>
          <w:rFonts w:ascii="宋体" w:eastAsia="宋体" w:hAnsi="宋体" w:cs="宋体" w:hint="eastAsia"/>
          <w:sz w:val="28"/>
          <w:szCs w:val="28"/>
          <w:lang w:val="en-US" w:eastAsia="zh-CN"/>
        </w:rPr>
        <w:t xml:space="preserve">595.30</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50.73%</w:t>
      </w:r>
      <w:r>
        <w:rPr>
          <w:rFonts w:ascii="宋体" w:eastAsia="宋体" w:hAnsi="宋体" w:cs="宋体" w:hint="eastAsia"/>
          <w:sz w:val="28"/>
          <w:szCs w:val="28"/>
        </w:rPr>
        <w:t xml:space="preserve">,比上年</w:t>
      </w:r>
      <w:r>
        <w:rPr>
          <w:rFonts w:ascii="宋体" w:eastAsia="宋体" w:hAnsi="宋体" w:cs="宋体"/>
          <w:sz w:val="28"/>
          <w:u w:color="auto"/>
        </w:rPr>
        <w:t xml:space="preserve">减少99.32</w:t>
      </w:r>
      <w:r>
        <w:rPr>
          <w:rFonts w:ascii="宋体" w:eastAsia="宋体" w:hAnsi="宋体" w:cs="宋体" w:hint="eastAsia"/>
          <w:sz w:val="28"/>
          <w:szCs w:val="28"/>
        </w:rPr>
        <w:t xml:space="preserve">万元，</w:t>
      </w:r>
      <w:r>
        <w:rPr>
          <w:rFonts w:ascii="宋体" w:eastAsia="宋体" w:hAnsi="宋体" w:cs="宋体"/>
          <w:sz w:val="28"/>
          <w:u w:color="auto"/>
        </w:rPr>
        <w:t xml:space="preserve">减少14.30%</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369.89</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62.14%</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增长143.22</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增长63.18%</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en-US" w:eastAsia="zh-CN" w:bidi="zh-TW"/>
        </w:rPr>
        <w:t xml:space="preserve">  </w:t>
      </w:r>
      <w:r>
        <w:rPr>
          <w:rFonts w:ascii="宋体" w:eastAsia="宋体" w:hAnsi="宋体" w:cs="宋体" w:hint="eastAsia"/>
          <w:color w:val="000000"/>
          <w:sz w:val="28"/>
          <w:szCs w:val="28"/>
          <w:lang w:val="zh-TW" w:eastAsia="zh-TW" w:bidi="zh-TW"/>
        </w:rPr>
        <w:t xml:space="preserve">根据本单位工作开展需要，以及上级相关文件为依据，本年度新增项目“固定资产投资项目节能报告评审经费”、“科技三项费用”、“2022年外经贸资金”，及结转上年度项目“2022年缉私经费”属于商品和服务支出范畴</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对企业补助</w:t>
      </w:r>
      <w:r>
        <w:rPr>
          <w:rFonts w:ascii="宋体" w:eastAsia="宋体" w:hAnsi="宋体" w:cs="宋体" w:hint="eastAsia"/>
          <w:sz w:val="28"/>
          <w:szCs w:val="28"/>
          <w:lang w:val="en-US" w:eastAsia="zh-CN"/>
        </w:rPr>
        <w:t xml:space="preserve">223.91</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37.61%</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减少202.79</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减少47.53%</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en-US" w:eastAsia="zh-CN" w:bidi="zh-TW"/>
        </w:rPr>
        <w:t xml:space="preserve">  </w:t>
      </w:r>
      <w:r>
        <w:rPr>
          <w:rFonts w:ascii="宋体" w:eastAsia="宋体" w:hAnsi="宋体" w:cs="宋体" w:hint="eastAsia"/>
          <w:color w:val="000000"/>
          <w:sz w:val="28"/>
          <w:szCs w:val="28"/>
          <w:lang w:val="zh-TW" w:eastAsia="zh-TW" w:bidi="zh-TW"/>
        </w:rPr>
        <w:t xml:space="preserve">以上级相关资金文件为依据，属于专项资金，按实际下达金额进行预算，今年与去年比较有所减少</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0.00%</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减少3.00</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减少100.00%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en-US" w:eastAsia="zh-CN" w:bidi="zh-TW"/>
        </w:rPr>
        <w:t xml:space="preserve">  </w:t>
      </w:r>
      <w:r>
        <w:rPr>
          <w:rFonts w:ascii="宋体" w:eastAsia="宋体" w:hAnsi="宋体" w:cs="宋体" w:hint="eastAsia"/>
          <w:color w:val="000000"/>
          <w:sz w:val="28"/>
          <w:szCs w:val="28"/>
          <w:lang w:val="zh-TW" w:eastAsia="zh-TW" w:bidi="zh-TW"/>
        </w:rPr>
        <w:t xml:space="preserve">2024年不存在该项目预算</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1.50</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0.25%</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减少36.75</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减少96.08%</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en-US" w:eastAsia="zh-CN" w:bidi="zh-TW"/>
        </w:rPr>
        <w:t xml:space="preserve">  </w:t>
      </w:r>
      <w:r>
        <w:rPr>
          <w:rFonts w:ascii="宋体" w:eastAsia="宋体" w:hAnsi="宋体" w:cs="宋体" w:hint="eastAsia"/>
          <w:color w:val="000000"/>
          <w:sz w:val="28"/>
          <w:szCs w:val="28"/>
          <w:lang w:val="zh-TW" w:eastAsia="zh-TW" w:bidi="zh-TW"/>
        </w:rPr>
        <w:t xml:space="preserve">以上级相关资金文件为依据，属于专项资金，按实际下达金额进行预算，今年与去年比较有所减少</w:t>
      </w:r>
      <w:r>
        <w:rPr>
          <w:rFonts w:ascii="宋体" w:eastAsia="宋体" w:hAnsi="宋体" w:cs="宋体" w:hint="eastAsia"/>
          <w:color w:val="000000"/>
          <w:sz w:val="28"/>
          <w:szCs w:val="28"/>
          <w:lang w:val="en-US" w:eastAsia="zh-CN" w:bidi="zh-TW"/>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3536"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1173.41</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1173.41</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1243.78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减少70.37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下降5.66%</w:t>
      </w:r>
      <w:r>
        <w:rPr>
          <w:rFonts w:ascii="宋体" w:eastAsia="宋体" w:hAnsi="宋体" w:cs="宋体" w:hint="eastAsia"/>
          <w:sz w:val="28"/>
          <w:szCs w:val="28"/>
        </w:rPr>
        <w:t xml:space="preserve">，主要原因是</w:t>
      </w:r>
      <w:r>
        <w:rPr>
          <w:rFonts w:hint="eastAsia"/>
          <w:highlight w:val="none"/>
          <w:lang w:val="en-US" w:eastAsia="zh-CN"/>
        </w:rPr>
        <w:t xml:space="preserve">以上级相关资金文件为依据，节能环保、商业服务业等下达金额明显减少</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1243.78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减少70.37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下降5.66%</w:t>
      </w:r>
      <w:r>
        <w:rPr>
          <w:rFonts w:ascii="宋体" w:eastAsia="宋体" w:hAnsi="宋体" w:cs="宋体" w:hint="eastAsia"/>
          <w:sz w:val="28"/>
          <w:szCs w:val="28"/>
        </w:rPr>
        <w:t xml:space="preserve">，主要原因是</w:t>
      </w:r>
      <w:r>
        <w:rPr>
          <w:rFonts w:hint="eastAsia"/>
          <w:highlight w:val="none"/>
          <w:lang w:val="en-US" w:eastAsia="zh-CN"/>
        </w:rPr>
        <w:t xml:space="preserve">以上级相关资金文件为依据，节能环保、商业服务业等下达金额明显减少，支出也随着减少</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3537"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1168.20</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1243.78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减少75.58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下降6.08%</w:t>
      </w:r>
      <w:r>
        <w:rPr>
          <w:rFonts w:ascii="宋体" w:eastAsia="宋体" w:hAnsi="宋体" w:cs="宋体" w:hint="eastAsia"/>
          <w:sz w:val="28"/>
          <w:szCs w:val="28"/>
        </w:rPr>
        <w:t xml:space="preserve">，主要原因是</w:t>
      </w:r>
      <w:r>
        <w:rPr>
          <w:rFonts w:hint="eastAsia"/>
          <w:highlight w:val="none"/>
          <w:lang w:val="en-US" w:eastAsia="zh-CN"/>
        </w:rPr>
        <w:t xml:space="preserve">本年度结转结余金额比上年度的结转结余金额明显减少</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551.59</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47.22%</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442.60</w:t>
      </w:r>
      <w:r>
        <w:rPr>
          <w:rFonts w:ascii="宋体" w:eastAsia="宋体" w:hAnsi="宋体" w:cs="宋体" w:hint="eastAsia"/>
          <w:sz w:val="28"/>
          <w:szCs w:val="28"/>
        </w:rPr>
        <w:t xml:space="preserve">万元，</w:t>
      </w:r>
      <w:r>
        <w:rPr>
          <w:rFonts w:ascii="宋体" w:eastAsia="宋体" w:hAnsi="宋体" w:cs="宋体"/>
          <w:sz w:val="28"/>
          <w:u w:color="auto"/>
        </w:rPr>
        <w:t xml:space="preserve">增长108.99</w:t>
      </w:r>
      <w:r>
        <w:rPr>
          <w:rFonts w:ascii="宋体" w:eastAsia="宋体" w:hAnsi="宋体" w:cs="宋体" w:hint="eastAsia"/>
          <w:sz w:val="28"/>
          <w:szCs w:val="28"/>
        </w:rPr>
        <w:t xml:space="preserve">万元，</w:t>
      </w:r>
      <w:r>
        <w:rPr>
          <w:rFonts w:ascii="宋体" w:eastAsia="宋体" w:hAnsi="宋体" w:cs="宋体"/>
          <w:sz w:val="28"/>
          <w:u w:color="auto"/>
        </w:rPr>
        <w:t xml:space="preserve">增长24.62%</w:t>
      </w:r>
      <w:r>
        <w:rPr>
          <w:rFonts w:ascii="宋体" w:eastAsia="宋体" w:hAnsi="宋体" w:cs="宋体" w:hint="eastAsia"/>
          <w:sz w:val="28"/>
          <w:szCs w:val="28"/>
        </w:rPr>
        <w:t xml:space="preserve">，主要原因是：</w:t>
      </w:r>
      <w:r>
        <w:rPr>
          <w:rFonts w:hint="eastAsia"/>
          <w:highlight w:val="none"/>
        </w:rPr>
        <w:t xml:space="preserve">新增在职公务员基础绩效奖及事业人员基础性绩效工资增量预算，同时离退休干部生活补助费有所增加</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47.55</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4.07%</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45.67</w:t>
      </w:r>
      <w:r>
        <w:rPr>
          <w:rFonts w:ascii="宋体" w:eastAsia="宋体" w:hAnsi="宋体" w:cs="宋体" w:hint="eastAsia"/>
          <w:sz w:val="28"/>
          <w:szCs w:val="28"/>
        </w:rPr>
        <w:t xml:space="preserve">万元，</w:t>
      </w:r>
      <w:r>
        <w:rPr>
          <w:rFonts w:ascii="宋体" w:eastAsia="宋体" w:hAnsi="宋体" w:cs="宋体"/>
          <w:sz w:val="28"/>
          <w:u w:color="auto"/>
        </w:rPr>
        <w:t xml:space="preserve">增长1.88</w:t>
      </w:r>
      <w:r>
        <w:rPr>
          <w:rFonts w:ascii="宋体" w:eastAsia="宋体" w:hAnsi="宋体" w:cs="宋体" w:hint="eastAsia"/>
          <w:sz w:val="28"/>
          <w:szCs w:val="28"/>
        </w:rPr>
        <w:t xml:space="preserve">万元，</w:t>
      </w:r>
      <w:r>
        <w:rPr>
          <w:rFonts w:ascii="宋体" w:eastAsia="宋体" w:hAnsi="宋体" w:cs="宋体"/>
          <w:sz w:val="28"/>
          <w:u w:color="auto"/>
        </w:rPr>
        <w:t xml:space="preserve">增长4.12%</w:t>
      </w:r>
      <w:r>
        <w:rPr>
          <w:rFonts w:ascii="宋体" w:eastAsia="宋体" w:hAnsi="宋体" w:cs="宋体" w:hint="eastAsia"/>
          <w:sz w:val="28"/>
          <w:szCs w:val="28"/>
        </w:rPr>
        <w:t xml:space="preserve">，主要原因是：</w:t>
      </w:r>
      <w:r>
        <w:rPr>
          <w:rFonts w:hint="eastAsia"/>
          <w:highlight w:val="none"/>
        </w:rPr>
        <w:t xml:space="preserve">随着每个在职人员的工资逐年增加，公积金基数也随着增加，住房保障支出整体呈现增长</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商业服务业等支出</w:t>
      </w:r>
      <w:r>
        <w:rPr>
          <w:rFonts w:ascii="宋体" w:eastAsia="宋体" w:hAnsi="宋体" w:cs="宋体" w:hint="eastAsia"/>
          <w:sz w:val="28"/>
          <w:szCs w:val="28"/>
        </w:rPr>
        <w:t xml:space="preserve">（类）支出</w:t>
      </w:r>
      <w:r>
        <w:rPr>
          <w:rFonts w:ascii="宋体" w:eastAsia="宋体" w:hAnsi="宋体" w:cs="宋体"/>
          <w:sz w:val="28"/>
          <w:u w:color="auto"/>
        </w:rPr>
        <w:t xml:space="preserve">102.00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8.73%</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200.00</w:t>
      </w:r>
      <w:r>
        <w:rPr>
          <w:rFonts w:ascii="宋体" w:eastAsia="宋体" w:hAnsi="宋体" w:cs="宋体" w:hint="eastAsia"/>
          <w:sz w:val="28"/>
          <w:szCs w:val="28"/>
        </w:rPr>
        <w:t xml:space="preserve">万元，</w:t>
      </w:r>
      <w:r>
        <w:rPr>
          <w:rFonts w:ascii="宋体" w:eastAsia="宋体" w:hAnsi="宋体" w:cs="宋体"/>
          <w:sz w:val="28"/>
          <w:u w:color="auto"/>
        </w:rPr>
        <w:t xml:space="preserve">减少98.00</w:t>
      </w:r>
      <w:r>
        <w:rPr>
          <w:rFonts w:ascii="宋体" w:eastAsia="宋体" w:hAnsi="宋体" w:cs="宋体" w:hint="eastAsia"/>
          <w:sz w:val="28"/>
          <w:szCs w:val="28"/>
        </w:rPr>
        <w:t xml:space="preserve">万元，</w:t>
      </w:r>
      <w:r>
        <w:rPr>
          <w:rFonts w:ascii="宋体" w:eastAsia="宋体" w:hAnsi="宋体" w:cs="宋体"/>
          <w:sz w:val="28"/>
          <w:u w:color="auto"/>
        </w:rPr>
        <w:t xml:space="preserve">减少49.00%</w:t>
      </w:r>
      <w:r>
        <w:rPr>
          <w:rFonts w:ascii="宋体" w:eastAsia="宋体" w:hAnsi="宋体" w:cs="宋体" w:hint="eastAsia"/>
          <w:sz w:val="28"/>
          <w:szCs w:val="28"/>
        </w:rPr>
        <w:t xml:space="preserve">，主要原因是：</w:t>
      </w:r>
      <w:r>
        <w:rPr>
          <w:rFonts w:hint="eastAsia"/>
          <w:highlight w:val="none"/>
        </w:rPr>
        <w:t xml:space="preserve">以上级相关资金文件为依据，属于中央外经贸专项资金，按实际下达金额进行预算</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55.36</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4.74%</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60.89</w:t>
      </w:r>
      <w:r>
        <w:rPr>
          <w:rFonts w:ascii="宋体" w:eastAsia="宋体" w:hAnsi="宋体" w:cs="宋体" w:hint="eastAsia"/>
          <w:sz w:val="28"/>
          <w:szCs w:val="28"/>
        </w:rPr>
        <w:t xml:space="preserve">万元，</w:t>
      </w:r>
      <w:r>
        <w:rPr>
          <w:rFonts w:ascii="宋体" w:eastAsia="宋体" w:hAnsi="宋体" w:cs="宋体"/>
          <w:sz w:val="28"/>
          <w:u w:color="auto"/>
        </w:rPr>
        <w:t xml:space="preserve">减少5.53</w:t>
      </w:r>
      <w:r>
        <w:rPr>
          <w:rFonts w:ascii="宋体" w:eastAsia="宋体" w:hAnsi="宋体" w:cs="宋体" w:hint="eastAsia"/>
          <w:sz w:val="28"/>
          <w:szCs w:val="28"/>
        </w:rPr>
        <w:t xml:space="preserve">万元，</w:t>
      </w:r>
      <w:r>
        <w:rPr>
          <w:rFonts w:ascii="宋体" w:eastAsia="宋体" w:hAnsi="宋体" w:cs="宋体"/>
          <w:sz w:val="28"/>
          <w:u w:color="auto"/>
        </w:rPr>
        <w:t xml:space="preserve">减少9.08%</w:t>
      </w:r>
      <w:r>
        <w:rPr>
          <w:rFonts w:ascii="宋体" w:eastAsia="宋体" w:hAnsi="宋体" w:cs="宋体" w:hint="eastAsia"/>
          <w:sz w:val="28"/>
          <w:szCs w:val="28"/>
        </w:rPr>
        <w:t xml:space="preserve">，主要原因是：</w:t>
      </w:r>
      <w:r>
        <w:rPr>
          <w:rFonts w:hint="eastAsia"/>
          <w:highlight w:val="none"/>
        </w:rPr>
        <w:t xml:space="preserve">在职人员有调出及退休，人员减少，相应的支出也随着减少</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科学技术支出</w:t>
      </w:r>
      <w:r>
        <w:rPr>
          <w:rFonts w:ascii="宋体" w:eastAsia="宋体" w:hAnsi="宋体" w:cs="宋体" w:hint="eastAsia"/>
          <w:sz w:val="28"/>
          <w:szCs w:val="28"/>
        </w:rPr>
        <w:t xml:space="preserve">（类）支出</w:t>
      </w:r>
      <w:r>
        <w:rPr>
          <w:rFonts w:ascii="宋体" w:eastAsia="宋体" w:hAnsi="宋体" w:cs="宋体"/>
          <w:sz w:val="28"/>
          <w:u w:color="auto"/>
        </w:rPr>
        <w:t xml:space="preserve">300.00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25.68%</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167.92</w:t>
      </w:r>
      <w:r>
        <w:rPr>
          <w:rFonts w:ascii="宋体" w:eastAsia="宋体" w:hAnsi="宋体" w:cs="宋体" w:hint="eastAsia"/>
          <w:sz w:val="28"/>
          <w:szCs w:val="28"/>
        </w:rPr>
        <w:t xml:space="preserve">万元，</w:t>
      </w:r>
      <w:r>
        <w:rPr>
          <w:rFonts w:ascii="宋体" w:eastAsia="宋体" w:hAnsi="宋体" w:cs="宋体"/>
          <w:sz w:val="28"/>
          <w:u w:color="auto"/>
        </w:rPr>
        <w:t xml:space="preserve">增长132.08</w:t>
      </w:r>
      <w:r>
        <w:rPr>
          <w:rFonts w:ascii="宋体" w:eastAsia="宋体" w:hAnsi="宋体" w:cs="宋体" w:hint="eastAsia"/>
          <w:sz w:val="28"/>
          <w:szCs w:val="28"/>
        </w:rPr>
        <w:t xml:space="preserve">万元，</w:t>
      </w:r>
      <w:r>
        <w:rPr>
          <w:rFonts w:ascii="宋体" w:eastAsia="宋体" w:hAnsi="宋体" w:cs="宋体"/>
          <w:sz w:val="28"/>
          <w:u w:color="auto"/>
        </w:rPr>
        <w:t xml:space="preserve">增长78.66%</w:t>
      </w:r>
      <w:r>
        <w:rPr>
          <w:rFonts w:ascii="宋体" w:eastAsia="宋体" w:hAnsi="宋体" w:cs="宋体" w:hint="eastAsia"/>
          <w:sz w:val="28"/>
          <w:szCs w:val="28"/>
        </w:rPr>
        <w:t xml:space="preserve">，主要原因是：</w:t>
      </w:r>
      <w:r>
        <w:rPr>
          <w:rFonts w:hint="eastAsia"/>
          <w:highlight w:val="none"/>
        </w:rPr>
        <w:t xml:space="preserve">结合本单位实际工作情况，科技三项费用属于本年度新预算项目</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节能环保支出</w:t>
      </w:r>
      <w:r>
        <w:rPr>
          <w:rFonts w:ascii="宋体" w:eastAsia="宋体" w:hAnsi="宋体" w:cs="宋体" w:hint="eastAsia"/>
          <w:sz w:val="28"/>
          <w:szCs w:val="28"/>
        </w:rPr>
        <w:t xml:space="preserve">（类）支出</w:t>
      </w:r>
      <w:r>
        <w:rPr>
          <w:rFonts w:ascii="宋体" w:eastAsia="宋体" w:hAnsi="宋体" w:cs="宋体"/>
          <w:sz w:val="28"/>
          <w:u w:color="auto"/>
        </w:rPr>
        <w:t xml:space="preserve">26.70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2.29%</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326.70</w:t>
      </w:r>
      <w:r>
        <w:rPr>
          <w:rFonts w:ascii="宋体" w:eastAsia="宋体" w:hAnsi="宋体" w:cs="宋体" w:hint="eastAsia"/>
          <w:sz w:val="28"/>
          <w:szCs w:val="28"/>
        </w:rPr>
        <w:t xml:space="preserve">万元，</w:t>
      </w:r>
      <w:r>
        <w:rPr>
          <w:rFonts w:ascii="宋体" w:eastAsia="宋体" w:hAnsi="宋体" w:cs="宋体"/>
          <w:sz w:val="28"/>
          <w:u w:color="auto"/>
        </w:rPr>
        <w:t xml:space="preserve">减少300.00</w:t>
      </w:r>
      <w:r>
        <w:rPr>
          <w:rFonts w:ascii="宋体" w:eastAsia="宋体" w:hAnsi="宋体" w:cs="宋体" w:hint="eastAsia"/>
          <w:sz w:val="28"/>
          <w:szCs w:val="28"/>
        </w:rPr>
        <w:t xml:space="preserve">万元，</w:t>
      </w:r>
      <w:r>
        <w:rPr>
          <w:rFonts w:ascii="宋体" w:eastAsia="宋体" w:hAnsi="宋体" w:cs="宋体"/>
          <w:sz w:val="28"/>
          <w:u w:color="auto"/>
        </w:rPr>
        <w:t xml:space="preserve">减少91.83%</w:t>
      </w:r>
      <w:r>
        <w:rPr>
          <w:rFonts w:ascii="宋体" w:eastAsia="宋体" w:hAnsi="宋体" w:cs="宋体" w:hint="eastAsia"/>
          <w:sz w:val="28"/>
          <w:szCs w:val="28"/>
        </w:rPr>
        <w:t xml:space="preserve">，主要原因是：</w:t>
      </w:r>
      <w:r>
        <w:rPr>
          <w:rFonts w:hint="eastAsia"/>
          <w:highlight w:val="none"/>
        </w:rPr>
        <w:t xml:space="preserve">以上级相关资金文件为依据，属于专项资金，按实际下达金额进行预算</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资源勘探工业信息等支出</w:t>
      </w:r>
      <w:r>
        <w:rPr>
          <w:rFonts w:ascii="宋体" w:eastAsia="宋体" w:hAnsi="宋体" w:cs="宋体" w:hint="eastAsia"/>
          <w:sz w:val="28"/>
          <w:szCs w:val="28"/>
        </w:rPr>
        <w:t xml:space="preserve">（类）支出</w:t>
      </w:r>
      <w:r>
        <w:rPr>
          <w:rFonts w:ascii="宋体" w:eastAsia="宋体" w:hAnsi="宋体" w:cs="宋体"/>
          <w:sz w:val="28"/>
          <w:u w:color="auto"/>
        </w:rPr>
        <w:t xml:space="preserve">85.00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7.28%</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0.00</w:t>
      </w:r>
      <w:r>
        <w:rPr>
          <w:rFonts w:ascii="宋体" w:eastAsia="宋体" w:hAnsi="宋体" w:cs="宋体" w:hint="eastAsia"/>
          <w:sz w:val="28"/>
          <w:szCs w:val="28"/>
        </w:rPr>
        <w:t xml:space="preserve">万元，</w:t>
      </w:r>
      <w:r>
        <w:rPr>
          <w:rFonts w:ascii="宋体" w:eastAsia="宋体" w:hAnsi="宋体" w:cs="宋体"/>
          <w:sz w:val="28"/>
          <w:u w:color="auto"/>
        </w:rPr>
        <w:t xml:space="preserve">增长85.00</w:t>
      </w:r>
      <w:r>
        <w:rPr>
          <w:rFonts w:ascii="宋体" w:eastAsia="宋体" w:hAnsi="宋体" w:cs="宋体" w:hint="eastAsia"/>
          <w:sz w:val="28"/>
          <w:szCs w:val="28"/>
        </w:rPr>
        <w:t xml:space="preserve">万元，</w:t>
      </w:r>
      <w:r>
        <w:rPr>
          <w:rFonts w:ascii="宋体" w:eastAsia="宋体" w:hAnsi="宋体" w:cs="宋体"/>
          <w:sz w:val="28"/>
          <w:u w:color="auto"/>
        </w:rPr>
        <w:t xml:space="preserve">增长100%</w:t>
      </w:r>
      <w:r>
        <w:rPr>
          <w:rFonts w:ascii="宋体" w:eastAsia="宋体" w:hAnsi="宋体" w:cs="宋体" w:hint="eastAsia"/>
          <w:sz w:val="28"/>
          <w:szCs w:val="28"/>
        </w:rPr>
        <w:t xml:space="preserve">，主要原因是：</w:t>
      </w:r>
      <w:r>
        <w:rPr>
          <w:rFonts w:hint="eastAsia"/>
          <w:highlight w:val="none"/>
        </w:rPr>
        <w:t xml:space="preserve">以上级相关资金文件为依据，属于专项资金，按实际下达金额进行预算</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3538"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2"/>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578.11</w:t>
      </w:r>
      <w:r>
        <w:rPr>
          <w:rFonts w:hint="eastAsia"/>
        </w:rPr>
        <w:t xml:space="preserve">万元，较2023年度预算数</w:t>
      </w:r>
      <w:r>
        <w:rPr>
          <w:rFonts w:hint="eastAsia"/>
          <w:lang w:val="en-US" w:eastAsia="zh-CN"/>
        </w:rPr>
        <w:t xml:space="preserve">549.16</w:t>
      </w:r>
      <w:r>
        <w:rPr>
          <w:rFonts w:hint="eastAsia"/>
        </w:rPr>
        <w:t xml:space="preserve">万元</w:t>
      </w:r>
      <w:r>
        <w:rPr>
          <w:rFonts w:hint="eastAsia"/>
          <w:lang w:val="en-US" w:eastAsia="zh-CN"/>
        </w:rPr>
        <w:t xml:space="preserve">,</w:t>
      </w:r>
      <w:r>
        <w:rPr>
          <w:u w:color="auto"/>
        </w:rPr>
        <w:t xml:space="preserve">增加28.95</w:t>
      </w:r>
      <w:r>
        <w:rPr>
          <w:rFonts w:hint="eastAsia"/>
        </w:rPr>
        <w:t xml:space="preserve">万元，</w:t>
      </w:r>
      <w:r>
        <w:rPr>
          <w:rFonts w:hint="eastAsia"/>
          <w:lang w:val="en-US" w:eastAsia="zh-CN"/>
        </w:rPr>
        <w:t xml:space="preserve">增长5.27%</w:t>
      </w:r>
      <w:r>
        <w:rPr>
          <w:rFonts w:hint="eastAsia"/>
        </w:rPr>
        <w:t xml:space="preserve">，主要原因是</w:t>
      </w:r>
      <w:r>
        <w:rPr>
          <w:rFonts w:hint="eastAsia"/>
          <w:highlight w:val="none"/>
          <w:lang w:val="en-US" w:eastAsia="zh-CN"/>
        </w:rPr>
        <w:t xml:space="preserve">新增在职公务员基础绩效奖及事业人员基础性绩效工资增量预算，同时离退休干部生活补助费有所增加</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474.65</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82.10%</w:t>
      </w:r>
      <w:r>
        <w:rPr>
          <w:rFonts w:hint="eastAsia"/>
        </w:rPr>
        <w:t xml:space="preserve">，较2023年度预算数</w:t>
      </w:r>
      <w:r>
        <w:rPr>
          <w:rFonts w:hint="eastAsia"/>
          <w:lang w:val="en-US" w:eastAsia="zh-CN"/>
        </w:rPr>
        <w:t xml:space="preserve">462.93</w:t>
      </w:r>
      <w:r>
        <w:rPr>
          <w:rFonts w:hint="eastAsia"/>
        </w:rPr>
        <w:t xml:space="preserve">万元，</w:t>
      </w:r>
      <w:r>
        <w:rPr>
          <w:rFonts w:hint="eastAsia"/>
          <w:lang w:val="en-US" w:eastAsia="zh-CN"/>
        </w:rPr>
        <w:t xml:space="preserve">增长11.72</w:t>
      </w:r>
      <w:r>
        <w:rPr>
          <w:rFonts w:hint="eastAsia"/>
        </w:rPr>
        <w:t xml:space="preserve">万元，</w:t>
      </w:r>
      <w:r>
        <w:rPr>
          <w:rFonts w:hint="eastAsia"/>
          <w:lang w:val="en-US" w:eastAsia="zh-CN"/>
        </w:rPr>
        <w:t xml:space="preserve">增长2.53%</w:t>
      </w:r>
      <w:r>
        <w:rPr>
          <w:rFonts w:hint="eastAsia"/>
        </w:rPr>
        <w:t xml:space="preserve">，主要原因是：</w:t>
      </w:r>
      <w:r>
        <w:rPr>
          <w:rFonts w:hint="eastAsia"/>
          <w:highlight w:val="none"/>
        </w:rPr>
        <w:t xml:space="preserve">新增在职公务员基础绩效奖及事业人员基础性绩效工资增量预算，同时离退休干部生活补助费有所增加</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37.20</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6.43%</w:t>
      </w:r>
      <w:r>
        <w:rPr>
          <w:rFonts w:hint="eastAsia"/>
        </w:rPr>
        <w:t xml:space="preserve">，较2023年度预算数</w:t>
      </w:r>
      <w:r>
        <w:rPr>
          <w:rFonts w:hint="eastAsia"/>
          <w:lang w:val="en-US" w:eastAsia="zh-CN"/>
        </w:rPr>
        <w:t xml:space="preserve">42.58</w:t>
      </w:r>
      <w:r>
        <w:rPr>
          <w:rFonts w:hint="eastAsia"/>
        </w:rPr>
        <w:t xml:space="preserve">万元，</w:t>
      </w:r>
      <w:r>
        <w:rPr>
          <w:rFonts w:hint="eastAsia"/>
          <w:lang w:val="en-US" w:eastAsia="zh-CN"/>
        </w:rPr>
        <w:t xml:space="preserve">减少5.38</w:t>
      </w:r>
      <w:r>
        <w:rPr>
          <w:rFonts w:hint="eastAsia"/>
        </w:rPr>
        <w:t xml:space="preserve">万元，</w:t>
      </w:r>
      <w:r>
        <w:rPr>
          <w:rFonts w:hint="eastAsia"/>
          <w:lang w:val="en-US" w:eastAsia="zh-CN"/>
        </w:rPr>
        <w:t xml:space="preserve">减少12.64%</w:t>
      </w:r>
      <w:r>
        <w:rPr>
          <w:rFonts w:hint="eastAsia"/>
        </w:rPr>
        <w:t xml:space="preserve">，主要原因是：</w:t>
      </w:r>
      <w:r>
        <w:rPr>
          <w:rFonts w:hint="eastAsia"/>
          <w:highlight w:val="none"/>
        </w:rPr>
        <w:t xml:space="preserve">财政财力紧张，部分业务费未能支付，在职人员调出及退休工会会费预算相应减少</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66.25</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11.46%</w:t>
      </w:r>
      <w:r>
        <w:rPr>
          <w:rFonts w:hint="eastAsia"/>
        </w:rPr>
        <w:t xml:space="preserve">，较2023年度预算数</w:t>
      </w:r>
      <w:r>
        <w:rPr>
          <w:rFonts w:hint="eastAsia"/>
          <w:lang w:val="en-US" w:eastAsia="zh-CN"/>
        </w:rPr>
        <w:t xml:space="preserve">43.64</w:t>
      </w:r>
      <w:r>
        <w:rPr>
          <w:rFonts w:hint="eastAsia"/>
        </w:rPr>
        <w:t xml:space="preserve">万元，</w:t>
      </w:r>
      <w:r>
        <w:rPr>
          <w:rFonts w:hint="eastAsia"/>
          <w:lang w:val="en-US" w:eastAsia="zh-CN"/>
        </w:rPr>
        <w:t xml:space="preserve">增长22.61</w:t>
      </w:r>
      <w:r>
        <w:rPr>
          <w:rFonts w:hint="eastAsia"/>
        </w:rPr>
        <w:t xml:space="preserve">万元，</w:t>
      </w:r>
      <w:r>
        <w:rPr>
          <w:rFonts w:hint="eastAsia"/>
          <w:lang w:val="en-US" w:eastAsia="zh-CN"/>
        </w:rPr>
        <w:t xml:space="preserve">增长51.81%</w:t>
      </w:r>
      <w:r>
        <w:rPr>
          <w:rFonts w:hint="eastAsia"/>
        </w:rPr>
        <w:t xml:space="preserve">，主要原因是：</w:t>
      </w:r>
      <w:r>
        <w:rPr>
          <w:rFonts w:hint="eastAsia"/>
          <w:highlight w:val="none"/>
        </w:rPr>
        <w:t xml:space="preserve">退休干部职工生活补助费有所提高</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3539"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3"/>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5"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5.60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1.00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4.60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4.60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5.60</w:t>
      </w:r>
      <w:r>
        <w:rPr>
          <w:rFonts w:hint="eastAsia"/>
          <w:b w:val="0"/>
          <w:bCs w:val="0"/>
          <w:sz w:val="28"/>
          <w:szCs w:val="28"/>
        </w:rPr>
        <w:t xml:space="preserve">万元，同口径较2023年度预算数</w:t>
      </w:r>
      <w:r>
        <w:rPr>
          <w:rFonts w:hint="eastAsia"/>
          <w:b w:val="0"/>
          <w:bCs w:val="0"/>
          <w:sz w:val="28"/>
          <w:szCs w:val="28"/>
          <w:lang w:val="en-US" w:eastAsia="zh-CN"/>
        </w:rPr>
        <w:t xml:space="preserve">6.60</w:t>
      </w:r>
      <w:r>
        <w:rPr>
          <w:rFonts w:hint="eastAsia"/>
          <w:b w:val="0"/>
          <w:bCs w:val="0"/>
          <w:sz w:val="28"/>
          <w:szCs w:val="28"/>
        </w:rPr>
        <w:t xml:space="preserve">万元，</w:t>
      </w:r>
      <w:r>
        <w:rPr>
          <w:rFonts w:hint="eastAsia"/>
          <w:b w:val="0"/>
          <w:bCs w:val="0"/>
          <w:sz w:val="28"/>
          <w:szCs w:val="28"/>
          <w:lang w:val="en-US" w:eastAsia="zh-CN"/>
        </w:rPr>
        <w:t xml:space="preserve">减少1.00</w:t>
      </w:r>
      <w:r>
        <w:rPr>
          <w:rFonts w:hint="eastAsia"/>
          <w:b w:val="0"/>
          <w:bCs w:val="0"/>
          <w:sz w:val="28"/>
          <w:szCs w:val="28"/>
        </w:rPr>
        <w:t xml:space="preserve">万元，</w:t>
      </w:r>
      <w:r>
        <w:rPr>
          <w:rFonts w:hint="eastAsia"/>
          <w:b w:val="0"/>
          <w:bCs w:val="0"/>
          <w:sz w:val="28"/>
          <w:szCs w:val="28"/>
          <w:lang w:val="en-US" w:eastAsia="zh-CN"/>
        </w:rPr>
        <w:t xml:space="preserve">减少15.15%</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不存在因公出国（境）人员</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1.00</w:t>
      </w:r>
      <w:r>
        <w:rPr>
          <w:rFonts w:hint="eastAsia"/>
          <w:b w:val="0"/>
          <w:bCs w:val="0"/>
          <w:sz w:val="28"/>
          <w:szCs w:val="28"/>
        </w:rPr>
        <w:t xml:space="preserve">万元，较2023年度预算数</w:t>
      </w:r>
      <w:r>
        <w:rPr>
          <w:sz w:val="28"/>
          <w:u w:color="auto"/>
        </w:rPr>
        <w:t xml:space="preserve">2.00</w:t>
      </w:r>
      <w:r>
        <w:rPr>
          <w:rFonts w:hint="eastAsia"/>
          <w:b w:val="0"/>
          <w:bCs w:val="0"/>
          <w:sz w:val="28"/>
          <w:szCs w:val="28"/>
        </w:rPr>
        <w:t xml:space="preserve">万元，</w:t>
      </w:r>
      <w:r>
        <w:rPr>
          <w:sz w:val="28"/>
          <w:u w:color="auto"/>
        </w:rPr>
        <w:t xml:space="preserve">减少1.00</w:t>
      </w:r>
      <w:r>
        <w:rPr>
          <w:rFonts w:hint="eastAsia"/>
          <w:b w:val="0"/>
          <w:bCs w:val="0"/>
          <w:sz w:val="28"/>
          <w:szCs w:val="28"/>
        </w:rPr>
        <w:t xml:space="preserve">万元，</w:t>
      </w:r>
      <w:r>
        <w:rPr>
          <w:sz w:val="28"/>
          <w:u w:color="auto"/>
        </w:rPr>
        <w:t xml:space="preserve">减少50.00%</w:t>
      </w:r>
      <w:r>
        <w:rPr>
          <w:rFonts w:hint="eastAsia"/>
          <w:b w:val="0"/>
          <w:bCs w:val="0"/>
          <w:sz w:val="28"/>
          <w:szCs w:val="28"/>
        </w:rPr>
        <w:t xml:space="preserve">，主要原因是</w:t>
      </w:r>
      <w:r>
        <w:rPr>
          <w:rFonts w:hint="eastAsia"/>
          <w:sz w:val="28"/>
          <w:szCs w:val="28"/>
          <w:highlight w:val="none"/>
          <w:lang w:val="en-US" w:eastAsia="zh-CN"/>
        </w:rPr>
        <w:t xml:space="preserve">根据本单位实际接待情况，预算有所减少</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4.60</w:t>
      </w:r>
      <w:r>
        <w:rPr>
          <w:rFonts w:hint="eastAsia"/>
          <w:b w:val="0"/>
          <w:bCs w:val="0"/>
          <w:sz w:val="28"/>
          <w:szCs w:val="28"/>
        </w:rPr>
        <w:t xml:space="preserve">万元，较2023年度预算数</w:t>
      </w:r>
      <w:r>
        <w:rPr>
          <w:sz w:val="28"/>
          <w:u w:color="auto"/>
        </w:rPr>
        <w:t xml:space="preserve">4.60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不存在公务车辆购置情况</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4.60</w:t>
      </w:r>
      <w:r>
        <w:rPr>
          <w:rFonts w:hint="eastAsia"/>
          <w:b w:val="0"/>
          <w:bCs w:val="0"/>
          <w:sz w:val="28"/>
          <w:szCs w:val="28"/>
        </w:rPr>
        <w:t xml:space="preserve">万元，较2023年度预算数</w:t>
      </w:r>
      <w:r>
        <w:rPr>
          <w:sz w:val="28"/>
          <w:u w:color="auto"/>
        </w:rPr>
        <w:t xml:space="preserve">4.60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，主要原因是</w:t>
      </w:r>
      <w:r>
        <w:rPr>
          <w:rFonts w:hint="eastAsia"/>
          <w:sz w:val="28"/>
          <w:szCs w:val="28"/>
          <w:highlight w:val="none"/>
          <w:lang w:val="en-US" w:eastAsia="zh-CN"/>
        </w:rPr>
        <w:t xml:space="preserve">本年度与上年度还是2辆公务车辆运行，车辆运行预算费用保持不变</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5"/>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0.00</w:t>
      </w:r>
      <w:r>
        <w:rPr>
          <w:rFonts w:hint="eastAsia"/>
          <w:sz w:val="28"/>
          <w:szCs w:val="28"/>
        </w:rPr>
        <w:t xml:space="preserve">万元，较2023年度预算数</w:t>
      </w:r>
      <w:r>
        <w:rPr>
          <w:rFonts w:hint="eastAsia"/>
          <w:b w:val="0"/>
          <w:bCs w:val="0"/>
          <w:sz w:val="28"/>
          <w:szCs w:val="28"/>
          <w:lang w:eastAsia="zh-CN"/>
        </w:rPr>
        <w:t xml:space="preserve">0.00</w:t>
      </w:r>
      <w:r>
        <w:rPr>
          <w:rFonts w:hint="eastAsia"/>
          <w:sz w:val="28"/>
          <w:szCs w:val="28"/>
        </w:rPr>
        <w:t xml:space="preserve">万元，</w:t>
      </w:r>
      <w:r>
        <w:rPr>
          <w:rFonts w:hint="eastAsia"/>
          <w:b w:val="0"/>
          <w:bCs w:val="0"/>
          <w:sz w:val="28"/>
          <w:szCs w:val="28"/>
          <w:lang w:eastAsia="zh-CN"/>
        </w:rPr>
        <w:t xml:space="preserve">增加0.00</w:t>
      </w:r>
      <w:r>
        <w:rPr>
          <w:rFonts w:hint="eastAsia"/>
          <w:sz w:val="28"/>
          <w:szCs w:val="28"/>
        </w:rPr>
        <w:t xml:space="preserve">万元，</w:t>
      </w:r>
      <w:r>
        <w:rPr>
          <w:rFonts w:hint="eastAsia"/>
          <w:b w:val="0"/>
          <w:bCs w:val="0"/>
          <w:sz w:val="28"/>
          <w:szCs w:val="28"/>
          <w:lang w:eastAsia="zh-CN"/>
        </w:rPr>
        <w:t xml:space="preserve">增长0%</w:t>
      </w:r>
      <w:r>
        <w:rPr>
          <w:rFonts w:hint="eastAsia"/>
          <w:sz w:val="28"/>
          <w:szCs w:val="28"/>
        </w:rPr>
        <w:t xml:space="preserve">，主要原因是</w:t>
      </w:r>
      <w:r>
        <w:rPr>
          <w:rFonts w:hint="eastAsia"/>
          <w:sz w:val="28"/>
          <w:szCs w:val="28"/>
          <w:highlight w:val="none"/>
          <w:lang w:val="en-US" w:eastAsia="zh-CN"/>
        </w:rPr>
        <w:t xml:space="preserve">我部门2024年本年无政府性基金预算</w:t>
      </w:r>
      <w:r>
        <w:rPr>
          <w:rFonts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6" w:name="bookmark91"/>
      <w:r>
        <w:rPr>
          <w:rFonts w:hint="eastAsia"/>
          <w:b/>
          <w:bCs/>
          <w:lang w:val="en-US" w:eastAsia="zh-CN"/>
        </w:rPr>
        <w:t xml:space="preserve">九</w:t>
      </w:r>
      <w:bookmarkEnd w:id="16"/>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5.21</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增加5.21</w:t>
      </w:r>
      <w:r>
        <w:rPr>
          <w:rFonts w:hint="eastAsia"/>
          <w:sz w:val="28"/>
          <w:szCs w:val="28"/>
        </w:rPr>
        <w:t xml:space="preserve">万元，</w:t>
      </w:r>
      <w:r>
        <w:rPr>
          <w:rFonts w:hint="eastAsia"/>
          <w:sz w:val="28"/>
          <w:szCs w:val="28"/>
          <w:lang w:eastAsia="zh-CN"/>
        </w:rPr>
        <w:t xml:space="preserve">增长100%</w:t>
      </w:r>
      <w:r>
        <w:rPr>
          <w:rFonts w:hint="eastAsia"/>
          <w:sz w:val="28"/>
          <w:szCs w:val="28"/>
        </w:rPr>
        <w:t xml:space="preserve">，主要原因是</w:t>
      </w:r>
      <w:r>
        <w:rPr>
          <w:rFonts w:hint="eastAsia"/>
          <w:sz w:val="28"/>
          <w:szCs w:val="28"/>
          <w:lang w:val="en-US" w:eastAsia="zh-CN"/>
        </w:rPr>
        <w:t xml:space="preserve">以上级相关资金文件为依据，属于中央专项补助资金，按实际下达金额进行本年度新增预算</w:t>
      </w:r>
      <w:r>
        <w:rPr>
          <w:rFonts w:hint="eastAsia"/>
          <w:sz w:val="28"/>
          <w:szCs w:val="28"/>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（一）事业单位运行经费安排情况说明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年本部门机关运行经费预算</w:t>
      </w:r>
      <w:r>
        <w:rPr>
          <w:rFonts w:ascii="宋体" w:eastAsia="宋体" w:hAnsi="宋体" w:cs="宋体" w:hint="eastAsia"/>
          <w:sz w:val="28"/>
          <w:szCs w:val="28"/>
          <w:lang w:val="en-US" w:eastAsia="zh-CN"/>
        </w:rPr>
        <w:t xml:space="preserve">37.20</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42.58</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减少5.38</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下降12.64%</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财政财力紧张，按相关政策规定压减预算数，加上在职人员调出及退休，工会会费预算数相应减少</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主要用于：0</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sz w:val="28"/>
          <w:szCs w:val="28"/>
          <w:highlight w:val="none"/>
          <w:lang w:val="en-US" w:eastAsia="zh-CN"/>
        </w:rPr>
        <w:t xml:space="preserve">2</w:t>
      </w:r>
      <w:r>
        <w:rPr>
          <w:rFonts w:ascii="宋体" w:eastAsia="宋体" w:hAnsi="宋体" w:cs="宋体" w:hint="eastAsia"/>
          <w:sz w:val="28"/>
          <w:szCs w:val="28"/>
          <w:lang w:eastAsia="zh-CN"/>
        </w:rPr>
        <w:t xml:space="preserve">辆，其中，应急机要通信用车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sz w:val="28"/>
          <w:szCs w:val="28"/>
          <w:highlight w:val="none"/>
          <w:lang w:val="en-US" w:eastAsia="zh-CN"/>
        </w:rPr>
        <w:t xml:space="preserve">2</w:t>
      </w:r>
      <w:r>
        <w:rPr>
          <w:rFonts w:ascii="宋体" w:eastAsia="宋体" w:hAnsi="宋体" w:cs="宋体" w:hint="eastAsia"/>
          <w:sz w:val="28"/>
          <w:szCs w:val="28"/>
          <w:lang w:eastAsia="zh-CN"/>
        </w:rPr>
        <w:t xml:space="preserve">辆，单位价值200万元以上大型设备</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sz w:val="28"/>
          <w:szCs w:val="28"/>
          <w:highlight w:val="none"/>
          <w:lang w:val="en-US" w:eastAsia="zh-CN"/>
        </w:rPr>
        <w:t xml:space="preserve">15</w:t>
      </w:r>
      <w:r>
        <w:rPr>
          <w:rFonts w:ascii="宋体" w:eastAsia="宋体" w:hAnsi="宋体" w:cs="宋体" w:hint="eastAsia"/>
          <w:sz w:val="28"/>
          <w:szCs w:val="28"/>
          <w:lang w:eastAsia="zh-CN"/>
        </w:rPr>
        <w:t xml:space="preserve">个，预算资金</w:t>
      </w:r>
      <w:r>
        <w:rPr>
          <w:rFonts w:hint="eastAsia"/>
          <w:sz w:val="28"/>
          <w:szCs w:val="28"/>
          <w:highlight w:val="none"/>
          <w:lang w:val="en-US" w:eastAsia="zh-CN"/>
        </w:rPr>
        <w:t xml:space="preserve">595.3</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重点项目一：项目名称“工信商务科技部门业务工作经费”30.81万元，2024年绩效目标为：用于开支办公用品、耗材费、邮电费、水电费，干部职工外出业务差旅费，使单位正常运转，完成本年度各项工作。数量指标：保障单位所有人员的工作正常运行≥39人；质量指标：按规定支付办公用品费用</w:t>
        <w:tab/>
        <w:t xml:space="preserve">≥95%；时效指标：每季度及时支付办公用资金；成本指标：业务办公经费≥308100元。</w:t>
        <w:tab/>
        <w:tab/>
        <w:tab/>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重点项目二：“维稳工作经费”8.6万元，2024年绩效目标：确保单位工作人员拥有安定、卫生的工作环境，投入到所涉及的各项工作领域，使社会稳定、群众的生活安定。数量指标：维稳工作经费保障人数≥35人；质量指标：维护单位工作环境安全；时效指标：每月支付各项经费；成本指标：维稳工作经费8.6万元；社会效益指标：维护单位各项工作正常运行；服务对象满意度：</w:t>
        <w:tab/>
        <w:t xml:space="preserve">满意度≥95%。</w:t>
        <w:tab/>
        <w:tab/>
        <w:tab/>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重点项目三：项目名称“信创工作”1.5万元，2024年绩效目标为：根据环安组办发【2023】2号文件精神，要求我单位认真贯彻落实做好信创工作。数量指标：购置专用设备数量1台；质量指标：设备质量合格率100%；时效指标：购置设备时间≤12月；成本指标：购置设备成本≤15000元；社会效益指标：设备利用率≥90%；可持续影响指标：设备使用年限≥10年；服务对象满意度：使用人员满意度≥95%。</w:t>
        <w:tab/>
        <w:tab/>
        <w:tab/>
        <w:tab/>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重点项目四:项目名称：“派驻县(区)工业振兴特派员”工作经费8万元，2024年绩效目标：完成本年度工业振兴特派员的各项有关工作。数量指标：派驻县（区）工业振兴特派员人数7人；</w:t>
        <w:tab/>
        <w:tab/>
        <w:tab/>
        <w:tab/>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质量指标：县工业振兴工作指导工业振兴工作；时效指标：工业振兴工作时效根据实际工作需要开展工作；成本指标：派驻县（区）工业振兴特派员工作经费8万元；效益指标：经济效益指标：工业企业经济增长幅度≥50%；社会效益指标：工业振兴比例≥68%；生态效益指标：工业经济增长幅度≥30%；可持续影响指标：派驻县（区）工业振兴特派员工作根据实际工作需求开展。服务对象满意度：工业振兴满意度≥95%。</w:t>
        <w:tab/>
        <w:tab/>
        <w:tab/>
        <w:tab/>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p>
    <w:p>
      <w:pPr>
        <w:pStyle w:val="Bodytext|1"/>
        <w:spacing w:line="624" w:lineRule="exact"/>
        <w:ind w:firstLine="600"/>
        <w:jc w:val="left"/>
        <w:rPr>
          <w:rFonts w:hint="eastAsia"/>
          <w:sz w:val="28"/>
          <w:szCs w:val="28"/>
          <w:highlight w:val="none"/>
          <w:lang w:val="en-US" w:eastAsia="zh-CN"/>
        </w:rPr>
      </w:pPr>
    </w:p>
    <w:p>
      <w:pPr>
        <w:pStyle w:val="Bodytext|1"/>
        <w:spacing w:line="624" w:lineRule="exact"/>
        <w:jc w:val="left"/>
        <w:rPr>
          <w:rFonts w:hint="default"/>
          <w:sz w:val="28"/>
          <w:szCs w:val="28"/>
          <w:highlight w:val="none"/>
          <w:lang w:val="en-US" w:eastAsia="zh-CN"/>
        </w:rPr>
        <w:sectPr>
          <w:headerReference w:type="default" r:id="rId14"/>
          <w:footerReference w:type="default" r:id="rId15"/>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1"/>
      <w:bookmarkEnd w:id="12"/>
      <w:bookmarkEnd w:id="13"/>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环江毛南族自治县工业信息化和商务局</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7" w:name="bookmark29"/>
      <w:bookmarkStart w:id="18" w:name="bookmark31"/>
      <w:bookmarkStart w:id="19" w:name="bookmark30"/>
      <w:r>
        <w:t xml:space="preserve">收支总体情况表</w:t>
      </w:r>
      <w:bookmarkEnd w:id="17"/>
      <w:bookmarkEnd w:id="18"/>
      <w:bookmarkEnd w:id="19"/>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环江毛南族自治县工业信息化和商务局</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854.50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551.59</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854.50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300.00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55.36</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26.70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85.00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102.00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47.55</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5.21</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854.50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1173.41</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318.91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1173.41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1173.41</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6"/>
          <w:footerReference w:type="default" r:id="rId17"/>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环江毛南族自治县工业信息化和商务局</w:t>
            </w:r>
            <w:r>
              <w:rPr>
                <w:rFonts w:hint="eastAsia"/>
                <w:lang w:val="en-US" w:eastAsia="zh-CN"/>
              </w:rPr>
              <w:t xml:space="preserve">                                                                                  </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部门（单位）代码</w:t>
            </w:r>
          </w:p>
        </w:tc>
        <w:tc>
          <w:tcPr>
            <w:tcW w:w="1279"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部门（单位）名称</w:t>
            </w:r>
          </w:p>
        </w:tc>
        <w:tc>
          <w:tcPr>
            <w:tcW w:w="990" w:type="dxa"/>
            <w:vMerge w:val="restart"/>
            <w:vAlign w:val="center"/>
          </w:tcPr>
          <w:p>
            <w:pPr>
              <w:pStyle w:val="Other|1"/>
              <w:spacing w:line="240" w:lineRule="auto"/>
              <w:ind w:left="0" w:firstLine="0" w:leftChars="0" w:firstLineChars="0"/>
              <w:jc w:val="center"/>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5843" w:type="dxa"/>
            <w:gridSpan w:val="6"/>
          </w:tcPr>
          <w:p>
            <w:pPr>
              <w:tabs>
                <w:tab w:val="left" w:pos="859"/>
              </w:tabs>
              <w:jc w:val="center"/>
              <w:rPr>
                <w:rFonts w:eastAsia="宋体" w:hint="eastAsia"/>
                <w:vertAlign w:val="baseline"/>
                <w:lang w:val="en-US" w:eastAsia="zh-CN"/>
              </w:rPr>
            </w:pPr>
            <w:r>
              <w:rPr>
                <w:sz w:val="17"/>
                <w:szCs w:val="17"/>
              </w:rPr>
              <w:t xml:space="preserve">本年收入</w:t>
            </w:r>
          </w:p>
        </w:tc>
        <w:tc>
          <w:tcPr>
            <w:tcW w:w="5809" w:type="dxa"/>
            <w:gridSpan w:val="7"/>
          </w:tcPr>
          <w:p>
            <w:pPr>
              <w:tabs>
                <w:tab w:val="left" w:pos="859"/>
              </w:tabs>
              <w:jc w:val="center"/>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center"/>
              <w:rPr>
                <w:rFonts w:eastAsia="宋体" w:hint="eastAsia"/>
                <w:vertAlign w:val="baseline"/>
                <w:lang w:val="en-US" w:eastAsia="zh-CN"/>
              </w:rPr>
            </w:pPr>
          </w:p>
        </w:tc>
        <w:tc>
          <w:tcPr>
            <w:tcW w:w="1279" w:type="dxa"/>
            <w:vMerge/>
          </w:tcPr>
          <w:p>
            <w:pPr>
              <w:tabs>
                <w:tab w:val="left" w:pos="859"/>
              </w:tabs>
              <w:jc w:val="center"/>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center"/>
              <w:rPr>
                <w:rFonts w:eastAsia="宋体" w:hint="eastAsia"/>
                <w:vertAlign w:val="baseline"/>
                <w:lang w:val="en-US" w:eastAsia="zh-CN"/>
              </w:rPr>
            </w:pPr>
          </w:p>
        </w:tc>
        <w:tc>
          <w:tcPr>
            <w:tcW w:w="926"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968"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990"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1078"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firstLine="0" w:firstLineChars="0"/>
              <w:jc w:val="center"/>
              <w:rPr>
                <w:rFonts w:eastAsia="宋体" w:hint="eastAsia"/>
                <w:vertAlign w:val="baseline"/>
                <w:lang w:val="en-US" w:eastAsia="zh-CN"/>
              </w:rPr>
            </w:pPr>
            <w:r>
              <w:rPr>
                <w:sz w:val="17"/>
                <w:szCs w:val="17"/>
              </w:rPr>
              <w:t xml:space="preserve">收入</w:t>
            </w:r>
          </w:p>
        </w:tc>
        <w:tc>
          <w:tcPr>
            <w:tcW w:w="972" w:type="dxa"/>
            <w:vAlign w:val="center"/>
          </w:tcPr>
          <w:p>
            <w:pPr>
              <w:pStyle w:val="Other|1"/>
              <w:spacing w:line="240" w:lineRule="auto"/>
              <w:ind w:firstLine="0" w:firstLineChars="0"/>
              <w:jc w:val="center"/>
              <w:rPr>
                <w:rFonts w:eastAsia="宋体" w:hint="eastAsia"/>
                <w:vertAlign w:val="baseline"/>
                <w:lang w:val="en-US" w:eastAsia="zh-CN"/>
              </w:rPr>
            </w:pPr>
            <w:r>
              <w:rPr>
                <w:sz w:val="17"/>
                <w:szCs w:val="17"/>
              </w:rPr>
              <w:t xml:space="preserve">单位资金</w:t>
            </w:r>
          </w:p>
        </w:tc>
        <w:tc>
          <w:tcPr>
            <w:tcW w:w="919"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937"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right="280" w:firstLine="0" w:rightChars="0" w:firstLineChars="0"/>
              <w:jc w:val="center"/>
              <w:rPr>
                <w:rFonts w:eastAsia="宋体" w:hint="eastAsia"/>
                <w:vertAlign w:val="baseline"/>
                <w:lang w:val="en-US" w:eastAsia="zh-CN"/>
              </w:rPr>
            </w:pPr>
            <w:r>
              <w:rPr>
                <w:sz w:val="17"/>
                <w:szCs w:val="17"/>
              </w:rPr>
              <w:t xml:space="preserve">收入</w:t>
            </w:r>
          </w:p>
        </w:tc>
        <w:tc>
          <w:tcPr>
            <w:tcW w:w="989" w:type="dxa"/>
            <w:vAlign w:val="center"/>
          </w:tcPr>
          <w:p>
            <w:pPr>
              <w:pStyle w:val="Other|1"/>
              <w:spacing w:line="240" w:lineRule="auto"/>
              <w:ind w:firstLine="140" w:firstLineChars="0"/>
              <w:jc w:val="center"/>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96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990"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107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972"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919"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937" w:type="dxa"/>
            <w:vAlign w:val="center"/>
          </w:tcPr>
          <w:p>
            <w:pPr>
              <w:pStyle w:val="Other|1"/>
              <w:spacing w:line="240" w:lineRule="auto"/>
              <w:ind w:right="38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989" w:type="dxa"/>
            <w:vAlign w:val="center"/>
          </w:tcPr>
          <w:p>
            <w:pPr>
              <w:pStyle w:val="Other|1"/>
              <w:spacing w:line="240" w:lineRule="auto"/>
              <w:ind w:right="42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601001</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环江毛南族自治县工业信息化和商务局</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1173.41</w:t>
            </w:r>
          </w:p>
        </w:tc>
        <w:tc>
          <w:tcPr>
            <w:tcW w:w="926"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854.50</w:t>
            </w:r>
          </w:p>
        </w:tc>
        <w:tc>
          <w:tcPr>
            <w:tcW w:w="909"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854.50</w:t>
            </w:r>
          </w:p>
        </w:tc>
        <w:tc>
          <w:tcPr>
            <w:tcW w:w="968"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78"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72"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1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318.91</w:t>
            </w:r>
          </w:p>
        </w:tc>
        <w:tc>
          <w:tcPr>
            <w:tcW w:w="1011"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313.70</w:t>
            </w:r>
          </w:p>
        </w:tc>
        <w:tc>
          <w:tcPr>
            <w:tcW w:w="859"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94" w:type="dxa"/>
            <w:gridSpan w:val="2"/>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5.21</w:t>
            </w:r>
          </w:p>
        </w:tc>
        <w:tc>
          <w:tcPr>
            <w:tcW w:w="937"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8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8"/>
          <w:footerReference w:type="default" r:id="rId19"/>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20" w:name="bookmark42"/>
      <w:bookmarkStart w:id="21" w:name="bookmark43"/>
      <w:bookmarkStart w:id="22" w:name="bookmark41"/>
      <w:r>
        <w:t xml:space="preserve">支出总体情况表</w:t>
      </w:r>
      <w:bookmarkEnd w:id="20"/>
      <w:bookmarkEnd w:id="21"/>
      <w:bookmarkEnd w:id="22"/>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环江毛南族自治县工业信息化和商务局</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1173.41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578.11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595.30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601001</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1173.41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578.11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595.30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2011301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行政运行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546.80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470.41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76.39</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4.79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4.79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2060101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行政运行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200.00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2069999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其他科学技术支出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100.00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55.36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55.36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2111001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能源节约利用</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26.70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26.70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2150599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其他工业和信息产业监管支出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2159999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其他资源勘探工业信息等支出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80.00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2160699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其他涉外发展服务支出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102.00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102.00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47.55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47.55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2230105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国有企业退休人员社会化管理补助支出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5.21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5.21</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3" w:name="bookmark46"/>
      <w:bookmarkStart w:id="24" w:name="bookmark44"/>
      <w:bookmarkStart w:id="25" w:name="bookmark45"/>
      <w:r>
        <w:t xml:space="preserve">财政拨款收支总体情况表</w:t>
      </w:r>
      <w:bookmarkEnd w:id="23"/>
      <w:bookmarkEnd w:id="24"/>
      <w:bookmarkEnd w:id="25"/>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环江毛南族自治县工业信息化和商务局</w:t>
            </w:r>
            <w:r>
              <w:rPr>
                <w:rFonts w:hint="eastAsia"/>
                <w:sz w:val="17"/>
                <w:szCs w:val="17"/>
                <w:lang w:val="en-US" w:eastAsia="zh-CN"/>
              </w:rPr>
              <w:t xml:space="preserve">                         </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854.50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551.59</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854.50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300.00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55.36</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26.70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85.00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102.00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47.55</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5.21</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854.50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1173.41</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318.91</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1173.41</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1173.41</w:t>
            </w:r>
          </w:p>
        </w:tc>
      </w:tr>
      <w:tr>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环江毛南族自治县工业信息化和商务局</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601001</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1168.20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578.10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540.90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37.20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590.09</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2011301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行政运行</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546.80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470.41</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437.99</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32.42</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76.39</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4.79</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4.79</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4.79</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2060101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行政运行</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200.00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200.00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2069999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其他科学技术支出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100.00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55.36</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55.36</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55.36</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2111001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能源节约利用</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26.70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26.70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2150599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其他工业和信息产业监管支出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5.00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2159999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其他资源勘探工业信息等支出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80.00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2160699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其他涉外发展服务支出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102.00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102.00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47.55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47.55</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47.55</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6" w:name="bookmark58"/>
      <w:bookmarkStart w:id="27" w:name="bookmark57"/>
      <w:bookmarkStart w:id="28" w:name="bookmark56"/>
      <w:r>
        <w:t xml:space="preserve">一般公共预算基本支出情况表</w:t>
      </w:r>
      <w:bookmarkEnd w:id="26"/>
      <w:bookmarkEnd w:id="27"/>
      <w:bookmarkEnd w:id="28"/>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环江毛南族自治县工业信息化和商务局</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 </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578.10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540.90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37.20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474.65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474.65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149.96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149.96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48.01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48.01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97.40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97.40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36.79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36.79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55.36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55.36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22.14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22.14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47.55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47.55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16.04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16.04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37.20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37.20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邮电费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2.50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2.50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物业管理费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5.50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5.50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公务接待费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劳务费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委托业务费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4.79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4.79</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公务用车运行维护费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4.60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4.60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其他交通费用</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14.82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14.82</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66.25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66.25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退休费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59.67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59.67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生活补助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6.56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6.56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资本性支出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办公设备购置</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对企业补助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31299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其他对企业补助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9" w:name="bookmark66"/>
      <w:bookmarkStart w:id="30" w:name="bookmark67"/>
      <w:bookmarkStart w:id="31" w:name="bookmark65"/>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环江毛南族自治县工业信息化和商务局</w:t>
            </w:r>
            <w:r>
              <w:rPr>
                <w:rFonts w:ascii="宋体" w:eastAsia="宋体" w:hAnsi="宋体" w:cs="宋体"/>
                <w:sz w:val="16"/>
                <w:u w:color="auto"/>
              </w:rPr>
              <w:t xml:space="preserve">                                           </w:t>
            </w:r>
            <w:r>
              <w:rPr>
                <w:rFonts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601001</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5.60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4.60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4.60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9"/>
      <w:bookmarkEnd w:id="30"/>
      <w:bookmarkEnd w:id="31"/>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环江毛南族自治县工业信息化和商务局</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2011301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行政运行</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2060101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行政运行</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2069999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其他科学技术支出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2111001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能源节约利用</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2150599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其他工业和信息产业监管支出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2159999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其他资源勘探工业信息等支出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2160699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其他涉外发展服务支出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2230105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国有企业退休人员社会化管理补助支出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环江毛南族自治县工业信息化和商务局</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环江毛南族自治县工业信息化和商务局</w:t>
            </w:r>
            <w:r>
              <w:rPr>
                <w:rFonts w:cs="宋体" w:hint="eastAsia"/>
                <w:sz w:val="17"/>
                <w:szCs w:val="17"/>
                <w:lang w:val="en-US" w:eastAsia="zh-CN"/>
              </w:rPr>
              <w:t xml:space="preserve">            </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601001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环江毛南族自治县工业信息化和商务局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维稳工作经费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8.60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确保单位工作人员拥有安定、卫生的工作环境，投入到所涉及的各项工作领域，使社会稳定、群众的生活安定。</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601001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环江毛南族自治县工业信息化和商务局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科技三项费用</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完成本年度有关工作。</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601001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环江毛南族自治县工业信息化和商务局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环江县改制企业留守人员工资</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19.92</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如期支付相关人员工资。</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601001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环江毛南族自治县工业信息化和商务局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派驻县(区)工业振兴特派员工作经费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8.00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完成本年度工业振兴特派员的各项有关工作</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601001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环江毛南族自治县工业信息化和商务局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自治区工业绿色发展示范节能技术改造项目</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26.70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持续推进工业节能技术改造项目建设，提升工业企业能效水平。</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601001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环江毛南族自治县工业信息化和商务局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自治区统筹支持工业振兴资金(“千企技改”工程项目)</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按要求完成。</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601001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环江毛南族自治县工业信息化和商务局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2022年中央外经贸资金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90.00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目标1：支持茧丝绸结构优化和产业升级，推进全区茧丝绸业深加工发展，促进茧丝绸产业“调结构、提品质、促升级”高质量发展。</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目标2：推进茧丝绸行业实现“质量效益型”高质量发展，做优存量与做大增量并举，促进茧丝绸产业全面提升和集群式发展。</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601001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环江毛南族自治县工业信息化和商务局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2022年缉私经费转移支付资金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支持反走私综合治理工作有序开展，维护市场经济秩序，保障人民群众健康和生命安全。</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601001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环江毛南族自治县工业信息化和商务局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工信商务科技部门业务工作经费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30.81</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用于开支办公用品、耗材费、邮电费、水电费，干部职工外出业务差旅费，使单位正常运转，完成本年度各项工作。</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601001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环江毛南族自治县工业信息化和商务局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对企业的补助</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80.00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带动经济发展</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601001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环江毛南族自治县工业信息化和商务局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中央外经贸发展专项资金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12.00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项目规划建设 5.2 万平方米标准厂房，分三期实施。项目一期建设 7000 平方米标准厂房，于 2019 年 12 月 26 日投产，主要建设智能终端产品生产线为主。二期于 2020 年 3 月 26 日投产，主要建设主板贴片线、塑胶制品生产线等 28 条生产线，配套原材料生产25％以上。三期计划 2023 年 6 月份投产，预计投产后当年产值达 8亿元以上，预计可解决贫困群众 2000 人就业。带动脱贫户 800 人以上。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601001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环江毛南族自治县工业信息化和商务局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国有企业退休人员社会化管理</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5.21</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根据国有企业退休人员合理分配资金</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601001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环江毛南族自治县工业信息化和商务局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信创工作</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1.50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根据环安组办发【2023】2号文件精神，要求我单位认真贯彻落实做好信创工作</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601001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环江毛南族自治县工业信息化和商务局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党支部组织生活经费--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2.56</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完成本年度党组织活动有关各项工作</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601001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环江毛南族自治县工业信息化和商务局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固定资产投资项目节能报告评审经费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完成本年度对企业申报的固定资产投资项目节能报告委托具备技术能力的第三方机构进行评审。</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20"/>
          <w:footerReference w:type="default" r:id="rId21"/>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6"/>
      <w:bookmarkStart w:id="33" w:name="bookmark95"/>
      <w:bookmarkStart w:id="34" w:name="bookmark94"/>
      <w:r>
        <w:rPr>
          <w:sz w:val="40"/>
          <w:szCs w:val="40"/>
        </w:rPr>
        <w:t xml:space="preserve">第四部</w:t>
      </w:r>
      <w:r>
        <w:rPr>
          <w:rFonts w:hint="eastAsia"/>
          <w:sz w:val="40"/>
          <w:szCs w:val="40"/>
          <w:lang w:val="en-US" w:eastAsia="zh-CN"/>
        </w:rPr>
        <w:t xml:space="preserve">  </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2"/>
      <w:footerReference w:type="default" r:id="rId23"/>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bookmarkStart w:id="0" w:name="_GoBack"/>
    <w:bookmarkEnd w:id="0"/>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33"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6789"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3541"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6791"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3543"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6793"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posOffset>4538345</wp:posOffset>
              </wp:positionH>
              <wp:positionV relativeFrom="paragraph">
                <wp:posOffset>-151765</wp:posOffset>
              </wp:positionV>
              <wp:extent cx="478790" cy="323215"/>
              <wp:effectExtent l="0" t="0" r="0" b="0"/>
              <wp:wrapNone/>
              <wp:docPr id="3544" name="文本框 9"/>
              <wp:cNvGraphicFramePr>
                <a:graphicFrameLocks noChangeAspect="0"/>
              </wp:cNvGraphicFramePr>
              <a:graphic>
                <a:graphicData uri="http://schemas.microsoft.com/office/word/2010/wordprocessingShape">
                  <wps:wsp>
                    <wps:cNvSpPr/>
                    <wps:spPr>
                      <a:xfrm>
                        <a:off x="0" y="0"/>
                        <a:ext cx="478790" cy="32321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9" o:spid="_x0000_s6794" type="#_x0000_t202" style="height:25.45pt;margin-left:357.35pt;margin-top:-11.95pt;mso-height-relative:page;mso-position-horizontal-relative:margin;mso-width-relative:page;mso-wrap-distance-bottom:0;mso-wrap-distance-left:9pt;mso-wrap-distance-right:9pt;mso-wrap-distance-top:0;mso-wrap-style:square;position:absolute;v-text-anchor:top;width:37.7pt;z-index:251664384"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posOffset>4473575</wp:posOffset>
              </wp:positionH>
              <wp:positionV relativeFrom="paragraph">
                <wp:posOffset>-86360</wp:posOffset>
              </wp:positionV>
              <wp:extent cx="447040" cy="267970"/>
              <wp:effectExtent l="0" t="0" r="0" b="0"/>
              <wp:wrapNone/>
              <wp:docPr id="3545" name="文本框 11"/>
              <wp:cNvGraphicFramePr>
                <a:graphicFrameLocks noChangeAspect="0"/>
              </wp:cNvGraphicFramePr>
              <a:graphic>
                <a:graphicData uri="http://schemas.microsoft.com/office/word/2010/wordprocessingShape">
                  <wps:wsp>
                    <wps:cNvSpPr/>
                    <wps:spPr>
                      <a:xfrm>
                        <a:off x="0" y="0"/>
                        <a:ext cx="447040" cy="26797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11" o:spid="_x0000_s6795" type="#_x0000_t202" style="height:21.1pt;margin-left:352.25pt;margin-top:-6.8pt;mso-height-relative:page;mso-position-horizontal-relative:margin;mso-width-relative:page;mso-wrap-distance-bottom:0;mso-wrap-distance-left:9pt;mso-wrap-distance-right:9pt;mso-wrap-distance-top:0;mso-wrap-style:square;position:absolute;v-text-anchor:top;width:35.2pt;z-index:251665408"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46"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6796"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tabs>
        <w:tab w:val="center" w:pos="3983"/>
        <w:tab w:val="clear" w:pos="4153"/>
      </w:tabs>
    </w:pPr>
    <w:r>
      <w:rPr>
        <w:rFonts w:eastAsia="宋体" w:hint="eastAsia"/>
        <w:lang w:eastAsia="zh-CN"/>
      </w:rPr>
      <w:tab/>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540"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6790"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542"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6792"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60"/>
  <w:doNotDisplayPageBoundaries/>
  <w:bordersDoNotSurroundFooter w:val="0"/>
  <w:bordersDoNotSurroundHeader w:val="0"/>
  <w:doNotTrackMoves/>
  <w:documentProtection w:enforcement="1" w:edit="readOnly" w:salt="G3h5yh41DWyx1bi24DZCgA==" w:hash="/M8a9F//t0Nv+SN9uVmIyYL0d3V5TA9X9LW3/1DhyEXERrR0orR+ec0/A2JTrrgPSuhNbiyB/m3BFDhYirvFOA=="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YmQ3NjQxYmZmN2ZkODIxYWNiNTEzMzQyMTZmNzQ1Mm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3.xml" Type="http://schemas.openxmlformats.org/officeDocument/2006/relationships/chart"/><Relationship Id="rId11" Target="charts/chart4.xml" Type="http://schemas.openxmlformats.org/officeDocument/2006/relationships/chart"/><Relationship Id="rId12" Target="charts/chart5.xml" Type="http://schemas.openxmlformats.org/officeDocument/2006/relationships/chart"/><Relationship Id="rId13" Target="charts/chart6.xml" Type="http://schemas.openxmlformats.org/officeDocument/2006/relationships/chart"/><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header6.xml" Type="http://schemas.openxmlformats.org/officeDocument/2006/relationships/header"/><Relationship Id="rId23" Target="footer7.xml" Type="http://schemas.openxmlformats.org/officeDocument/2006/relationships/footer"/><Relationship Id="rId24" Target="theme/theme1.xml" Type="http://schemas.openxmlformats.org/officeDocument/2006/relationships/theme"/><Relationship Id="rId25" Target="styles.xml" Type="http://schemas.openxmlformats.org/officeDocument/2006/relationships/styles"/><Relationship Id="rId26" Target="webSettings.xml" Type="http://schemas.openxmlformats.org/officeDocument/2006/relationships/webSettings"/><Relationship Id="rId27" Target="numbering.xml" Type="http://schemas.openxmlformats.org/officeDocument/2006/relationships/numbering"/><Relationship Id="rId28" Target="fontTable.xml" Type="http://schemas.openxmlformats.org/officeDocument/2006/relationships/fontTable"/><Relationship Id="rId29"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header1.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charts/chart1.xml" Type="http://schemas.openxmlformats.org/officeDocument/2006/relationships/chart"/><Relationship Id="rId9" Target="charts/chart2.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Sheet1!$A$2:$A$3</c:f>
              <c:strCache>
                <c:ptCount val="2"/>
                <c:pt idx="0">
                  <c:v>一般公共预算拨款</c:v>
                </c:pt>
                <c:pt idx="1">
                  <c:v>国有资本经营预算拨款</c:v>
                </c:pt>
              </c:strCache>
            </c:strRef>
          </c:cat>
          <c:val>
            <c:numRef>
              <c:f>Sheet1!$B$2:$B$3</c:f>
              <c:numCache>
                <c:ptCount val="2"/>
                <c:pt idx="0">
                  <c:v>1168.2</c:v>
                </c:pt>
                <c:pt idx="1">
                  <c:v>5.21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科学技术支出</c:v>
                </c:pt>
                <c:pt idx="2">
                  <c:v>社会保障和就业支出</c:v>
                </c:pt>
                <c:pt idx="3">
                  <c:v>住房保障支出</c:v>
                </c:pt>
              </c:strCache>
            </c:strRef>
          </c:cat>
          <c:val>
            <c:numRef>
              <c:f>Sheet1!$B$2:$B$5</c:f>
              <c:numCache>
                <c:ptCount val="4"/>
                <c:pt idx="0">
                  <c:v>551.59</c:v>
                </c:pt>
                <c:pt idx="1">
                  <c:v>200.0</c:v>
                </c:pt>
                <c:pt idx="2">
                  <c:v>55.36</c:v>
                </c:pt>
                <c:pt idx="3">
                  <c:v>47.55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1243.78</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1173.41</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578.11</c:v>
                </c:pt>
              </c:numCache>
            </c:numRef>
          </c:val>
        </c:ser>
        <c:ser>
          <c:idx val="1"/>
          <c:order val="1"/>
          <c:tx>
            <c:strRef>
              <c:f>Sheet1!$C$1</c:f>
              <c:strCache>
                <c:ptCount val="1"/>
                <c:pt idx="0">
                  <c:v>结转下年支出</c:v>
                </c:pt>
              </c:strCache>
            </c:strRef>
          </c:tx>
          <c:cat>
            <c:strRef>
              <c:f>Sheet1!$A$2</c:f>
              <c:strCache>
                <c:ptCount val="1"/>
                <c:pt idx="0">
                  <c:v>当年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当年</c:v>
                </c:pt>
              </c:strCache>
            </c:strRef>
          </c:cat>
          <c:val>
            <c:numRef>
              <c:f>Sheet1!$D$2</c:f>
              <c:numCache>
                <c:ptCount val="1"/>
                <c:pt idx="0">
                  <c:v>276.39</c:v>
                </c:pt>
              </c:numCache>
            </c:numRef>
          </c:val>
        </c:ser>
        <c:ser>
          <c:idx val="3"/>
          <c:order val="3"/>
          <c:tx>
            <c:strRef>
              <c:f>Sheet1!$E$1</c:f>
              <c:strCache>
                <c:ptCount val="1"/>
                <c:pt idx="0">
                  <c:v>公用经费</c:v>
                </c:pt>
              </c:strCache>
            </c:strRef>
          </c:tx>
          <c:cat>
            <c:strRef>
              <c:f>Sheet1!$A$2</c:f>
              <c:strCache>
                <c:ptCount val="1"/>
                <c:pt idx="0">
                  <c:v>当年</c:v>
                </c:pt>
              </c:strCache>
            </c:strRef>
          </c:cat>
          <c:val>
            <c:numRef>
              <c:f>Sheet1!$E$2</c:f>
              <c:numCache>
                <c:ptCount val="1"/>
                <c:pt idx="0">
                  <c:v>37.2</c:v>
                </c:pt>
              </c:numCache>
            </c:numRef>
          </c:val>
        </c:ser>
        <c:ser>
          <c:idx val="4"/>
          <c:order val="4"/>
          <c:tx>
            <c:strRef>
              <c:f>Sheet1!$F$1</c:f>
              <c:strCache>
                <c:ptCount val="1"/>
                <c:pt idx="0">
                  <c:v>人员经费</c:v>
                </c:pt>
              </c:strCache>
            </c:strRef>
          </c:tx>
          <c:cat>
            <c:strRef>
              <c:f>Sheet1!$A$2</c:f>
              <c:strCache>
                <c:ptCount val="1"/>
                <c:pt idx="0">
                  <c:v>当年</c:v>
                </c:pt>
              </c:strCache>
            </c:strRef>
          </c:cat>
          <c:val>
            <c:numRef>
              <c:f>Sheet1!$F$2</c:f>
              <c:numCache>
                <c:ptCount val="1"/>
                <c:pt idx="0">
                  <c:v>540.9</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540.9</c:v>
                </c:pt>
                <c:pt idx="1">
                  <c:v>37.2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2.0</c:v>
                </c:pt>
                <c:pt idx="2">
                  <c:v>4.6</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1.0</c:v>
                </c:pt>
                <c:pt idx="2">
                  <c:v>4.6</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2024-03-01T02:03:18Z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40</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05B28EED914E437FA494B7A04DD1A342_13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40</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2024-03-06T08:21:43Z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05B28EED914E437FA494B7A04DD1A342_13</vt:lpstr>
  </property>
</Properties>
</file>