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r>
        <w:rPr>
          <w:rFonts w:hint="eastAsia"/>
          <w:sz w:val="56"/>
          <w:szCs w:val="56"/>
          <w:lang w:eastAsia="zh-CN"/>
        </w:rPr>
        <w:t>环江毛南族自治县水利局</w:t>
      </w:r>
    </w:p>
    <w:p>
      <w:pPr>
        <w:pStyle w:val="10"/>
        <w:jc w:val="center"/>
        <w:rPr>
          <w:sz w:val="56"/>
          <w:szCs w:val="56"/>
        </w:rPr>
        <w:sectPr>
          <w:headerReference r:id="rId3" w:type="default"/>
          <w:footerReference r:id="rId4" w:type="default"/>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2"/>
      <w:bookmarkStart w:id="1" w:name="bookmark0"/>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环江毛南族自治县水利局单位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环江毛南族自治县水利局2024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环江毛南族自治县水利局2024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5"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3"/>
      <w:bookmarkStart w:id="4" w:name="bookmark14"/>
      <w:bookmarkStart w:id="5" w:name="bookmark12"/>
      <w:r>
        <w:rPr>
          <w:b/>
          <w:bCs/>
          <w:sz w:val="40"/>
          <w:szCs w:val="40"/>
        </w:rPr>
        <w:t>第一部分</w:t>
      </w:r>
      <w:r>
        <w:rPr>
          <w:rFonts w:hint="eastAsia"/>
          <w:b/>
          <w:bCs/>
          <w:sz w:val="40"/>
          <w:szCs w:val="40"/>
          <w:lang w:eastAsia="zh-CN"/>
        </w:rPr>
        <w:t>：</w:t>
      </w:r>
      <w:r>
        <w:rPr>
          <w:b/>
          <w:sz w:val="40"/>
          <w:u w:color="auto"/>
        </w:rPr>
        <w:t>环江毛南族自治县水利局</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负责保障全县水资源的合理开发利用。拟订全县水利中长期规划，组织编制全县水资源战略规划、起草有关地方性法规、规章和规范性文件草案，组织编制全县水资源战略规划、自治县确定的主要江河湖泊流域综合规划、防洪规划等重大水利规划。</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负责全县生活、生产经营和生态环境用水的统筹和保障。组织实施最严格水资源管理制度,实施全县水资源的统一监督管理,拟订全县水中长期供求规划、水量分配方案并监督实施。负责重要区域以及重大水利工程的水资源调度。组织实施取水许可、水资源论证和防洪论证制度,指导开展水资源有偿使用工作。指导水利行业供水和乡镇供水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(三)按规定制定全县水利工程建设有关制度并组织实施,负责提出全县水利固定资产投资规模、方向、具体安排建议并组织指导实施,提出中央和自治区、市和县水利资金安排建议并负责项目实施的监督管理。</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(四)指导全县水资源保护工作。组织编制并实施全县水资源保护规划。指导饮用水水源保护有关工作,指导地下水开发利用和地下水资源管理保护。</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(五)负责全县节约用水工作。拟订全县节约用水政策,组织编制节约用水规划并监督实施,组织制定有关标准。组织实施用水总量控制等管理制度,指导和推动节水型社会建设工作。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指导全县水利设施、水域及其岸线的管理、保护与综合利用。组织指导全县水利基础设施网络建设。指导全县重要江河湖泊的治理、开发和保护。负责全县河湖水生态保护与修复河湖生态流量水量管理以及河湖水系连通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(七)指导监督全县水利工程建设与运行管理。组织开展实施具有控制性的或跨设县乡的重要水利工程建设与运行管理。负责病险水库、水闸、江河堤防的除险加固。指导监督水库工程运行管理。</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负责全县水土保持工作。拟订全县水土保持规划并组织实施，组织实施水土流失的综合防治、监测预报并定期公告。负责生产建设项目水土保持监督管理工作,负责水土保持建设项目的实施。负责监督水土保持法律法规及相关配套规范性文件的实施。</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九)负责全县农村水利工作。组织开展大中型灌排工程建设与改造。负责农村饮水安全工程建设管理工作,组织节水灌溉有关工作。指导农村水利改革创新和社会化服务体系建设。负责全县农村水能资源开发、小水电改造和水电农村电气化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负责全县重大涉水违法事件的查处,协调跨设县乡水事纠纷,指导水政监察和水行政执法。负责开展水利行业质量监督工作。依法负责水利行业安全生产工作,组织指导水库、水电站大坝、农村水电站的安全监管。负责全县水利建设市场的监督管理和水利建设市场信用体系建设,组织实施水利工程建设的监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(十一)承担自治县全面推行河长制湖长制相关工作。承担自治县河长制办公室的日常工作，协调推进河长制各项工作任务落实。</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二）负责落实综合防灾减灾规划相关要求,组织编制全县洪水干早灾害防治规划和防护标准并指导实施。承担江河水情旱情监测预报预警工作。组织编制主要江河湖泊和重要水工程防御洪水抗御旱灾调度及应急水量调度方案并组织实施。</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（十三）完成自治县党委、人民政府交办的其他任务。</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四）职责调整。将编制水功能区划、排污口设置管理、流域水环境保护职责划给生态环境保护部门，将水资源调查和确权登记管理职责划给自治到自然资源局，将农田水利建设项目管理职责划给自治县农业局，将水旱灾害防治、自治县防汛抗旱指挥办公室划给自治县应急管理局，将水利风景区管理职责划给自治县林业局。</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五）职能转变。自治县水利局应切实加强水资源合理利用、优化配置和节约保护。坚持节水优先,从增加供给转向更加重视需求管理,严格控制用水总量和提高用水效率。坚持保护优先,加强水资源、水城和水利工程的管理保护,维护河湖健康美丽。坚持统筹兼顾,保障合理用水需求和水资源的可持续利用,为全县经济社会发展提供水安全保障。</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办公室。负责局机关日常运转工作，负责文秘、机要、档案、机关内部规章制度建设等工作；负责机关和直属单位的党群工作、人事管理、教育培训、机构编制、职称改革等工作。承担宣传、保密、信访、政务公开、绩效考核、新闻宣传、机关后勤服务指导等工作。督促检查水利重大政策、决策部署和重点工作的贯彻落实情况。组织实施水利工程质量和安全监督，指导水利行业安全生产工作，指导水库、农村水电站的安全监督，组织开展水利工程建设项目的稽查工作。组织编制全县洪水干旱灾害防治规划和防护标准、重要江河和重要水工程的防御洪水抗御旱灾调度以及应急水量调度方案并组织实施，承担江河水情旱情监测预报预警工作，组织协调指导蓄滞洪区和防洪保护区管理工作，负责水利信息化工作。负责编制自治县本级水利部门预算、决算并负责预算的执行，承担中央、自治区、市和自治县本级水利建设资金的管理工作。承担局机关和局属单位固有资产、政府采购和非税收入管理工作。负责局机关及局事业单位财务管理工作，研究提出预算管理、资金管理、政府采购管理、国有资产管理、价格管理等制度、办法。</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综合业务股（河长制工作股、行政审批股）。拟订全县水利发展规划，组织编制水利综合、专业、专项等重大规划，组织重大水利建设项目前期工作设计文件审查；组织指导有关防洪论证、水利工程建设项目合规性审查、跨区域跨流域水资源供需形势分析及前期工作；组织提出中央、自治区、市和县本级水利建设投资计划安排建议，统筹协调项目实施的监督管理和绩效管理，承担水利统计工作。承担全县实施最严格水资源管理制度相关工作，组织实施全县水资源论证、取水许可、水资源有偿使用等制度，指导水量分配工作并监督实施。指导河流生态流量水量管理，组织编制水资源保护规划。指导饮用水水源保护有关工作，指导河流生态保护与修复以及河流水系连通工作。组织开展水资源调查，评价有关工作。指导水资源调度、实施及管理等工作，负责全县节约用水工作。组织编制全县水土保持规划并监督实施。组织实施全县水土流失综合防治工作，组织实施水土流失监测、预报并公告，负责有关生产建设项目水土保持监督管理。组织水土保持建设项目的实施，负责拟订水土保持法律法规及相关配套文件并监督实施，对水土保持法律、法规的执行情况实施监督。研究拟订自治县水利工作的政策并监督实施，指导水利行政许可工作并监督检查，承办局行政应诉、行政复议和行政赔偿工作，指导水政监察和水行政执法，负责水行政规费的收取；组织协调全县水事纠纷调处，承办辖区单位之间或跨乡（镇）的水事纠纷调处，查处重大涉水违法案件，牵头负责行政审批工作。组织开展全县大中型灌排工程建设与改造，指导农村饮水安全工程建设管理工作，指导节水灌溉有关工作。指导农村水利社会化服务体系建设；组织拟订全县农村水能资源开发规划，指导水电农村电气化、农村水电增效扩容改造以及小水电代燃料等农村水能资源开发工作。指导水库、堤防、水闸等水利工程的运行管理、维修养护和综合利用与划界。组织指导水库大坝、水闸注册登记管理。组织指导水库运行调度规程或调度运用方案的编制和监督实施。指导全县水利工程建设管理，组织拟订有关制度并组织实施。组织指导全县水利工程蓄水安全鉴定和验收，指导病险水库、水闸、江河堤防的除险加固。指导全县水利建设市场的监督管理和水利建设市场的信用体系建设，承担水利建设质量考核工作。指导全县河、水域及其岸线的管理、保护和综合利用。指导全县河道采砂管理工作，组织实施河道管理范围内建设项目工程建设方案审查制度。承担自治县河长制办公室、自治县水土保持委员会日常工作。</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6"/>
      <w:bookmarkStart w:id="11" w:name="bookmark28"/>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环江毛南族自治县水利局</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15709.25</w:t>
      </w:r>
      <w:r>
        <w:rPr>
          <w:rFonts w:hint="eastAsia"/>
          <w:b w:val="0"/>
          <w:bCs w:val="0"/>
          <w:sz w:val="28"/>
          <w:szCs w:val="28"/>
        </w:rPr>
        <w:t>万元，总支出</w:t>
      </w:r>
      <w:r>
        <w:rPr>
          <w:rFonts w:hint="eastAsia"/>
          <w:sz w:val="28"/>
          <w:szCs w:val="28"/>
          <w:lang w:val="en-US" w:eastAsia="zh-CN"/>
        </w:rPr>
        <w:t>15709.25</w:t>
      </w:r>
      <w:r>
        <w:rPr>
          <w:rFonts w:hint="eastAsia"/>
          <w:b w:val="0"/>
          <w:bCs w:val="0"/>
          <w:sz w:val="28"/>
          <w:szCs w:val="28"/>
        </w:rPr>
        <w:t>万元。总收入较2023年度预算数</w:t>
      </w:r>
      <w:r>
        <w:rPr>
          <w:rFonts w:hint="eastAsia"/>
          <w:sz w:val="28"/>
          <w:szCs w:val="28"/>
          <w:lang w:val="en-US" w:eastAsia="zh-CN"/>
        </w:rPr>
        <w:t>9532.11</w:t>
      </w:r>
      <w:r>
        <w:rPr>
          <w:rFonts w:hint="eastAsia"/>
          <w:b w:val="0"/>
          <w:bCs w:val="0"/>
          <w:sz w:val="28"/>
          <w:szCs w:val="28"/>
        </w:rPr>
        <w:t>万元，</w:t>
      </w:r>
      <w:r>
        <w:rPr>
          <w:rFonts w:hint="eastAsia"/>
          <w:sz w:val="28"/>
          <w:szCs w:val="28"/>
        </w:rPr>
        <w:t>增加6177.14</w:t>
      </w:r>
      <w:r>
        <w:rPr>
          <w:rFonts w:hint="eastAsia"/>
          <w:b w:val="0"/>
          <w:bCs w:val="0"/>
          <w:sz w:val="28"/>
          <w:szCs w:val="28"/>
        </w:rPr>
        <w:t>万元，</w:t>
      </w:r>
      <w:r>
        <w:rPr>
          <w:rFonts w:hint="eastAsia"/>
          <w:sz w:val="28"/>
          <w:szCs w:val="28"/>
        </w:rPr>
        <w:t>增长64.80%</w:t>
      </w:r>
      <w:r>
        <w:rPr>
          <w:rFonts w:hint="eastAsia"/>
          <w:b w:val="0"/>
          <w:bCs w:val="0"/>
          <w:sz w:val="28"/>
          <w:szCs w:val="28"/>
        </w:rPr>
        <w:t>，主要原因是</w:t>
      </w:r>
      <w:r>
        <w:rPr>
          <w:rFonts w:hint="eastAsia"/>
          <w:highlight w:val="none"/>
          <w:lang w:val="en-US" w:eastAsia="zh-CN"/>
        </w:rPr>
        <w:t>收支增减幅度较大，2024年收入上年结转结余15054.20万元，项目增加，退休费增加，所以收入增减幅度较大。</w:t>
      </w:r>
      <w:r>
        <w:rPr>
          <w:rFonts w:hint="eastAsia"/>
          <w:b w:val="0"/>
          <w:bCs w:val="0"/>
          <w:sz w:val="28"/>
          <w:szCs w:val="28"/>
        </w:rPr>
        <w:t>。总支出较2023年度预算数</w:t>
      </w:r>
      <w:r>
        <w:rPr>
          <w:rFonts w:hint="eastAsia"/>
          <w:sz w:val="28"/>
          <w:szCs w:val="28"/>
          <w:lang w:val="en-US" w:eastAsia="zh-CN"/>
        </w:rPr>
        <w:t>9532.11</w:t>
      </w:r>
      <w:r>
        <w:rPr>
          <w:rFonts w:hint="eastAsia"/>
          <w:b w:val="0"/>
          <w:bCs w:val="0"/>
          <w:sz w:val="28"/>
          <w:szCs w:val="28"/>
        </w:rPr>
        <w:t>万元，</w:t>
      </w:r>
      <w:r>
        <w:rPr>
          <w:rFonts w:hint="eastAsia"/>
          <w:sz w:val="28"/>
          <w:szCs w:val="28"/>
        </w:rPr>
        <w:t>增加6177.14</w:t>
      </w:r>
      <w:r>
        <w:rPr>
          <w:rFonts w:hint="eastAsia"/>
          <w:b w:val="0"/>
          <w:bCs w:val="0"/>
          <w:sz w:val="28"/>
          <w:szCs w:val="28"/>
        </w:rPr>
        <w:t>万元，</w:t>
      </w:r>
      <w:r>
        <w:rPr>
          <w:rFonts w:hint="eastAsia"/>
          <w:sz w:val="28"/>
          <w:szCs w:val="28"/>
        </w:rPr>
        <w:t>增长64.80%</w:t>
      </w:r>
      <w:r>
        <w:rPr>
          <w:rFonts w:hint="eastAsia"/>
          <w:b w:val="0"/>
          <w:bCs w:val="0"/>
          <w:sz w:val="28"/>
          <w:szCs w:val="28"/>
        </w:rPr>
        <w:t>，主要原因是</w:t>
      </w:r>
      <w:r>
        <w:rPr>
          <w:rFonts w:hint="eastAsia"/>
          <w:highlight w:val="none"/>
          <w:lang w:val="en-US" w:eastAsia="zh-CN"/>
        </w:rPr>
        <w:t>今年含水利工程项目建设农林水支出增加</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11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15709.25</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9532.11</w:t>
      </w:r>
      <w:r>
        <w:rPr>
          <w:rFonts w:hint="eastAsia" w:ascii="宋体" w:hAnsi="宋体" w:eastAsia="宋体" w:cs="宋体"/>
          <w:sz w:val="28"/>
          <w:szCs w:val="28"/>
          <w:u w:color="auto"/>
        </w:rPr>
        <w:t>万元，</w:t>
      </w:r>
      <w:r>
        <w:rPr>
          <w:rFonts w:hint="eastAsia" w:ascii="宋体" w:hAnsi="宋体" w:eastAsia="宋体" w:cs="宋体"/>
          <w:sz w:val="28"/>
          <w:szCs w:val="28"/>
        </w:rPr>
        <w:t>增加6177.14</w:t>
      </w:r>
      <w:r>
        <w:rPr>
          <w:rFonts w:hint="eastAsia" w:ascii="宋体" w:hAnsi="宋体" w:eastAsia="宋体" w:cs="宋体"/>
          <w:sz w:val="28"/>
          <w:szCs w:val="28"/>
          <w:u w:color="auto"/>
        </w:rPr>
        <w:t>万元，</w:t>
      </w:r>
      <w:r>
        <w:rPr>
          <w:rFonts w:hint="eastAsia" w:ascii="宋体" w:hAnsi="宋体" w:eastAsia="宋体" w:cs="宋体"/>
          <w:sz w:val="28"/>
          <w:szCs w:val="28"/>
        </w:rPr>
        <w:t>增长64.80%</w:t>
      </w:r>
      <w:r>
        <w:rPr>
          <w:rFonts w:hint="eastAsia" w:ascii="宋体" w:hAnsi="宋体" w:eastAsia="宋体" w:cs="宋体"/>
          <w:sz w:val="28"/>
          <w:szCs w:val="28"/>
          <w:u w:color="auto"/>
        </w:rPr>
        <w:t>，主要原因是</w:t>
      </w:r>
      <w:r>
        <w:rPr>
          <w:rFonts w:hint="eastAsia"/>
          <w:highlight w:val="none"/>
          <w:lang w:val="en-US" w:eastAsia="zh-CN"/>
        </w:rPr>
        <w:t>收支增减幅度较大，2024年收入上年结转结余15054.20万元，项目增加，退休费增加，所以收入增减幅度较大。</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211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15709.25</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9532.11</w:t>
      </w:r>
      <w:r>
        <w:rPr>
          <w:rFonts w:hint="eastAsia" w:ascii="宋体" w:hAnsi="宋体" w:eastAsia="宋体" w:cs="宋体"/>
          <w:sz w:val="28"/>
          <w:szCs w:val="28"/>
          <w:lang w:eastAsia="zh-CN"/>
        </w:rPr>
        <w:t>万元，</w:t>
      </w:r>
      <w:r>
        <w:rPr>
          <w:rFonts w:hint="eastAsia" w:ascii="宋体" w:hAnsi="宋体" w:eastAsia="宋体" w:cs="宋体"/>
          <w:sz w:val="28"/>
          <w:szCs w:val="28"/>
        </w:rPr>
        <w:t>增加6177.14</w:t>
      </w:r>
      <w:r>
        <w:rPr>
          <w:rFonts w:hint="eastAsia" w:ascii="宋体" w:hAnsi="宋体" w:eastAsia="宋体" w:cs="宋体"/>
          <w:sz w:val="28"/>
          <w:szCs w:val="28"/>
          <w:lang w:eastAsia="zh-CN"/>
        </w:rPr>
        <w:t>万元，</w:t>
      </w:r>
      <w:r>
        <w:rPr>
          <w:rFonts w:hint="eastAsia" w:ascii="宋体" w:hAnsi="宋体" w:eastAsia="宋体" w:cs="宋体"/>
          <w:sz w:val="28"/>
          <w:szCs w:val="28"/>
        </w:rPr>
        <w:t>增长64.80%</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今年含水利工程项目建设农林水支出增加</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今年含水利工程项目建设农林水支出增加</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5</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1)农林水支出</w:t>
      </w:r>
      <w:r>
        <w:rPr>
          <w:rFonts w:hint="eastAsia" w:ascii="宋体" w:hAnsi="宋体" w:eastAsia="宋体" w:cs="宋体"/>
          <w:sz w:val="28"/>
          <w:szCs w:val="28"/>
          <w:lang w:val="en-US" w:eastAsia="zh-CN"/>
        </w:rPr>
        <w:t>15602.96</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99.32%</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增长6189.06</w:t>
      </w:r>
      <w:r>
        <w:rPr>
          <w:rFonts w:hint="eastAsia" w:ascii="宋体" w:hAnsi="宋体" w:eastAsia="宋体" w:cs="宋体"/>
          <w:sz w:val="28"/>
          <w:szCs w:val="28"/>
        </w:rPr>
        <w:t>万元，</w:t>
      </w:r>
      <w:r>
        <w:rPr>
          <w:rFonts w:hint="eastAsia" w:ascii="宋体" w:hAnsi="宋体" w:eastAsia="宋体" w:cs="宋体"/>
          <w:sz w:val="28"/>
          <w:szCs w:val="28"/>
          <w:lang w:val="en-US" w:eastAsia="zh-CN"/>
        </w:rPr>
        <w:t>增长65.74%</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项目增加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2)住房保障支出</w:t>
      </w:r>
      <w:r>
        <w:rPr>
          <w:rFonts w:hint="eastAsia" w:ascii="宋体" w:hAnsi="宋体" w:eastAsia="宋体" w:cs="宋体"/>
          <w:sz w:val="28"/>
          <w:szCs w:val="28"/>
          <w:lang w:val="en-US" w:eastAsia="zh-CN"/>
        </w:rPr>
        <w:t>47.23</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0.30%</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减少0.10</w:t>
      </w:r>
      <w:r>
        <w:rPr>
          <w:rFonts w:hint="eastAsia" w:ascii="宋体" w:hAnsi="宋体" w:eastAsia="宋体" w:cs="宋体"/>
          <w:sz w:val="28"/>
          <w:szCs w:val="28"/>
        </w:rPr>
        <w:t>万元，</w:t>
      </w:r>
      <w:r>
        <w:rPr>
          <w:rFonts w:hint="eastAsia" w:ascii="宋体" w:hAnsi="宋体" w:eastAsia="宋体" w:cs="宋体"/>
          <w:sz w:val="28"/>
          <w:szCs w:val="28"/>
          <w:lang w:val="en-US" w:eastAsia="zh-CN"/>
        </w:rPr>
        <w:t>减少0.21%</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单位人员变动，基数也随之变动</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3)社会保障和就业支出</w:t>
      </w:r>
      <w:r>
        <w:rPr>
          <w:rFonts w:hint="eastAsia" w:ascii="宋体" w:hAnsi="宋体" w:eastAsia="宋体" w:cs="宋体"/>
          <w:sz w:val="28"/>
          <w:szCs w:val="28"/>
          <w:lang w:val="en-US" w:eastAsia="zh-CN"/>
        </w:rPr>
        <w:t>53.75</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0.34%</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减少9.26</w:t>
      </w:r>
      <w:r>
        <w:rPr>
          <w:rFonts w:hint="eastAsia" w:ascii="宋体" w:hAnsi="宋体" w:eastAsia="宋体" w:cs="宋体"/>
          <w:sz w:val="28"/>
          <w:szCs w:val="28"/>
        </w:rPr>
        <w:t>万元，</w:t>
      </w:r>
      <w:r>
        <w:rPr>
          <w:rFonts w:hint="eastAsia" w:ascii="宋体" w:hAnsi="宋体" w:eastAsia="宋体" w:cs="宋体"/>
          <w:sz w:val="28"/>
          <w:szCs w:val="28"/>
          <w:lang w:val="en-US" w:eastAsia="zh-CN"/>
        </w:rPr>
        <w:t>减少14.70%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人员调动</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4)城乡社区支出</w:t>
      </w:r>
      <w:r>
        <w:rPr>
          <w:rFonts w:hint="eastAsia" w:ascii="宋体" w:hAnsi="宋体" w:eastAsia="宋体" w:cs="宋体"/>
          <w:sz w:val="28"/>
          <w:szCs w:val="28"/>
          <w:lang w:val="en-US" w:eastAsia="zh-CN"/>
        </w:rPr>
        <w:t>0.71</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0.00%</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增长0.71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增长100%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新增项目</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5)一般公共服务支出</w:t>
      </w:r>
      <w:r>
        <w:rPr>
          <w:rFonts w:hint="eastAsia" w:ascii="宋体" w:hAnsi="宋体" w:eastAsia="宋体" w:cs="宋体"/>
          <w:sz w:val="28"/>
          <w:szCs w:val="28"/>
          <w:lang w:val="en-US" w:eastAsia="zh-CN"/>
        </w:rPr>
        <w:t>4.59</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0.03%</w:t>
      </w:r>
      <w:r>
        <w:rPr>
          <w:rFonts w:hint="eastAsia" w:ascii="宋体" w:hAnsi="宋体" w:eastAsia="宋体" w:cs="宋体"/>
          <w:sz w:val="28"/>
          <w:szCs w:val="28"/>
        </w:rPr>
        <w:t>,比上年</w:t>
      </w:r>
      <w:r>
        <w:rPr>
          <w:rFonts w:hint="eastAsia" w:ascii="宋体" w:hAnsi="宋体" w:eastAsia="宋体" w:cs="宋体"/>
          <w:sz w:val="28"/>
          <w:szCs w:val="28"/>
          <w:lang w:val="en-US" w:eastAsia="zh-CN"/>
        </w:rPr>
        <w:t>减少3.29</w:t>
      </w:r>
      <w:r>
        <w:rPr>
          <w:rFonts w:hint="eastAsia" w:ascii="宋体" w:hAnsi="宋体" w:eastAsia="宋体" w:cs="宋体"/>
          <w:sz w:val="28"/>
          <w:szCs w:val="28"/>
        </w:rPr>
        <w:t>万元，</w:t>
      </w:r>
      <w:r>
        <w:rPr>
          <w:rFonts w:hint="eastAsia" w:ascii="宋体" w:hAnsi="宋体" w:eastAsia="宋体" w:cs="宋体"/>
          <w:sz w:val="28"/>
          <w:szCs w:val="28"/>
          <w:lang w:val="en-US" w:eastAsia="zh-CN"/>
        </w:rPr>
        <w:t>减少41.75%</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由于工会经费的支出减少</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537.45</w:t>
      </w:r>
      <w:r>
        <w:rPr>
          <w:rFonts w:hint="eastAsia" w:ascii="宋体" w:hAnsi="宋体" w:eastAsia="宋体" w:cs="宋体"/>
          <w:sz w:val="28"/>
          <w:szCs w:val="28"/>
        </w:rPr>
        <w:t>万元，占支出预算</w:t>
      </w:r>
      <w:r>
        <w:rPr>
          <w:rFonts w:ascii="宋体" w:hAnsi="宋体" w:eastAsia="宋体" w:cs="宋体"/>
          <w:sz w:val="28"/>
          <w:u w:color="auto"/>
        </w:rPr>
        <w:t>3.42%,比上年增长21.14万元，增长4.09%</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36.09</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6.72%</w:t>
      </w:r>
      <w:r>
        <w:rPr>
          <w:rFonts w:hint="eastAsia" w:ascii="宋体" w:hAnsi="宋体" w:eastAsia="宋体" w:cs="宋体"/>
          <w:sz w:val="28"/>
          <w:szCs w:val="28"/>
        </w:rPr>
        <w:t>,比上年</w:t>
      </w:r>
      <w:r>
        <w:rPr>
          <w:rFonts w:ascii="宋体" w:hAnsi="宋体" w:eastAsia="宋体" w:cs="宋体"/>
          <w:sz w:val="28"/>
          <w:u w:color="auto"/>
        </w:rPr>
        <w:t>减少12.56万元，减少25.82%,主要原因是：本年度资金紧缺</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469.66</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87.39%</w:t>
      </w:r>
      <w:r>
        <w:rPr>
          <w:rFonts w:hint="eastAsia" w:ascii="宋体" w:hAnsi="宋体" w:eastAsia="宋体" w:cs="宋体"/>
          <w:sz w:val="28"/>
          <w:szCs w:val="28"/>
        </w:rPr>
        <w:t>,比上年</w:t>
      </w:r>
      <w:r>
        <w:rPr>
          <w:rFonts w:ascii="宋体" w:hAnsi="宋体" w:eastAsia="宋体" w:cs="宋体"/>
          <w:sz w:val="28"/>
          <w:u w:color="auto"/>
        </w:rPr>
        <w:t>增长2.00万元，增长0.43%,主要原因是：技术人员级别晋升</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31.70</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5.90%</w:t>
      </w:r>
      <w:r>
        <w:rPr>
          <w:rFonts w:hint="eastAsia" w:ascii="宋体" w:hAnsi="宋体" w:eastAsia="宋体" w:cs="宋体"/>
          <w:sz w:val="28"/>
          <w:szCs w:val="28"/>
        </w:rPr>
        <w:t>,比上年</w:t>
      </w:r>
      <w:r>
        <w:rPr>
          <w:rFonts w:ascii="宋体" w:hAnsi="宋体" w:eastAsia="宋体" w:cs="宋体"/>
          <w:sz w:val="28"/>
          <w:u w:color="auto"/>
        </w:rPr>
        <w:t>增长31.70万元，增长100%,主要原因是：死亡抚恤金增加</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15171.80</w:t>
      </w:r>
      <w:r>
        <w:rPr>
          <w:rFonts w:hint="eastAsia" w:ascii="宋体" w:hAnsi="宋体" w:eastAsia="宋体" w:cs="宋体"/>
          <w:sz w:val="28"/>
          <w:szCs w:val="28"/>
        </w:rPr>
        <w:t>万元，占支出预算</w:t>
      </w:r>
      <w:r>
        <w:rPr>
          <w:rFonts w:ascii="宋体" w:hAnsi="宋体" w:eastAsia="宋体" w:cs="宋体"/>
          <w:sz w:val="28"/>
          <w:u w:color="auto"/>
        </w:rPr>
        <w:t>96.58%</w:t>
      </w:r>
      <w:r>
        <w:rPr>
          <w:rFonts w:hint="eastAsia" w:ascii="宋体" w:hAnsi="宋体" w:eastAsia="宋体" w:cs="宋体"/>
          <w:sz w:val="28"/>
          <w:szCs w:val="28"/>
        </w:rPr>
        <w:t>,比上年</w:t>
      </w:r>
      <w:r>
        <w:rPr>
          <w:rFonts w:ascii="宋体" w:hAnsi="宋体" w:eastAsia="宋体" w:cs="宋体"/>
          <w:sz w:val="28"/>
          <w:u w:color="auto"/>
        </w:rPr>
        <w:t>增长6156.00</w:t>
      </w:r>
      <w:r>
        <w:rPr>
          <w:rFonts w:hint="eastAsia" w:ascii="宋体" w:hAnsi="宋体" w:eastAsia="宋体" w:cs="宋体"/>
          <w:sz w:val="28"/>
          <w:szCs w:val="28"/>
        </w:rPr>
        <w:t>万元，</w:t>
      </w:r>
      <w:r>
        <w:rPr>
          <w:rFonts w:ascii="宋体" w:hAnsi="宋体" w:eastAsia="宋体" w:cs="宋体"/>
          <w:sz w:val="28"/>
          <w:u w:color="auto"/>
        </w:rPr>
        <w:t>增长68.28%</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172.10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1.13%</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减少90.32万元，减少34.42%,主要原因是：</w:t>
      </w:r>
      <w:r>
        <w:rPr>
          <w:rFonts w:hint="eastAsia" w:ascii="宋体" w:hAnsi="宋体" w:eastAsia="宋体" w:cs="宋体"/>
          <w:color w:val="000000"/>
          <w:sz w:val="28"/>
          <w:szCs w:val="28"/>
          <w:lang w:val="zh-TW" w:eastAsia="zh-TW" w:bidi="zh-TW"/>
        </w:rPr>
        <w:t>部分的工会经费减少。</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2)资本性支出</w:t>
      </w:r>
      <w:r>
        <w:rPr>
          <w:rFonts w:hint="eastAsia" w:ascii="宋体" w:hAnsi="宋体" w:eastAsia="宋体" w:cs="宋体"/>
          <w:sz w:val="28"/>
          <w:szCs w:val="28"/>
          <w:lang w:val="en-US" w:eastAsia="zh-CN"/>
        </w:rPr>
        <w:t>14998.99</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98.86%</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增长6299.91万元，增长72.42%,主要原因是：</w:t>
      </w:r>
      <w:r>
        <w:rPr>
          <w:rFonts w:hint="eastAsia" w:ascii="宋体" w:hAnsi="宋体" w:eastAsia="宋体" w:cs="宋体"/>
          <w:color w:val="000000"/>
          <w:sz w:val="28"/>
          <w:szCs w:val="28"/>
          <w:lang w:val="zh-TW" w:eastAsia="zh-TW" w:bidi="zh-TW"/>
        </w:rPr>
        <w:t>项目增多</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3)工资福利支出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减少54.10万元，减少100.00%,主要原因是：</w:t>
      </w:r>
      <w:r>
        <w:rPr>
          <w:rFonts w:hint="eastAsia" w:ascii="宋体" w:hAnsi="宋体" w:eastAsia="宋体" w:cs="宋体"/>
          <w:color w:val="000000"/>
          <w:sz w:val="28"/>
          <w:szCs w:val="28"/>
          <w:lang w:val="zh-TW" w:eastAsia="zh-TW" w:bidi="zh-TW"/>
        </w:rPr>
        <w:t>工资福利支出没有纳入预算</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4)资本性支出（基本建设）</w:t>
      </w:r>
      <w:r>
        <w:rPr>
          <w:rFonts w:hint="eastAsia" w:ascii="宋体" w:hAnsi="宋体" w:eastAsia="宋体" w:cs="宋体"/>
          <w:sz w:val="28"/>
          <w:szCs w:val="28"/>
          <w:lang w:val="en-US" w:eastAsia="zh-CN"/>
        </w:rPr>
        <w:t>0.71</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0.00%</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增长0.51万元，增长255.00%,主要原因是：</w:t>
      </w:r>
      <w:r>
        <w:rPr>
          <w:rFonts w:hint="eastAsia" w:ascii="宋体" w:hAnsi="宋体" w:eastAsia="宋体" w:cs="宋体"/>
          <w:color w:val="000000"/>
          <w:sz w:val="28"/>
          <w:szCs w:val="28"/>
          <w:lang w:val="zh-TW" w:eastAsia="zh-TW" w:bidi="zh-TW"/>
        </w:rPr>
        <w:t>项目增多</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11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15709.25</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15709.25</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9532.11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增加6177.14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增长64.80%</w:t>
      </w:r>
      <w:r>
        <w:rPr>
          <w:rFonts w:hint="eastAsia" w:ascii="宋体" w:hAnsi="宋体" w:eastAsia="宋体" w:cs="宋体"/>
          <w:sz w:val="28"/>
          <w:szCs w:val="28"/>
        </w:rPr>
        <w:t>，主要原因是</w:t>
      </w:r>
      <w:r>
        <w:rPr>
          <w:rFonts w:hint="eastAsia"/>
          <w:highlight w:val="none"/>
          <w:lang w:val="en-US" w:eastAsia="zh-CN"/>
        </w:rPr>
        <w:t>由于项目增多，相应的支出随之增多，退休费增加。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9532.11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增加6177.14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增长64.80%</w:t>
      </w:r>
      <w:r>
        <w:rPr>
          <w:rFonts w:hint="eastAsia" w:ascii="宋体" w:hAnsi="宋体" w:eastAsia="宋体" w:cs="宋体"/>
          <w:sz w:val="28"/>
          <w:szCs w:val="28"/>
        </w:rPr>
        <w:t>，主要原因是</w:t>
      </w:r>
      <w:r>
        <w:rPr>
          <w:rFonts w:hint="eastAsia"/>
          <w:highlight w:val="none"/>
          <w:lang w:val="en-US" w:eastAsia="zh-CN"/>
        </w:rPr>
        <w:t>由于项目增多，相应的支出随之增多，退休费增加。</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211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15708.54</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9532.11</w:t>
      </w:r>
      <w:r>
        <w:rPr>
          <w:rFonts w:hint="eastAsia" w:ascii="宋体" w:hAnsi="宋体" w:eastAsia="宋体" w:cs="宋体"/>
          <w:sz w:val="28"/>
          <w:szCs w:val="28"/>
        </w:rPr>
        <w:t>万元，</w:t>
      </w:r>
      <w:r>
        <w:rPr>
          <w:rFonts w:hint="eastAsia" w:ascii="宋体" w:hAnsi="宋体" w:eastAsia="宋体" w:cs="宋体"/>
          <w:sz w:val="28"/>
          <w:szCs w:val="28"/>
          <w:lang w:val="en-US" w:eastAsia="zh-CN"/>
        </w:rPr>
        <w:t>增加6176.43</w:t>
      </w:r>
      <w:r>
        <w:rPr>
          <w:rFonts w:hint="eastAsia" w:ascii="宋体" w:hAnsi="宋体" w:eastAsia="宋体" w:cs="宋体"/>
          <w:sz w:val="28"/>
          <w:szCs w:val="28"/>
        </w:rPr>
        <w:t>万元，</w:t>
      </w:r>
      <w:r>
        <w:rPr>
          <w:rFonts w:hint="eastAsia" w:ascii="宋体" w:hAnsi="宋体" w:eastAsia="宋体" w:cs="宋体"/>
          <w:sz w:val="28"/>
          <w:szCs w:val="28"/>
          <w:lang w:val="en-US" w:eastAsia="zh-CN"/>
        </w:rPr>
        <w:t>增长64.80%</w:t>
      </w:r>
      <w:r>
        <w:rPr>
          <w:rFonts w:hint="eastAsia" w:ascii="宋体" w:hAnsi="宋体" w:eastAsia="宋体" w:cs="宋体"/>
          <w:sz w:val="28"/>
          <w:szCs w:val="28"/>
        </w:rPr>
        <w:t>，主要原因是</w:t>
      </w:r>
      <w:r>
        <w:rPr>
          <w:rFonts w:hint="eastAsia"/>
          <w:highlight w:val="none"/>
          <w:lang w:val="en-US" w:eastAsia="zh-CN"/>
        </w:rPr>
        <w:t>农业水支出（水利工程项目建设）比去年增加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140.00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4.59</w:t>
      </w:r>
      <w:r>
        <w:rPr>
          <w:rFonts w:hint="eastAsia" w:ascii="宋体" w:hAnsi="宋体" w:eastAsia="宋体" w:cs="宋体"/>
          <w:sz w:val="28"/>
          <w:szCs w:val="28"/>
        </w:rPr>
        <w:t>万元，占支出总预算的</w:t>
      </w:r>
      <w:r>
        <w:rPr>
          <w:rFonts w:ascii="宋体" w:hAnsi="宋体" w:eastAsia="宋体" w:cs="宋体"/>
          <w:sz w:val="28"/>
          <w:u w:color="auto"/>
        </w:rPr>
        <w:t>0.03%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7.88</w:t>
      </w:r>
      <w:r>
        <w:rPr>
          <w:rFonts w:hint="eastAsia" w:ascii="宋体" w:hAnsi="宋体" w:eastAsia="宋体" w:cs="宋体"/>
          <w:sz w:val="28"/>
          <w:szCs w:val="28"/>
        </w:rPr>
        <w:t>万元，</w:t>
      </w:r>
      <w:r>
        <w:rPr>
          <w:rFonts w:ascii="宋体" w:hAnsi="宋体" w:eastAsia="宋体" w:cs="宋体"/>
          <w:sz w:val="28"/>
          <w:u w:color="auto"/>
        </w:rPr>
        <w:t>减少3.29</w:t>
      </w:r>
      <w:r>
        <w:rPr>
          <w:rFonts w:hint="eastAsia" w:ascii="宋体" w:hAnsi="宋体" w:eastAsia="宋体" w:cs="宋体"/>
          <w:sz w:val="28"/>
          <w:szCs w:val="28"/>
        </w:rPr>
        <w:t>万元，</w:t>
      </w:r>
      <w:r>
        <w:rPr>
          <w:rFonts w:ascii="宋体" w:hAnsi="宋体" w:eastAsia="宋体" w:cs="宋体"/>
          <w:sz w:val="28"/>
          <w:u w:color="auto"/>
        </w:rPr>
        <w:t>减少41.75%</w:t>
      </w:r>
      <w:r>
        <w:rPr>
          <w:rFonts w:hint="eastAsia" w:ascii="宋体" w:hAnsi="宋体" w:eastAsia="宋体" w:cs="宋体"/>
          <w:sz w:val="28"/>
          <w:szCs w:val="28"/>
        </w:rPr>
        <w:t>，主要原因是：</w:t>
      </w:r>
      <w:r>
        <w:rPr>
          <w:rFonts w:hint="eastAsia"/>
          <w:highlight w:val="none"/>
        </w:rPr>
        <w:t>工会经费事务支出减少。</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47.23</w:t>
      </w:r>
      <w:r>
        <w:rPr>
          <w:rFonts w:hint="eastAsia" w:ascii="宋体" w:hAnsi="宋体" w:eastAsia="宋体" w:cs="宋体"/>
          <w:sz w:val="28"/>
          <w:szCs w:val="28"/>
        </w:rPr>
        <w:t>万元，占支出总预算的</w:t>
      </w:r>
      <w:r>
        <w:rPr>
          <w:rFonts w:ascii="宋体" w:hAnsi="宋体" w:eastAsia="宋体" w:cs="宋体"/>
          <w:sz w:val="28"/>
          <w:u w:color="auto"/>
        </w:rPr>
        <w:t>0.30%</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47.33</w:t>
      </w:r>
      <w:r>
        <w:rPr>
          <w:rFonts w:hint="eastAsia" w:ascii="宋体" w:hAnsi="宋体" w:eastAsia="宋体" w:cs="宋体"/>
          <w:sz w:val="28"/>
          <w:szCs w:val="28"/>
        </w:rPr>
        <w:t>万元，</w:t>
      </w:r>
      <w:r>
        <w:rPr>
          <w:rFonts w:ascii="宋体" w:hAnsi="宋体" w:eastAsia="宋体" w:cs="宋体"/>
          <w:sz w:val="28"/>
          <w:u w:color="auto"/>
        </w:rPr>
        <w:t>减少0.10</w:t>
      </w:r>
      <w:r>
        <w:rPr>
          <w:rFonts w:hint="eastAsia" w:ascii="宋体" w:hAnsi="宋体" w:eastAsia="宋体" w:cs="宋体"/>
          <w:sz w:val="28"/>
          <w:szCs w:val="28"/>
        </w:rPr>
        <w:t>万元，</w:t>
      </w:r>
      <w:r>
        <w:rPr>
          <w:rFonts w:ascii="宋体" w:hAnsi="宋体" w:eastAsia="宋体" w:cs="宋体"/>
          <w:sz w:val="28"/>
          <w:u w:color="auto"/>
        </w:rPr>
        <w:t>减少0.21%</w:t>
      </w:r>
      <w:r>
        <w:rPr>
          <w:rFonts w:hint="eastAsia" w:ascii="宋体" w:hAnsi="宋体" w:eastAsia="宋体" w:cs="宋体"/>
          <w:sz w:val="28"/>
          <w:szCs w:val="28"/>
        </w:rPr>
        <w:t>，主要原因是：</w:t>
      </w:r>
      <w:r>
        <w:rPr>
          <w:rFonts w:hint="eastAsia"/>
          <w:highlight w:val="none"/>
        </w:rPr>
        <w:t>单位人员变动，基数也随之变动</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15602.96</w:t>
      </w:r>
      <w:r>
        <w:rPr>
          <w:rFonts w:hint="eastAsia" w:ascii="宋体" w:hAnsi="宋体" w:eastAsia="宋体" w:cs="宋体"/>
          <w:sz w:val="28"/>
          <w:szCs w:val="28"/>
        </w:rPr>
        <w:t>万元，占支出总预算的</w:t>
      </w:r>
      <w:r>
        <w:rPr>
          <w:rFonts w:ascii="宋体" w:hAnsi="宋体" w:eastAsia="宋体" w:cs="宋体"/>
          <w:sz w:val="28"/>
          <w:u w:color="auto"/>
        </w:rPr>
        <w:t>99.33%</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9413.90</w:t>
      </w:r>
      <w:r>
        <w:rPr>
          <w:rFonts w:hint="eastAsia" w:ascii="宋体" w:hAnsi="宋体" w:eastAsia="宋体" w:cs="宋体"/>
          <w:sz w:val="28"/>
          <w:szCs w:val="28"/>
        </w:rPr>
        <w:t>万元，</w:t>
      </w:r>
      <w:r>
        <w:rPr>
          <w:rFonts w:ascii="宋体" w:hAnsi="宋体" w:eastAsia="宋体" w:cs="宋体"/>
          <w:sz w:val="28"/>
          <w:u w:color="auto"/>
        </w:rPr>
        <w:t>增长6189.06</w:t>
      </w:r>
      <w:r>
        <w:rPr>
          <w:rFonts w:hint="eastAsia" w:ascii="宋体" w:hAnsi="宋体" w:eastAsia="宋体" w:cs="宋体"/>
          <w:sz w:val="28"/>
          <w:szCs w:val="28"/>
        </w:rPr>
        <w:t>万元，</w:t>
      </w:r>
      <w:r>
        <w:rPr>
          <w:rFonts w:ascii="宋体" w:hAnsi="宋体" w:eastAsia="宋体" w:cs="宋体"/>
          <w:sz w:val="28"/>
          <w:u w:color="auto"/>
        </w:rPr>
        <w:t>增长65.74%</w:t>
      </w:r>
      <w:r>
        <w:rPr>
          <w:rFonts w:hint="eastAsia" w:ascii="宋体" w:hAnsi="宋体" w:eastAsia="宋体" w:cs="宋体"/>
          <w:sz w:val="28"/>
          <w:szCs w:val="28"/>
        </w:rPr>
        <w:t>，主要原因是：</w:t>
      </w:r>
      <w:r>
        <w:rPr>
          <w:rFonts w:hint="eastAsia"/>
          <w:highlight w:val="none"/>
        </w:rPr>
        <w:t>水利工程项目建设增多</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53.75</w:t>
      </w:r>
      <w:r>
        <w:rPr>
          <w:rFonts w:hint="eastAsia" w:ascii="宋体" w:hAnsi="宋体" w:eastAsia="宋体" w:cs="宋体"/>
          <w:sz w:val="28"/>
          <w:szCs w:val="28"/>
        </w:rPr>
        <w:t>万元，占支出总预算的</w:t>
      </w:r>
      <w:r>
        <w:rPr>
          <w:rFonts w:ascii="宋体" w:hAnsi="宋体" w:eastAsia="宋体" w:cs="宋体"/>
          <w:sz w:val="28"/>
          <w:u w:color="auto"/>
        </w:rPr>
        <w:t>0.34%</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63.01</w:t>
      </w:r>
      <w:r>
        <w:rPr>
          <w:rFonts w:hint="eastAsia" w:ascii="宋体" w:hAnsi="宋体" w:eastAsia="宋体" w:cs="宋体"/>
          <w:sz w:val="28"/>
          <w:szCs w:val="28"/>
        </w:rPr>
        <w:t>万元，</w:t>
      </w:r>
      <w:r>
        <w:rPr>
          <w:rFonts w:ascii="宋体" w:hAnsi="宋体" w:eastAsia="宋体" w:cs="宋体"/>
          <w:sz w:val="28"/>
          <w:u w:color="auto"/>
        </w:rPr>
        <w:t>减少9.26</w:t>
      </w:r>
      <w:r>
        <w:rPr>
          <w:rFonts w:hint="eastAsia" w:ascii="宋体" w:hAnsi="宋体" w:eastAsia="宋体" w:cs="宋体"/>
          <w:sz w:val="28"/>
          <w:szCs w:val="28"/>
        </w:rPr>
        <w:t>万元，</w:t>
      </w:r>
      <w:r>
        <w:rPr>
          <w:rFonts w:ascii="宋体" w:hAnsi="宋体" w:eastAsia="宋体" w:cs="宋体"/>
          <w:sz w:val="28"/>
          <w:u w:color="auto"/>
        </w:rPr>
        <w:t>减少14.70%</w:t>
      </w:r>
      <w:r>
        <w:rPr>
          <w:rFonts w:hint="eastAsia" w:ascii="宋体" w:hAnsi="宋体" w:eastAsia="宋体" w:cs="宋体"/>
          <w:sz w:val="28"/>
          <w:szCs w:val="28"/>
        </w:rPr>
        <w:t>，主要原因是：</w:t>
      </w:r>
      <w:r>
        <w:rPr>
          <w:rFonts w:hint="eastAsia"/>
          <w:highlight w:val="none"/>
        </w:rPr>
        <w:t>人员正常变动</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11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537.45</w:t>
      </w:r>
      <w:r>
        <w:rPr>
          <w:rFonts w:hint="eastAsia"/>
        </w:rPr>
        <w:t>万元，较2023年度预算数</w:t>
      </w:r>
      <w:r>
        <w:rPr>
          <w:rFonts w:hint="eastAsia"/>
          <w:lang w:val="en-US" w:eastAsia="zh-CN"/>
        </w:rPr>
        <w:t>516.31</w:t>
      </w:r>
      <w:r>
        <w:rPr>
          <w:rFonts w:hint="eastAsia"/>
        </w:rPr>
        <w:t>万元</w:t>
      </w:r>
      <w:r>
        <w:rPr>
          <w:rFonts w:hint="eastAsia"/>
          <w:lang w:val="en-US" w:eastAsia="zh-CN"/>
        </w:rPr>
        <w:t>,</w:t>
      </w:r>
      <w:r>
        <w:rPr>
          <w:u w:color="auto"/>
        </w:rPr>
        <w:t>增加21.14</w:t>
      </w:r>
      <w:r>
        <w:rPr>
          <w:rFonts w:hint="eastAsia"/>
        </w:rPr>
        <w:t>万元，</w:t>
      </w:r>
      <w:r>
        <w:rPr>
          <w:rFonts w:hint="eastAsia"/>
          <w:lang w:val="en-US" w:eastAsia="zh-CN"/>
        </w:rPr>
        <w:t>增长4.09%</w:t>
      </w:r>
      <w:r>
        <w:rPr>
          <w:rFonts w:hint="eastAsia"/>
        </w:rPr>
        <w:t>，主要原因是</w:t>
      </w:r>
      <w:r>
        <w:rPr>
          <w:rFonts w:hint="eastAsia"/>
          <w:highlight w:val="none"/>
          <w:lang w:val="en-US" w:eastAsia="zh-CN"/>
        </w:rPr>
        <w:t>是在职人员工资薪酬比上年有所提高</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36.09</w:t>
      </w:r>
      <w:r>
        <w:t>万元</w:t>
      </w:r>
      <w:r>
        <w:rPr>
          <w:rFonts w:hint="eastAsia"/>
          <w:lang w:eastAsia="zh-CN"/>
        </w:rPr>
        <w:t>，</w:t>
      </w:r>
      <w:r>
        <w:rPr>
          <w:rFonts w:hint="eastAsia"/>
        </w:rPr>
        <w:t>占基本支出预算的</w:t>
      </w:r>
      <w:r>
        <w:rPr>
          <w:rFonts w:hint="eastAsia"/>
          <w:lang w:val="en-US" w:eastAsia="zh-CN"/>
        </w:rPr>
        <w:t>6.72%</w:t>
      </w:r>
      <w:r>
        <w:rPr>
          <w:rFonts w:hint="eastAsia"/>
        </w:rPr>
        <w:t>，较2023年度预算数</w:t>
      </w:r>
      <w:r>
        <w:rPr>
          <w:rFonts w:hint="eastAsia"/>
          <w:lang w:val="en-US" w:eastAsia="zh-CN"/>
        </w:rPr>
        <w:t>48.65</w:t>
      </w:r>
      <w:r>
        <w:rPr>
          <w:rFonts w:hint="eastAsia"/>
        </w:rPr>
        <w:t>万元，</w:t>
      </w:r>
      <w:r>
        <w:rPr>
          <w:rFonts w:hint="eastAsia"/>
          <w:lang w:val="en-US" w:eastAsia="zh-CN"/>
        </w:rPr>
        <w:t>减少12.56</w:t>
      </w:r>
      <w:r>
        <w:rPr>
          <w:rFonts w:hint="eastAsia"/>
        </w:rPr>
        <w:t>万元，</w:t>
      </w:r>
      <w:r>
        <w:rPr>
          <w:rFonts w:hint="eastAsia"/>
          <w:lang w:val="en-US" w:eastAsia="zh-CN"/>
        </w:rPr>
        <w:t>减少25.82%</w:t>
      </w:r>
      <w:r>
        <w:rPr>
          <w:rFonts w:hint="eastAsia"/>
        </w:rPr>
        <w:t>，主要原因是：</w:t>
      </w:r>
      <w:r>
        <w:rPr>
          <w:rFonts w:hint="eastAsia"/>
          <w:highlight w:val="none"/>
        </w:rPr>
        <w:t>本年</w:t>
      </w:r>
      <w:bookmarkStart w:id="43" w:name="_GoBack"/>
      <w:r>
        <w:rPr>
          <w:rFonts w:hint="eastAsia"/>
          <w:highlight w:val="none"/>
        </w:rPr>
        <w:t>度资金</w:t>
      </w:r>
      <w:bookmarkEnd w:id="43"/>
      <w:r>
        <w:rPr>
          <w:rFonts w:hint="eastAsia"/>
          <w:highlight w:val="none"/>
        </w:rPr>
        <w:t>紧缺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469.66</w:t>
      </w:r>
      <w:r>
        <w:t>万元</w:t>
      </w:r>
      <w:r>
        <w:rPr>
          <w:rFonts w:hint="eastAsia"/>
          <w:lang w:eastAsia="zh-CN"/>
        </w:rPr>
        <w:t>，</w:t>
      </w:r>
      <w:r>
        <w:rPr>
          <w:rFonts w:hint="eastAsia"/>
        </w:rPr>
        <w:t>占基本支出预算的</w:t>
      </w:r>
      <w:r>
        <w:rPr>
          <w:rFonts w:hint="eastAsia"/>
          <w:lang w:val="en-US" w:eastAsia="zh-CN"/>
        </w:rPr>
        <w:t>87.39%</w:t>
      </w:r>
      <w:r>
        <w:rPr>
          <w:rFonts w:hint="eastAsia"/>
        </w:rPr>
        <w:t>，较2023年度预算数</w:t>
      </w:r>
      <w:r>
        <w:rPr>
          <w:rFonts w:hint="eastAsia"/>
          <w:lang w:val="en-US" w:eastAsia="zh-CN"/>
        </w:rPr>
        <w:t>467.66</w:t>
      </w:r>
      <w:r>
        <w:rPr>
          <w:rFonts w:hint="eastAsia"/>
        </w:rPr>
        <w:t>万元，</w:t>
      </w:r>
      <w:r>
        <w:rPr>
          <w:rFonts w:hint="eastAsia"/>
          <w:lang w:val="en-US" w:eastAsia="zh-CN"/>
        </w:rPr>
        <w:t>增长2.00</w:t>
      </w:r>
      <w:r>
        <w:rPr>
          <w:rFonts w:hint="eastAsia"/>
        </w:rPr>
        <w:t>万元，</w:t>
      </w:r>
      <w:r>
        <w:rPr>
          <w:rFonts w:hint="eastAsia"/>
          <w:lang w:val="en-US" w:eastAsia="zh-CN"/>
        </w:rPr>
        <w:t>增长0.43%</w:t>
      </w:r>
      <w:r>
        <w:rPr>
          <w:rFonts w:hint="eastAsia"/>
        </w:rPr>
        <w:t>，主要原因是：</w:t>
      </w:r>
      <w:r>
        <w:rPr>
          <w:rFonts w:hint="eastAsia"/>
          <w:highlight w:val="none"/>
        </w:rPr>
        <w:t>技术人员晋升</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31.70</w:t>
      </w:r>
      <w:r>
        <w:t>万元</w:t>
      </w:r>
      <w:r>
        <w:rPr>
          <w:rFonts w:hint="eastAsia"/>
          <w:lang w:eastAsia="zh-CN"/>
        </w:rPr>
        <w:t>，</w:t>
      </w:r>
      <w:r>
        <w:rPr>
          <w:rFonts w:hint="eastAsia"/>
        </w:rPr>
        <w:t>占基本支出预算的</w:t>
      </w:r>
      <w:r>
        <w:rPr>
          <w:rFonts w:hint="eastAsia"/>
          <w:lang w:val="en-US" w:eastAsia="zh-CN"/>
        </w:rPr>
        <w:t>5.90%</w:t>
      </w:r>
      <w:r>
        <w:rPr>
          <w:rFonts w:hint="eastAsia"/>
        </w:rPr>
        <w:t>，较2023年度预算数</w:t>
      </w:r>
      <w:r>
        <w:rPr>
          <w:rFonts w:hint="eastAsia"/>
          <w:lang w:val="en-US" w:eastAsia="zh-CN"/>
        </w:rPr>
        <w:t>0.00</w:t>
      </w:r>
      <w:r>
        <w:rPr>
          <w:rFonts w:hint="eastAsia"/>
        </w:rPr>
        <w:t>万元，</w:t>
      </w:r>
      <w:r>
        <w:rPr>
          <w:rFonts w:hint="eastAsia"/>
          <w:lang w:val="en-US" w:eastAsia="zh-CN"/>
        </w:rPr>
        <w:t>增长31.70</w:t>
      </w:r>
      <w:r>
        <w:rPr>
          <w:rFonts w:hint="eastAsia"/>
        </w:rPr>
        <w:t>万元，</w:t>
      </w:r>
      <w:r>
        <w:rPr>
          <w:rFonts w:hint="eastAsia"/>
          <w:lang w:val="en-US" w:eastAsia="zh-CN"/>
        </w:rPr>
        <w:t>增长100%</w:t>
      </w:r>
      <w:r>
        <w:rPr>
          <w:rFonts w:hint="eastAsia"/>
        </w:rPr>
        <w:t>，主要原因是：</w:t>
      </w:r>
      <w:r>
        <w:rPr>
          <w:rFonts w:hint="eastAsia"/>
          <w:highlight w:val="none"/>
        </w:rPr>
        <w:t>死亡抚恤金增加</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11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13.15</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3.95</w:t>
      </w:r>
      <w:r>
        <w:rPr>
          <w:rFonts w:hint="eastAsia"/>
          <w:b w:val="0"/>
          <w:bCs w:val="0"/>
          <w:sz w:val="28"/>
          <w:szCs w:val="28"/>
          <w:lang w:eastAsia="zh-CN"/>
        </w:rPr>
        <w:t>万元，公务用车购置及运行费支出预算</w:t>
      </w:r>
      <w:r>
        <w:rPr>
          <w:rFonts w:hint="eastAsia"/>
          <w:b w:val="0"/>
          <w:bCs w:val="0"/>
          <w:sz w:val="28"/>
          <w:szCs w:val="28"/>
          <w:lang w:val="en-US" w:eastAsia="zh-CN"/>
        </w:rPr>
        <w:t>9.20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9.20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13.15</w:t>
      </w:r>
      <w:r>
        <w:rPr>
          <w:rFonts w:hint="eastAsia"/>
          <w:b w:val="0"/>
          <w:bCs w:val="0"/>
          <w:sz w:val="28"/>
          <w:szCs w:val="28"/>
        </w:rPr>
        <w:t>万元，同口径较2023年度预算数</w:t>
      </w:r>
      <w:r>
        <w:rPr>
          <w:rFonts w:hint="eastAsia"/>
          <w:b w:val="0"/>
          <w:bCs w:val="0"/>
          <w:sz w:val="28"/>
          <w:szCs w:val="28"/>
          <w:lang w:val="en-US" w:eastAsia="zh-CN"/>
        </w:rPr>
        <w:t>36.00</w:t>
      </w:r>
      <w:r>
        <w:rPr>
          <w:rFonts w:hint="eastAsia"/>
          <w:b w:val="0"/>
          <w:bCs w:val="0"/>
          <w:sz w:val="28"/>
          <w:szCs w:val="28"/>
        </w:rPr>
        <w:t>万元，</w:t>
      </w:r>
      <w:r>
        <w:rPr>
          <w:rFonts w:hint="eastAsia"/>
          <w:b w:val="0"/>
          <w:bCs w:val="0"/>
          <w:sz w:val="28"/>
          <w:szCs w:val="28"/>
          <w:lang w:val="en-US" w:eastAsia="zh-CN"/>
        </w:rPr>
        <w:t>减少22.85</w:t>
      </w:r>
      <w:r>
        <w:rPr>
          <w:rFonts w:hint="eastAsia"/>
          <w:b w:val="0"/>
          <w:bCs w:val="0"/>
          <w:sz w:val="28"/>
          <w:szCs w:val="28"/>
        </w:rPr>
        <w:t>万元，</w:t>
      </w:r>
      <w:r>
        <w:rPr>
          <w:rFonts w:hint="eastAsia"/>
          <w:b w:val="0"/>
          <w:bCs w:val="0"/>
          <w:sz w:val="28"/>
          <w:szCs w:val="28"/>
          <w:lang w:val="en-US" w:eastAsia="zh-CN"/>
        </w:rPr>
        <w:t>减少63.47%</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单位无因公出国（境）。</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3.95</w:t>
      </w:r>
      <w:r>
        <w:rPr>
          <w:rFonts w:hint="eastAsia"/>
          <w:b w:val="0"/>
          <w:bCs w:val="0"/>
          <w:sz w:val="28"/>
          <w:szCs w:val="28"/>
        </w:rPr>
        <w:t>万元，较2023年度预算数</w:t>
      </w:r>
      <w:r>
        <w:rPr>
          <w:sz w:val="28"/>
          <w:u w:color="auto"/>
        </w:rPr>
        <w:t>2.20</w:t>
      </w:r>
      <w:r>
        <w:rPr>
          <w:rFonts w:hint="eastAsia"/>
          <w:b w:val="0"/>
          <w:bCs w:val="0"/>
          <w:sz w:val="28"/>
          <w:szCs w:val="28"/>
        </w:rPr>
        <w:t>万元，</w:t>
      </w:r>
      <w:r>
        <w:rPr>
          <w:sz w:val="28"/>
          <w:u w:color="auto"/>
        </w:rPr>
        <w:t>增长1.75</w:t>
      </w:r>
      <w:r>
        <w:rPr>
          <w:rFonts w:hint="eastAsia"/>
          <w:b w:val="0"/>
          <w:bCs w:val="0"/>
          <w:sz w:val="28"/>
          <w:szCs w:val="28"/>
        </w:rPr>
        <w:t>万元，</w:t>
      </w:r>
      <w:r>
        <w:rPr>
          <w:sz w:val="28"/>
          <w:u w:color="auto"/>
        </w:rPr>
        <w:t>增长79.55%</w:t>
      </w:r>
      <w:r>
        <w:rPr>
          <w:rFonts w:hint="eastAsia"/>
          <w:b w:val="0"/>
          <w:bCs w:val="0"/>
          <w:sz w:val="28"/>
          <w:szCs w:val="28"/>
        </w:rPr>
        <w:t>，主要原因是</w:t>
      </w:r>
      <w:r>
        <w:rPr>
          <w:rFonts w:hint="eastAsia"/>
          <w:sz w:val="28"/>
          <w:szCs w:val="28"/>
          <w:highlight w:val="none"/>
          <w:lang w:val="en-US" w:eastAsia="zh-CN"/>
        </w:rPr>
        <w:t>部分相关费用未得到支付，计划2024年支付</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9.20</w:t>
      </w:r>
      <w:r>
        <w:rPr>
          <w:rFonts w:hint="eastAsia"/>
          <w:b w:val="0"/>
          <w:bCs w:val="0"/>
          <w:sz w:val="28"/>
          <w:szCs w:val="28"/>
        </w:rPr>
        <w:t>万元，较2023年度预算数</w:t>
      </w:r>
      <w:r>
        <w:rPr>
          <w:sz w:val="28"/>
          <w:u w:color="auto"/>
        </w:rPr>
        <w:t>33.80</w:t>
      </w:r>
      <w:r>
        <w:rPr>
          <w:rFonts w:hint="eastAsia"/>
          <w:b w:val="0"/>
          <w:bCs w:val="0"/>
          <w:sz w:val="28"/>
          <w:szCs w:val="28"/>
        </w:rPr>
        <w:t>万元，</w:t>
      </w:r>
      <w:r>
        <w:rPr>
          <w:sz w:val="28"/>
          <w:u w:color="auto"/>
        </w:rPr>
        <w:t>减少24.60</w:t>
      </w:r>
      <w:r>
        <w:rPr>
          <w:rFonts w:hint="eastAsia"/>
          <w:b w:val="0"/>
          <w:bCs w:val="0"/>
          <w:sz w:val="28"/>
          <w:szCs w:val="28"/>
        </w:rPr>
        <w:t>万元，</w:t>
      </w:r>
      <w:r>
        <w:rPr>
          <w:sz w:val="28"/>
          <w:u w:color="auto"/>
        </w:rPr>
        <w:t>减少72.78%</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18.00</w:t>
      </w:r>
      <w:r>
        <w:rPr>
          <w:rFonts w:hint="eastAsia"/>
          <w:b w:val="0"/>
          <w:bCs w:val="0"/>
          <w:sz w:val="28"/>
          <w:szCs w:val="28"/>
        </w:rPr>
        <w:t>万元，</w:t>
      </w:r>
      <w:r>
        <w:rPr>
          <w:sz w:val="28"/>
          <w:u w:color="auto"/>
        </w:rPr>
        <w:t>减少18.00</w:t>
      </w:r>
      <w:r>
        <w:rPr>
          <w:rFonts w:hint="eastAsia"/>
          <w:b w:val="0"/>
          <w:bCs w:val="0"/>
          <w:sz w:val="28"/>
          <w:szCs w:val="28"/>
        </w:rPr>
        <w:t>万元，</w:t>
      </w:r>
      <w:r>
        <w:rPr>
          <w:sz w:val="28"/>
          <w:u w:color="auto"/>
        </w:rPr>
        <w:t>减少100.00%</w:t>
      </w:r>
      <w:r>
        <w:rPr>
          <w:rFonts w:hint="eastAsia"/>
          <w:b w:val="0"/>
          <w:bCs w:val="0"/>
          <w:sz w:val="28"/>
          <w:szCs w:val="28"/>
        </w:rPr>
        <w:t>，主要原因是</w:t>
      </w:r>
      <w:r>
        <w:rPr>
          <w:rFonts w:hint="eastAsia"/>
          <w:sz w:val="28"/>
          <w:szCs w:val="28"/>
          <w:highlight w:val="none"/>
          <w:lang w:val="en-US" w:eastAsia="zh-CN"/>
        </w:rPr>
        <w:t>无购置车辆</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9.20</w:t>
      </w:r>
      <w:r>
        <w:rPr>
          <w:rFonts w:hint="eastAsia"/>
          <w:b w:val="0"/>
          <w:bCs w:val="0"/>
          <w:sz w:val="28"/>
          <w:szCs w:val="28"/>
        </w:rPr>
        <w:t>万元，较2023年度预算数</w:t>
      </w:r>
      <w:r>
        <w:rPr>
          <w:sz w:val="28"/>
          <w:u w:color="auto"/>
        </w:rPr>
        <w:t>15.80</w:t>
      </w:r>
      <w:r>
        <w:rPr>
          <w:rFonts w:hint="eastAsia"/>
          <w:b w:val="0"/>
          <w:bCs w:val="0"/>
          <w:sz w:val="28"/>
          <w:szCs w:val="28"/>
        </w:rPr>
        <w:t>万元，</w:t>
      </w:r>
      <w:r>
        <w:rPr>
          <w:sz w:val="28"/>
          <w:u w:color="auto"/>
        </w:rPr>
        <w:t>减少6.60</w:t>
      </w:r>
      <w:r>
        <w:rPr>
          <w:rFonts w:hint="eastAsia"/>
          <w:b w:val="0"/>
          <w:bCs w:val="0"/>
          <w:sz w:val="28"/>
          <w:szCs w:val="28"/>
        </w:rPr>
        <w:t>万元，</w:t>
      </w:r>
      <w:r>
        <w:rPr>
          <w:sz w:val="28"/>
          <w:u w:color="auto"/>
        </w:rPr>
        <w:t>减少41.77%</w:t>
      </w:r>
      <w:r>
        <w:rPr>
          <w:rFonts w:hint="eastAsia"/>
          <w:b w:val="0"/>
          <w:bCs w:val="0"/>
          <w:sz w:val="28"/>
          <w:szCs w:val="28"/>
        </w:rPr>
        <w:t>，主要原因是</w:t>
      </w:r>
      <w:r>
        <w:rPr>
          <w:rFonts w:hint="eastAsia"/>
          <w:sz w:val="28"/>
          <w:szCs w:val="28"/>
          <w:highlight w:val="none"/>
          <w:lang w:val="en-US" w:eastAsia="zh-CN"/>
        </w:rPr>
        <w:t>减少了车辆维护维修费用</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0.71</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增加0.71</w:t>
      </w:r>
      <w:r>
        <w:rPr>
          <w:rFonts w:hint="eastAsia"/>
          <w:sz w:val="28"/>
          <w:szCs w:val="28"/>
        </w:rPr>
        <w:t>万元，</w:t>
      </w:r>
      <w:r>
        <w:rPr>
          <w:rFonts w:hint="eastAsia"/>
          <w:b w:val="0"/>
          <w:bCs w:val="0"/>
          <w:sz w:val="28"/>
          <w:szCs w:val="28"/>
          <w:lang w:eastAsia="zh-CN"/>
        </w:rPr>
        <w:t>增长100%</w:t>
      </w:r>
      <w:r>
        <w:rPr>
          <w:rFonts w:hint="eastAsia"/>
          <w:sz w:val="28"/>
          <w:szCs w:val="28"/>
        </w:rPr>
        <w:t>，主要原因是</w:t>
      </w:r>
      <w:r>
        <w:rPr>
          <w:rFonts w:hint="eastAsia"/>
          <w:sz w:val="28"/>
          <w:szCs w:val="28"/>
          <w:highlight w:val="none"/>
          <w:lang w:val="en-US" w:eastAsia="zh-CN"/>
        </w:rPr>
        <w:t>单位上年度没有政府性基金预算支出。</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我单位本年度没有国有资本经营预算支出</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36.09</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48.65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减少12.56</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下降25.82%</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认真贯彻落实中央“八项规定”精神和厉行节约要求，严控和压缩经费支出。</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45.23</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30.03</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15.2</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主要用于：货物类采购和服务类采购</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5</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3</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2</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56</w:t>
      </w:r>
      <w:r>
        <w:rPr>
          <w:rFonts w:hint="eastAsia" w:ascii="宋体" w:hAnsi="宋体" w:eastAsia="宋体" w:cs="宋体"/>
          <w:sz w:val="28"/>
          <w:szCs w:val="28"/>
          <w:lang w:eastAsia="zh-CN"/>
        </w:rPr>
        <w:t>个，预算资金</w:t>
      </w:r>
      <w:r>
        <w:rPr>
          <w:rFonts w:hint="eastAsia"/>
          <w:sz w:val="28"/>
          <w:szCs w:val="28"/>
          <w:highlight w:val="none"/>
          <w:lang w:val="en-US" w:eastAsia="zh-CN"/>
        </w:rPr>
        <w:t>15171.81</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项目名称：桂整合〔2020〕41号下达2021年第一批中央财政水利发展资金(小型病险水库除险加固)，预算资金669.62万元，2024年度绩效目标：桂整合[2020]41号下达2021年第一批中央财政水利发展资金小型病险水库除险加固。数量指标：小型病险水库除险加固工程数量；质量指标：验收通过；时效指标：2023年底完成项目时限。；成本指标：资金投入项目支出；经济效益指标：促进当地经济的发展良好；社会效益指标：促进社会进步良好；生态效益指标：森林覆盖率良好；可持续影响指标：可持续发展效果良好；满意度指标群众满意度90%</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6" w:type="default"/>
          <w:footerReference r:id="rId7"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环江毛南族自治县水利局</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0"/>
      <w:bookmarkStart w:id="17" w:name="bookmark31"/>
      <w:bookmarkStart w:id="18" w:name="bookmark29"/>
      <w:r>
        <w:t>收支总体情况表</w:t>
      </w:r>
      <w:bookmarkEnd w:id="16"/>
      <w:bookmarkEnd w:id="17"/>
      <w:bookmarkEnd w:id="18"/>
    </w:p>
    <w:tbl>
      <w:tblPr>
        <w:tblStyle w:val="5"/>
        <w:tblW w:w="14212" w:type="dxa"/>
        <w:tblInd w:w="0" w:type="dxa"/>
        <w:tblLayout w:type="fixed"/>
        <w:tblCellMar>
          <w:top w:w="0" w:type="dxa"/>
          <w:left w:w="10" w:type="dxa"/>
          <w:bottom w:w="0" w:type="dxa"/>
          <w:right w:w="10" w:type="dxa"/>
        </w:tblCellMar>
      </w:tblPr>
      <w:tblGrid>
        <w:gridCol w:w="3339"/>
        <w:gridCol w:w="3760"/>
        <w:gridCol w:w="3542"/>
        <w:gridCol w:w="3571"/>
      </w:tblGrid>
      <w:tr>
        <w:tblPrEx>
          <w:tblLayout w:type="fixed"/>
          <w:tblCellMar>
            <w:top w:w="0" w:type="dxa"/>
            <w:left w:w="10" w:type="dxa"/>
            <w:bottom w:w="0" w:type="dxa"/>
            <w:right w:w="10" w:type="dxa"/>
          </w:tblCellMar>
        </w:tblPrEx>
        <w:trPr>
          <w:cantSplit/>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环江毛南族自治县水利局</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Layout w:type="fixed"/>
          <w:tblCellMar>
            <w:top w:w="0" w:type="dxa"/>
            <w:left w:w="10" w:type="dxa"/>
            <w:bottom w:w="0" w:type="dxa"/>
            <w:right w:w="10" w:type="dxa"/>
          </w:tblCellMar>
        </w:tblPrEx>
        <w:trPr>
          <w:cantSplit/>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Layout w:type="fixed"/>
          <w:tblCellMar>
            <w:top w:w="0" w:type="dxa"/>
            <w:left w:w="10" w:type="dxa"/>
            <w:bottom w:w="0" w:type="dxa"/>
            <w:right w:w="10" w:type="dxa"/>
          </w:tblCellMar>
        </w:tblPrEx>
        <w:trPr>
          <w:cantSplit/>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655.05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4.59</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140.00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515.05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53.75</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0.71</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15602.96</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47.23</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655.05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15709.25</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15054.20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cantSplit/>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15709.25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15709.25</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8" w:type="default"/>
          <w:footerReference r:id="rId9"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6"/>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环江毛南族自治县水利局</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503001</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环江毛南族自治县水利局</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15709.25</w:t>
            </w:r>
          </w:p>
        </w:tc>
        <w:tc>
          <w:tcPr>
            <w:tcW w:w="926"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655.05</w:t>
            </w:r>
          </w:p>
        </w:tc>
        <w:tc>
          <w:tcPr>
            <w:tcW w:w="909"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655.05</w:t>
            </w:r>
          </w:p>
        </w:tc>
        <w:tc>
          <w:tcPr>
            <w:tcW w:w="968"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15054.20</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15053.49</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0.71</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10" w:type="default"/>
          <w:footerReference r:id="rId11"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3"/>
      <w:bookmarkStart w:id="20" w:name="bookmark41"/>
      <w:bookmarkStart w:id="21" w:name="bookmark42"/>
      <w:r>
        <w:t>支出总体情况表</w:t>
      </w:r>
      <w:bookmarkEnd w:id="19"/>
      <w:bookmarkEnd w:id="20"/>
      <w:bookmarkEnd w:id="21"/>
    </w:p>
    <w:tbl>
      <w:tblPr>
        <w:tblStyle w:val="5"/>
        <w:tblW w:w="15339" w:type="dxa"/>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Layout w:type="fixed"/>
          <w:tblCellMar>
            <w:top w:w="0" w:type="dxa"/>
            <w:left w:w="10" w:type="dxa"/>
            <w:bottom w:w="0" w:type="dxa"/>
            <w:right w:w="10" w:type="dxa"/>
          </w:tblCellMar>
        </w:tblPrEx>
        <w:trPr>
          <w:cantSplit/>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环江毛南族自治县水利局</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Layout w:type="fixed"/>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15709.25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537.45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15171.80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503001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15709.25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537.45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15171.80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53.75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53.75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2121903</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城市建设支出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186.14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186.14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280.06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245.74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34.32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水利行业业务管理</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417.68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417.68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水利工程建设</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7729.44</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7729.44</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水利工程运行与维护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498.07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498.07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2130310</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水土保持</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459.85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459.85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2130311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水资源节约管理与保护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860.48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860.48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2130314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防汛</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419.25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419.25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2130315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抗旱</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24.59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24.59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2130319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江河湖库水系综合整治</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4169.29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4169.29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2130335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农村供水</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189.00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189.00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2130399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其他水利支出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322.00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322.00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2130504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农村基础设施建设</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47.12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47.12</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47.23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47.23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5"/>
      <w:bookmarkStart w:id="23" w:name="bookmark46"/>
      <w:bookmarkStart w:id="24" w:name="bookmark44"/>
      <w:r>
        <w:t>财政拨款收支总体情况表</w:t>
      </w:r>
      <w:bookmarkEnd w:id="22"/>
      <w:bookmarkEnd w:id="23"/>
      <w:bookmarkEnd w:id="24"/>
    </w:p>
    <w:tbl>
      <w:tblPr>
        <w:tblStyle w:val="5"/>
        <w:tblW w:w="15342" w:type="dxa"/>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Layout w:type="fixed"/>
          <w:tblCellMar>
            <w:top w:w="0" w:type="dxa"/>
            <w:left w:w="10" w:type="dxa"/>
            <w:bottom w:w="0" w:type="dxa"/>
            <w:right w:w="10" w:type="dxa"/>
          </w:tblCellMar>
        </w:tblPrEx>
        <w:trPr>
          <w:gridAfter w:val="1"/>
          <w:wAfter w:w="1" w:type="dxa"/>
          <w:cantSplit/>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环江毛南族自治县水利局</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Layout w:type="fixed"/>
          <w:tblCellMar>
            <w:top w:w="0" w:type="dxa"/>
            <w:left w:w="10" w:type="dxa"/>
            <w:bottom w:w="0" w:type="dxa"/>
            <w:right w:w="10" w:type="dxa"/>
          </w:tblCellMar>
        </w:tblPrEx>
        <w:trPr>
          <w:gridAfter w:val="1"/>
          <w:wAfter w:w="1" w:type="dxa"/>
          <w:cantSplit/>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Layout w:type="fixed"/>
          <w:tblCellMar>
            <w:top w:w="0" w:type="dxa"/>
            <w:left w:w="10" w:type="dxa"/>
            <w:bottom w:w="0" w:type="dxa"/>
            <w:right w:w="10" w:type="dxa"/>
          </w:tblCellMar>
        </w:tblPrEx>
        <w:trPr>
          <w:gridAfter w:val="1"/>
          <w:wAfter w:w="1" w:type="dxa"/>
          <w:cantSplit/>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655.05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4.59</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140.00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515.05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53.75</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0.71</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15602.96</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47.23</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655.05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15709.25</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15054.20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cantSplit/>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15709.25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15709.25</w:t>
            </w:r>
          </w:p>
        </w:tc>
      </w:tr>
      <w:tr>
        <w:tblPrEx>
          <w:tblLayout w:type="fixed"/>
          <w:tblCellMar>
            <w:top w:w="0" w:type="dxa"/>
            <w:left w:w="10" w:type="dxa"/>
            <w:bottom w:w="0" w:type="dxa"/>
            <w:right w:w="10" w:type="dxa"/>
          </w:tblCellMar>
        </w:tblPrEx>
        <w:trPr>
          <w:cantSplit/>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Layout w:type="fixed"/>
          <w:tblCellMar>
            <w:top w:w="0" w:type="dxa"/>
            <w:left w:w="10" w:type="dxa"/>
            <w:bottom w:w="0" w:type="dxa"/>
            <w:right w:w="10" w:type="dxa"/>
          </w:tblCellMar>
        </w:tblPrEx>
        <w:trPr>
          <w:cantSplit/>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6"/>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676"/>
        <w:gridCol w:w="1662"/>
        <w:gridCol w:w="1717"/>
        <w:gridCol w:w="1879"/>
        <w:gridCol w:w="1729"/>
        <w:gridCol w:w="1718"/>
        <w:gridCol w:w="72"/>
        <w:gridCol w:w="1694"/>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环江毛南族自治县水利局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503001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15708.54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537.45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501.36</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36.09</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15171.09</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4.59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4.59</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4.59</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53.75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53.75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53.75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186.14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186.14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186.14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280.06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245.74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214.24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31.50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34.32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水利行业业务管理</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417.68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417.68</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水利工程建设</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7729.44</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7729.44</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2130306</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水利工程运行与维护</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498.07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498.07</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2130310</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水土保持</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459.85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459.85</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2130311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水资源节约管理与保护</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860.48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860.48</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2130314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防汛</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419.25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419.25</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2130315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抗旱</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24.59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24.59</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2130319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江河湖库水系综合整治</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4169.29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4169.29</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2130335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农村供水</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189.00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189.00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2130399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其他水利支出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322.00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322.00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2130504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农村基础设施建设</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47.12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47.12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47.23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47.23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47.23</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8"/>
      <w:bookmarkStart w:id="27" w:name="bookmark56"/>
      <w:r>
        <w:t>一般公共预算基本支出情况表</w:t>
      </w:r>
      <w:bookmarkEnd w:id="25"/>
      <w:bookmarkEnd w:id="26"/>
      <w:bookmarkEnd w:id="27"/>
    </w:p>
    <w:tbl>
      <w:tblPr>
        <w:tblStyle w:val="6"/>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环江毛南族自治县水利局</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537.45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501.36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469.66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469.66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145.10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145.10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36.68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36.68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90.14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90.14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43.96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43.96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55.24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55.24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22.09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22.09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48.94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48.94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25.39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25.39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36.09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印刷费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维修（护）费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培训费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委托业务费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4.59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9.20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11.04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31.70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31.70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29.27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29.27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房屋建筑物购建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基础设施建设</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一般公共预算“三公”经费预算表</w:t>
      </w:r>
    </w:p>
    <w:tbl>
      <w:tblPr>
        <w:tblStyle w:val="6"/>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环江毛南族自治县水利局</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503001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13.15</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9.20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9.20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6"/>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环江毛南族自治县水利局</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p>
        </w:tc>
        <w:tc>
          <w:tcPr>
            <w:tcW w:w="2161"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503001</w:t>
            </w:r>
          </w:p>
        </w:tc>
        <w:tc>
          <w:tcPr>
            <w:tcW w:w="2162" w:type="dxa"/>
            <w:vAlign w:val="center"/>
          </w:tcPr>
          <w:p>
            <w:pPr>
              <w:pStyle w:val="24"/>
              <w:spacing w:line="240" w:lineRule="auto"/>
              <w:ind w:firstLine="0" w:firstLineChars="0"/>
              <w:jc w:val="left"/>
              <w:rPr>
                <w:b w:val="0"/>
                <w:bCs w:val="0"/>
                <w:vertAlign w:val="baseline"/>
              </w:rPr>
            </w:pP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0.71</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0.71</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2121903</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城市建设支出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0.71</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0.71</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2130104</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事业运行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行政运行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2130304</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水利行业业务管理</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水利工程建设</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2130306</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水利工程运行与维护</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2130310</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水土保持</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2130311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水资源节约管理与保护</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2130314</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防汛</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2130315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抗旱</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2130319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江河湖库水系综合整治</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2130335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农村供水</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2130399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其他水利支出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2130504</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农村基础设施建设</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6"/>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环江毛南族自治县水利局</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5"/>
        <w:tblW w:w="15339" w:type="dxa"/>
        <w:tblInd w:w="0" w:type="dxa"/>
        <w:tblLayout w:type="fixed"/>
        <w:tblCellMar>
          <w:top w:w="0" w:type="dxa"/>
          <w:left w:w="10" w:type="dxa"/>
          <w:bottom w:w="0" w:type="dxa"/>
          <w:right w:w="10" w:type="dxa"/>
        </w:tblCellMar>
      </w:tblPr>
      <w:tblGrid>
        <w:gridCol w:w="1843"/>
        <w:gridCol w:w="2559"/>
        <w:gridCol w:w="3350"/>
        <w:gridCol w:w="1511"/>
        <w:gridCol w:w="6076"/>
      </w:tblGrid>
      <w:tr>
        <w:tblPrEx>
          <w:tblLayout w:type="fixed"/>
          <w:tblCellMar>
            <w:top w:w="0" w:type="dxa"/>
            <w:left w:w="10" w:type="dxa"/>
            <w:bottom w:w="0" w:type="dxa"/>
            <w:right w:w="10" w:type="dxa"/>
          </w:tblCellMar>
        </w:tblPrEx>
        <w:trPr>
          <w:cantSplit/>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环江毛南族自治县水利局</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Layout w:type="fixed"/>
          <w:tblCellMar>
            <w:top w:w="0" w:type="dxa"/>
            <w:left w:w="10" w:type="dxa"/>
            <w:bottom w:w="0" w:type="dxa"/>
            <w:right w:w="10" w:type="dxa"/>
          </w:tblCellMar>
        </w:tblPrEx>
        <w:trPr>
          <w:cantSplit/>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水利工作经费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机关日常运转工作，负责文秘、机要、档案、机关内部规章制度建设等工作；负责机关和直属单位的党群工作、人事管理、教育培训、机构编制、职称改革等工作。承担宣传、保密、信访、政务公开、绩效考核、新闻宣传、机关后勤服务指导等工作。督促检查水利重大政策、决策部署和重点工作的贯彻落实情况。组织实施水利工程质量和安全监督，指导水利行业安全生产工作，指导水库、农村水电站的安全监督，组织开展水利工程建设项目的稽查工作。组织编制全县洪水干旱灾害防治规划和防护标准、重要江河和重要水工程的防御洪水抗御旱灾调度以及应急水量调度方案并组织实施，承担江河水情旱情监测预报预警工作，组织协调指导蓄滞洪区和防洪保护区管理工作，负责水利信息化工作。负责编制自治县本级水利部门预算、决算并负责预算的执行，承担中央、自治区、市和自治县本级水利建设资金的管理工作。承担局机关和局属单位固有资产、政府采购和非税收入管理工作。负责局机关及局事业单位财务管理工作</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桂整合〔2020〕41号下达2021年第一批中央财政水利发展资金(水土保持)</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284.56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桂整合202041号下达2021年第一批中央财政水利发展资金水土保持</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桂整合〔2020〕41号下达2021年第一批中央财政水利发展资金(中型灌区节水改造)</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634.73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桂整合202041号下达2021年第一批中央财政水利发展资金中型灌区节水改造</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桂整合〔2020〕41号下达2021年第一批中央财政水利发展资金(农村饮水工程维修养护)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2.34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桂整合202041号下达2021年第一批中央财政水利发展资金农村饮水工程维修养护</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桂财农〔2020〕112号下达2020年中央财政第三批水利救灾资金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4.59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桂财农2020112号下达2020年中央财政第三批水利救灾资金</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桂整合〔2020〕41号下达2021年第一批中央财政水利发展资金(中小河流治理)</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1241.63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桂整合202041号下达2021年第一批中央财政水利发展资金中小河流治理</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桂整合〔2020〕41号下达2021年第一批中央财政水利发展资金(水资源节约管护)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37.13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桂整合202041号下达2021年第一批中央财政水利发展资金水资源节约管护</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桂整合〔2020〕41号下达2021年第一批中央财政水利发展资金(山洪灾害防治)</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261.92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桂整合202041号下达2021年第一批中央财政水利发展资金山洪灾害防治</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桂整合〔2020〕41号下达2021年第一批中央财政水利发展资金(小型水库工程维护)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41.73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桂整合202041号下达2021年第一批中央财政水利发展资金小型水库工程维护</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桂整合〔2020〕41号下达2021年第一批中央财政水利发展资金(山洪灾害防治非工程养护)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8.18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桂整合202041号下达2021年第一批中央财政水利发展资金山洪灾害防治非工程养护</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桂整合〔2020〕41号下达2021年第一批中央财政水利发展资金(小型病险水库除险加固)</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669.62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桂整合202041号下达2021年第一批中央财政水利发展资金小型病险水库除险加固</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水利项目建设资金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43.34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水利项目建设资金</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桂财农【2021】54号2021年自治区财政水利防灾救灾资金(第二批)(水利水毁设施修复)</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1.94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桂财农【2021】54号2021年自治区财政水利防灾救灾资金（第二批）（水利水毁设施修复）</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水库大坝安全鉴定</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水库大坝安全鉴定</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桂整合〔2021〕35号2022年中央及自治区财政水利发展资金预算(第一批)(中小河流治理)</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1995.10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桂整合〔2021〕35号2022年中央财政水利发展资金预算</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（第一批）（中小河流治理）</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桂整合〔2021〕35号2022年中央第一批财政水利发展资金(第一批)(农村饮水工程维修养护)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127.00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桂整合〔2021〕35号2022年中央第一批财政水利发展资金（第一批）（农村饮水工程维修养护）</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桂整合〔2021〕35号2022年中央第一批财政水利发展资金(第一批)(水土保持)</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152.87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桂整合〔2021〕35号2022年中央第一批财政水利发展资金（第一批）（水土保持）</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桂整合〔2021〕35号2022年中央第一批财政水利发展资金(第一批)(小型水库工程设施维修养护)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桂整合〔2021〕35号2022年中央第一批财政水利发展资金（第一批）（小型水库工程设施维修养护）</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桂整合〔2021〕35号2022年中央第一批财政水利发展资金(第一批)(山洪灾害防治非工程措施维修养护)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0.04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桂整合〔2021〕35号2022年中央第一批财政水利发展资金（第一批）（山洪灾害防治非工程措施维修养护）</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桂整合〔2021〕35号2022年中央第一批财政水利发展资金(第一批)(支出进度奖励指标)</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300.00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桂整合〔2021〕35号2022年中央第一批财政水利发展资金（第一批）（支出进度奖励指标）</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桂财农[2022]51号]关于下达2022年中央财政水利救灾资金(第一批)的通知</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3.14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长桥屯农田长期以来受山洪威胁，为保护农田和岸上群众的生命财产安全，上世纪80年代，群众自己组织实施，在屯前修建简易排涝沟。由于资金不足，部分排涝沟段为干砌石，大部分排涝沟是粘土天然形成。流域内雨量充沛，但降雨年内分配不均。近年来，每逢汛期，受暴涨暴落的山洪影响，排涝沟两岸多处坍塌，洪水直接冲进农田和村庄中，严重威胁着人民群众的生命和生产安全。为建设美好家园，保护人民群众生命和生产安全</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广西壮族自治区财政厅关于下达2022年新增政府一般债务限额支持小型水库安全运行的通知</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907.53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用于小型病险水库、小型水库工程建设维修养护和小型水库雨水情测报和安全监测设施完善。</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广西壮族自治区财政厅关于下达2022年自治区财政水利救灾资金(第二批)的通知桂财农(2022)56号</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1.90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开展1个水毁修复工程项目：环江县洛阳镇妙石村桥龙屯拦河坝水毁修复工程</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广西壮族自治区财政厅关于下达2022年自治区财政水利救灾资金(第三批)的通知桂财农(2022)71号</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完成实施了3个水毁修复项目：一是环江县驯乐乡福寿社区板港屯至乾屯防洪护岸水毁修复工程，二是环江县洛阳镇永权村北洞屯防洪护岸水毁修复工程；三是环江县龙岩乡久东村信谭屯防洪护岸水毁修复工程。减少洪涝、干旱及引发的次生水旱灾害救灾。</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2024年租用电信光缆经费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河防指办电【2011】36号、桂防指办电【2011】50号文件；租用电信光缆费（防汛抗旱视频会商系统、防汛抗旱值班系统），加强防汛值班工作，明确防汛责任人，根据气象信息及时发布预警信息和预警短信，做好汛期相关工作。</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2024年25座水库汛期值班费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38.50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保障全县25座水库全年12个月（汛期6个月、非汛期6个月）正常有人值班，对水库周边群众生命财产安全有一定的保障。</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2024年水库防汛值班定位电话</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0.78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确保全县26座水库全年12个月值班电话正常畅通，预算金额7800元。桂水汛2010-8号文件。水库防汛值班定位电话话费26座，每部每月25元12个月共0.78万元。</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提前下达2023年中央财政水利发展资金预算(第一批)小型水库维修养护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68.00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项目资金用于小型水库维修养护项目工程</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提前下达2023年中央财政水利发展资金预算(第一批)农村饮水工程维修养护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189.00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项目资金用于农村饮水工程维修养护项目</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提前下达2023年中央财政水利发展资金预算(第一批)山洪灾害防治</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335.20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项目资金用于山洪灾害防治项目工程</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提前下达2023年中央财政水利发展资金预算(第一批)中小河流治理</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5691.00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资金用于中小河流治理</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提前下达2023年中央财政水利发展资金预算(第一批)山洪灾害防治非工程措施维修养护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8.48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该资金用于山洪灾害防治非工程措施维修养护项目</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提前下达2023年中央财政水利发展资金预算(第一批)农业水价综合改革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27.76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项目资金用于农业水价综合改革项目</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提前下达2023年中央财政水利发展资金预算(第一批)水土保持工程建设</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172.29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该项目资金用于水土保持工程建设项目</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提前下达2023年自治区财政水利发展资金预算(第一批)农村饮水安全工程维修养护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项目资金用于农村饮水安全工程维修养护</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河财建〔2022〕61号关于下达2022年自治区本级预算内基础设施前期工作经费(环江县城乡一体化备用水源工程)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0.78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县城乡一体化备用水源工程前期工作为8项论证工作：建设项目用地预审与选址，环境影响评价论证，项目建议论证，项目可行性研究论证，初步设计及概算，项目核准，项目备案，建设用地规划许可证。目前，相关工作正开展当中。</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环江县川山镇同伴村集中供水安全保障工程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43.20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解决川山镇同伴村12个自然屯的饮水问题，同时保证用水安全，对总人口1100人（其中脱贫人口222人）饮水条件的改善提升。</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2023年自治区财政水利救灾资金（第一批）抗旱（应急送水、应急水源工程）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完成2023年抗旱应急送水工作</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2023年中央财政水利救灾资金（第三批）水毁水利工程修复</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94.00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完成2023年水水利修复工程，按照相关规划或实施方案，根据任务清单并结合地方实际开展有关水利建设，推动水利改革发展。</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2023年第三批新增政府债券资金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1572.00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小型病险水库除险加固及水库维修养护</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环江毛南族自治县县城饮用水水源地保护工程工程款</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0.21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2023年环江毛南族自治县县城饮用水水源地保护工程工程款并结合地方实际开展有关水利建设，推动水利改革发展。</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环江县下庙水库除险加固工程</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环江县下庙水库除险加固工程并结合地方实际开展有关水利建设，推动水利改革发展。</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2024年河长制标准化管理县建设工作经费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自治区河长制办公室关于印发《广西壮族自治区河湖长制标准化管理县建设方案》》的通知（桂河长办〔2022〕22号）贯彻落实习近平生态文明思想和“节水优先、空间均衡、系统治理、两手发力”的治水思路，深入贯彻落实习近平总书记视察广西“4·27”重要讲话精神和对广西工作系列重要指示要求，完整、准确、全面贯彻新发展理念，不断创新完善河湖管理体制机制，推进河湖长制工作规范化、标准化，促进我区河湖治理体系和治理能力现代化，为厚植生态环境优势推动绿色发展迈出新步伐提供有力支撑和保障。</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2024年农村饮水安全工程维修养护经费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自治区河长制办公室关于印发《广西壮族自治区河湖长制标准化管理县建设方案》》的通知（桂河长办〔2022〕22号）贯彻落实习近平生态文明思想和“节水优先、空间均衡、系统治理、两手发力”的治水思路，深入贯彻落实习近平总书记视察广西“4·27”重要讲话精神和对广西工作系列重要指示要求，完整、准确、全面贯彻新发展理念，不断创新完善河湖管理体制机制，推进河湖长制工作规范化、标准化，促进我区河湖治理体系和治理能力现代化，为厚植生态环境优势推动绿色发展迈出新步伐提供有力支撑和保障。</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2024年全县防汛抗旱工作会议经费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做好2023年全县水旱灾害防御工作培训会完成26水库、20座水电站管理人员培训会</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2024年山洪灾害非工程措施监测、预警系统运行维护费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上年延续项目。预算数与2020年持平，预算金额50000.00元。根据自治区水利厅、财政厅关于印发广西山洪灾害监测预警系统运行维护指导意见的通知桂水汛-2014-20号-文件,我县山洪灾害监测预警系统运行维护费：1、监测站点和无线预警广播站年费用47个监测站30个无线预警广播站.2、遥测接收平台年费用。3、预警平台年费用.4、看护费，.5、其它费用。</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2024年党支部组织生活经费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0.32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宣传贯彻习近平总书记重要指示批示和党中央决策部署的实际成效，宣传落实习近平总书记来广西考察重要讲话的具体成果，引导广大党员干部更好地用党的科学理论武装头脑、指导实践、推动工作。</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2024年河长制工作经费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由河长制宣传工作经费、县河长制工作经费全县江河湖库“清四乱专项工作经费合并为河长制工作经费项目。根据自治区河长制办公室关于开展全区河湖清四乱专项行动的通知桂河长办201844号及河池市河长制办公室关于印发河池市河湖清四乱专项行动实施方案的通知河河长办发2018-36号。2023年部门预算测算表（河长制）</w:t>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序号项目测算、概算预算金额（元）“备注</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（如涉及到当年绩效考评项目支出请说明实施项目目标）“</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单价</w:t>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数量</w:t>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512个乡镇年度“清四乱”工作经费5000012600000河湖“清四乱”问题整治、销号率100％是每年河长制绩效考核指标之一（2分）</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627条50平方公里以上河流岸线保护与规划利用250060015000002500元／公里</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7河湖“一河一策”修编100000011000000《自治区河长制办公室关于做好2022年度设区市河长制湖长制激励评价工作的通知》（2分）</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合计</w:t>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ab/>
            </w:r>
            <w:r>
              <w:rPr>
                <w:rFonts w:hint="eastAsia" w:ascii="宋体" w:hAnsi="宋体" w:eastAsia="宋体" w:cs="宋体"/>
                <w:b/>
                <w:bCs/>
                <w:sz w:val="17"/>
                <w:szCs w:val="17"/>
                <w:lang w:val="en-US" w:eastAsia="zh-CN"/>
              </w:rPr>
              <w:t>3100000</w:t>
            </w:r>
            <w:r>
              <w:rPr>
                <w:rFonts w:hint="eastAsia" w:ascii="宋体" w:hAnsi="宋体" w:eastAsia="宋体" w:cs="宋体"/>
                <w:b/>
                <w:bCs/>
                <w:sz w:val="17"/>
                <w:szCs w:val="17"/>
                <w:lang w:val="en-US" w:eastAsia="zh-CN"/>
              </w:rPr>
              <w:tab/>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2024年美丽幸福河湖建设工作经费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本项目为年底绩效考核项目，项目申报依据：广西壮族自治区总河长令第4号《关于全面落实细河湖长制建设美丽幸福河湖的通知》</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主要内容：贯彻落实自治区第4号总河长令：“2021-2025每年至少完成一条幸福河湖建设”。</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2024年下甫、下庙办公经费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环政函200442号。为二层机构下甫、下庙水库提供必要的日常工作经费，保下甫、下庙水库日常工作正常运行。</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2024年农田灌溉水有效利用系数测算分析资金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　根据《河池市水利局2020年度县（区）绩效考评指标考核实施方案的通知》（河水办发【2020】24号）、《河池市水利局2021年度县（区）绩效考评指标考核实施方案的通知》（河水办发【2021】12号）文件精神，完成2020年.2021年市区市绩效考核指标“最严格水资源管理”考核任务。</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2024年县城河道水上环卫队经费23</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11.50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县城区河道，全年12个月，共2名水上环卫工河岸杂草垃圾清理劳务报酬、劳动工具、器具、保持县城区河道水面干净、河岸杂草垃圾清理</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2024年农业水价综合改革精准补贴经费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农业水价综合改革精准补贴经费，工作经费10000元</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2024年防汛值班补贴</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2024年防汛人员值班经费</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2024年水政水资源工作经费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指导全县水资源保护工作。组织编制并实施全县水资源保护规划。指导饮用水水源保护有关工作，指导地下水开发利用和地下水资源管理保护。负责全县节约用水工作。</w:t>
            </w:r>
          </w:p>
        </w:tc>
      </w:tr>
      <w:tr>
        <w:tblPrEx>
          <w:tblLayout w:type="fixed"/>
          <w:tblCellMar>
            <w:top w:w="0" w:type="dxa"/>
            <w:left w:w="10" w:type="dxa"/>
            <w:bottom w:w="0" w:type="dxa"/>
            <w:right w:w="10" w:type="dxa"/>
          </w:tblCellMar>
        </w:tblPrEx>
        <w:trPr>
          <w:cantSplit/>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环江毛南族自治县水利局</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2024年水土保持工作经费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1.加强生产建设项目水土保持监管工作，保障县域内水土流失面积不扩大。</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2.保障水土保持工程建设程序完善、工程运行良好。</w:t>
            </w:r>
          </w:p>
        </w:tc>
      </w:tr>
    </w:tbl>
    <w:p>
      <w:pPr>
        <w:jc w:val="left"/>
        <w:rPr>
          <w:rFonts w:hint="eastAsia"/>
        </w:rPr>
      </w:pPr>
      <w:r>
        <w:t>注：本报表金额单位转换时可能存在四舍五入尾数误差。</w:t>
      </w:r>
    </w:p>
    <w:p>
      <w:pPr>
        <w:jc w:val="left"/>
        <w:rPr>
          <w:rFonts w:hint="eastAsia"/>
          <w:lang w:eastAsia="zh-CN"/>
        </w:rPr>
        <w:sectPr>
          <w:headerReference r:id="rId12" w:type="default"/>
          <w:footerReference r:id="rId13"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5"/>
      <w:bookmarkStart w:id="32" w:name="bookmark94"/>
      <w:bookmarkStart w:id="33" w:name="bookmark96"/>
      <w:r>
        <w:rPr>
          <w:sz w:val="40"/>
          <w:szCs w:val="40"/>
        </w:rP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4" w:type="default"/>
      <w:footerReference r:id="rId15"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XW5UtAAAAAFAQAA&#10;DwAAAAAAAAABACAAAAAiAAAAZHJzL2Rvd25yZXYueG1sUEsBAhQAFAAAAAgAh07iQHWBZgboAQAA&#10;vgMAAA4AAAAAAAAAAQAgAAAAHwEAAGRycy9lMm9Eb2MueG1sUEsFBgAAAAAGAAYAWQEAAHkFAAAA&#10;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117"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11xCPZAAAABwEAAA8AAAAAAAAAAQAgAAAAIgAAAGRycy9kb3ducmV2LnhtbFBLAQIUABQA&#10;AAAIAIdO4kCwBA4w7wEAAL4DAAAOAAAAAAAAAAEAIAAAACgBAABkcnMvZTJvRG9jLnhtbFBLBQYA&#10;AAAABgAGAFkBAACJBQ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119"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TLjt2AAAAAcBAAAPAAAAAAAAAAEAIAAAACIAAABkcnMvZG93bnJldi54bWxQSwECFAAUAAAA&#10;CACHTuJAq3cG0+4BAAC+AwAADgAAAAAAAAABACAAAAAnAQAAZHJzL2Uyb0RvYy54bWxQSwUGAAAA&#10;AAYABgBZAQAAhw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120" name="文本框 9"/>
              <wp:cNvGraphicFramePr/>
              <a:graphic xmlns:a="http://schemas.openxmlformats.org/drawingml/2006/main">
                <a:graphicData uri="http://schemas.microsoft.com/office/word/2010/wordprocessingShape">
                  <wps:wsp>
                    <wps:cNvSpPr/>
                    <wps:spPr>
                      <a:xfrm>
                        <a:off x="0" y="0"/>
                        <a:ext cx="478790" cy="32321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9" o:spid="_x0000_s1026" o:spt="1" style="position:absolute;left:0pt;margin-left:357.35pt;margin-top:-11.95pt;height:25.45pt;width:37.7pt;mso-position-horizontal-relative:margin;z-index:251664384;mso-width-relative:page;mso-height-relative:page;" filled="f" stroked="f" coordsize="21600,21600" o:gfxdata="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xLcl2wAAAAoBAAAPAAAAAAAAAAEAIAAAACIAAABkcnMvZG93bnJldi54bWxQSwECFAAU&#10;AAAACACHTuJA9tv96O4BAAC+AwAADgAAAAAAAAABACAAAAAqAQAAZHJzL2Uyb0RvYy54bWxQSwUG&#10;AAAAAAYABgBZAQAAi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121" name="文本框 11"/>
              <wp:cNvGraphicFramePr/>
              <a:graphic xmlns:a="http://schemas.openxmlformats.org/drawingml/2006/main">
                <a:graphicData uri="http://schemas.microsoft.com/office/word/2010/wordprocessingShape">
                  <wps:wsp>
                    <wps:cNvSpPr/>
                    <wps:spPr>
                      <a:xfrm>
                        <a:off x="0" y="0"/>
                        <a:ext cx="447040" cy="26797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11" o:spid="_x0000_s1026" o:spt="1" style="position:absolute;left:0pt;margin-left:352.25pt;margin-top:-6.8pt;height:21.1pt;width:35.2pt;mso-position-horizontal-relative:margin;z-index:251665408;mso-width-relative:page;mso-height-relative:page;" filled="f" stroked="f" coordsize="21600,21600" o:gfxdata="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R8Cr2wAAAAoBAAAPAAAAAAAAAAEAIAAAACIAAABkcnMvZG93bnJldi54bWxQSwECFAAU&#10;AAAACACHTuJA+u2IN+4BAAC/AwAADgAAAAAAAAABACAAAAAqAQAAZHJzL2Uyb0RvYy54bWxQSwUG&#10;AAAAAAYABgBZAQAAig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l1uVLQAAAABQEA&#10;AA8AAAAAAAAAAQAgAAAAIgAAAGRycy9kb3ducmV2LnhtbFBLAQIUABQAAAAIAIdO4kBdG7Me6QEA&#10;AL8DAAAOAAAAAAAAAAEAIAAAAB8BAABkcnMvZTJvRG9jLnhtbFBLBQYAAAAABgAGAFkBAAB6BQAA&#10;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11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MCLEdsAAAANAQAADwAAAAAAAAABACAAAAAi&#10;AAAAZHJzL2Rvd25yZXYueG1sUEsBAhQAFAAAAAgAh07iQNhNihvOAQAAlwMAAA4AAAAAAAAAAQAg&#10;AAAAKgEAAGRycy9lMm9Eb2MueG1sUEsFBgAAAAAGAAYAWQEAAGo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11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MCLEdsAAAANAQAADwAAAAAAAAABACAAAAAi&#10;AAAAZHJzL2Rvd25yZXYueG1sUEsBAhQAFAAAAAgAh07iQPrejTvOAQAAlwMAAA4AAAAAAAAAAQAg&#10;AAAAKgEAAGRycy9lMm9Eb2MueG1sUEsFBgAAAAAGAAYAWQEAAGo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0EE432"/>
    <w:multiLevelType w:val="singleLevel"/>
    <w:tmpl w:val="FD0EE432"/>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52fS1n1ngKI9lOLEg+AgyaX2s4+t3RGJBk5FyTdvwq45cyFJ9vBzRfasXqobYYN4/YNhu0DiUR9m3TZKIzAdKw==" w:salt="qjPBXpcAZr1SbL7aH75Y8w=="/>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546233CA"/>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Comment Text"/>
    <w:basedOn w:val="1"/>
    <w:qFormat/>
    <w:uiPriority w:val="0"/>
  </w:style>
  <w:style w:type="character" w:customStyle="1" w:styleId="8">
    <w:name w:val="Comment Reference"/>
    <w:basedOn w:val="4"/>
    <w:qFormat/>
    <w:uiPriority w:val="0"/>
    <w:rPr>
      <w:sz w:val="21"/>
      <w:szCs w:val="21"/>
    </w:rPr>
  </w:style>
  <w:style w:type="character" w:customStyle="1" w:styleId="9">
    <w:name w:val="Body text|5_"/>
    <w:basedOn w:val="4"/>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4"/>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4"/>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4"/>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4"/>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4"/>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4"/>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4"/>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4"/>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4"/>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4"/>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一般公共预算拨款</c:v>
                </c:pt>
                <c:pt idx="1">
                  <c:v>政府性基金预算拨款</c:v>
                </c:pt>
              </c:strCache>
            </c:strRef>
          </c:cat>
          <c:val>
            <c:numRef>
              <c:f>Sheet1!$B$2:$B$3</c:f>
              <c:numCache>
                <c:formatCode>General</c:formatCode>
                <c:ptCount val="2"/>
                <c:pt idx="0">
                  <c:v>15708.54</c:v>
                </c:pt>
                <c:pt idx="1">
                  <c:v>0.71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4.59</c:v>
                </c:pt>
                <c:pt idx="1">
                  <c:v>53.75</c:v>
                </c:pt>
                <c:pt idx="2">
                  <c:v>4503.43</c:v>
                </c:pt>
                <c:pt idx="3">
                  <c:v>47.23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9532.11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15709.25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537.45</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117.6</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36.09</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501.36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501.36</c:v>
                </c:pt>
                <c:pt idx="1">
                  <c:v>36.09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2.2</c:v>
                </c:pt>
                <c:pt idx="2">
                  <c:v>33.8</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3.95</c:v>
                </c:pt>
                <c:pt idx="2">
                  <c:v>9.2</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3544D7FD83294A1AA12B1EA75CACAC5F_13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56</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2024-03-01T02:21:23Z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b77f91-ba26-4af3-bf37-d81e4717adb1}">
  <ds:schemaRefs/>
</ds:datastoreItem>
</file>

<file path=customXml/itemProps3.xml><?xml version="1.0" encoding="utf-8"?>
<ds:datastoreItem xmlns:ds="http://schemas.openxmlformats.org/officeDocument/2006/customXml" ds:itemID="{256d4240-b0b0-422b-9f32-33683b18515d}">
  <ds:schemaRefs/>
</ds:datastoreItem>
</file>

<file path=customXml/itemProps4.xml><?xml version="1.0" encoding="utf-8"?>
<ds:datastoreItem xmlns:ds="http://schemas.openxmlformats.org/officeDocument/2006/customXml" ds:itemID="{6f6531e4-e154-4d6e-b455-1df5db8397ff}">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57</TotalTime>
  <ScaleCrop>false</ScaleCrop>
  <LinksUpToDate>false</LinksUpToDate>
  <CharactersWithSpaces>11333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Lenovo</cp:lastModifiedBy>
  <dcterms:modified xsi:type="dcterms:W3CDTF">2024-03-04T08:23:46Z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