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环江毛南族自治县房地产管理所</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环江毛南族自治县房地产管理所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环江毛南族自治县房地产管理所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环江毛南族自治县房地产管理所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环江毛南族自治县房地产管理所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房地产管理所的主要职能是：受住建局委托开展商品房预售许可审批、指导和监督物业管理相关工作、白蚁防治、房地产开发、房屋交易管理、房屋租赁、房地产估价与经纪管理、危房鉴定、房屋征收拆迁、商品房预售资金监督管理、住宅专项维修资金监督管理等工作；完成自治县住房和城乡建设局交办的其他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我部门没有下属单位：</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（一）、根据上述职责，房管所设3个办公室。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（1）所长办公室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（2）财务室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（3）白蚁防治办公室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（二）人员构成情况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人员编制总数为6人，其中行政编制0人，事业编制6人，机关后勤服务中心聘用人员控制数0人。实有财政供养人数6人，其中行政在职0人，事业在职6人，离退休人员5人（其中离休0人）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环江毛南族自治县房地产管理所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96.16</w:t>
      </w:r>
      <w:r>
        <w:rPr>
          <w:rFonts w:hint="eastAsia"/>
          <w:b w:val="0"/>
          <w:bCs w:val="0"/>
          <w:sz w:val="28"/>
          <w:szCs w:val="28"/>
        </w:rPr>
        <w:t xml:space="preserve">万元，总支出</w:t>
      </w:r>
      <w:r>
        <w:rPr>
          <w:rFonts w:hint="eastAsia"/>
          <w:sz w:val="28"/>
          <w:szCs w:val="28"/>
          <w:lang w:val="en-US" w:eastAsia="zh-CN"/>
        </w:rPr>
        <w:t xml:space="preserve">96.16</w:t>
      </w:r>
      <w:r>
        <w:rPr>
          <w:rFonts w:hint="eastAsia"/>
          <w:b w:val="0"/>
          <w:bCs w:val="0"/>
          <w:sz w:val="28"/>
          <w:szCs w:val="28"/>
        </w:rPr>
        <w:t xml:space="preserve">万元。总收入较2023年度预算数</w:t>
      </w:r>
      <w:r>
        <w:rPr>
          <w:rFonts w:hint="eastAsia"/>
          <w:sz w:val="28"/>
          <w:szCs w:val="28"/>
          <w:lang w:val="en-US" w:eastAsia="zh-CN"/>
        </w:rPr>
        <w:t xml:space="preserve">89.66</w:t>
      </w:r>
      <w:r>
        <w:rPr>
          <w:rFonts w:hint="eastAsia"/>
          <w:b w:val="0"/>
          <w:bCs w:val="0"/>
          <w:sz w:val="28"/>
          <w:szCs w:val="28"/>
        </w:rPr>
        <w:t xml:space="preserve">万元，</w:t>
      </w:r>
      <w:r>
        <w:rPr>
          <w:rFonts w:hint="eastAsia"/>
          <w:sz w:val="28"/>
          <w:szCs w:val="28"/>
        </w:rPr>
        <w:t xml:space="preserve">增加6.50</w:t>
      </w:r>
      <w:r>
        <w:rPr>
          <w:rFonts w:hint="eastAsia"/>
          <w:b w:val="0"/>
          <w:bCs w:val="0"/>
          <w:sz w:val="28"/>
          <w:szCs w:val="28"/>
        </w:rPr>
        <w:t xml:space="preserve">万元，</w:t>
      </w:r>
      <w:r>
        <w:rPr>
          <w:rFonts w:hint="eastAsia"/>
          <w:sz w:val="28"/>
          <w:szCs w:val="28"/>
        </w:rPr>
        <w:t xml:space="preserve">增长7.25%</w:t>
      </w:r>
      <w:r>
        <w:rPr>
          <w:rFonts w:hint="eastAsia"/>
          <w:b w:val="0"/>
          <w:bCs w:val="0"/>
          <w:sz w:val="28"/>
          <w:szCs w:val="28"/>
        </w:rPr>
        <w:t xml:space="preserve">，主要原因是</w:t>
      </w:r>
      <w:r>
        <w:rPr>
          <w:rFonts w:hint="eastAsia"/>
          <w:highlight w:val="none"/>
          <w:lang w:val="en-US" w:eastAsia="zh-CN"/>
        </w:rPr>
        <w:t xml:space="preserve">在职人员工资、退休人员生活补助标准提高</w:t>
      </w:r>
      <w:r>
        <w:rPr>
          <w:rFonts w:hint="eastAsia"/>
          <w:b w:val="0"/>
          <w:bCs w:val="0"/>
          <w:sz w:val="28"/>
          <w:szCs w:val="28"/>
        </w:rPr>
        <w:t xml:space="preserve">。总支出较2023年度预算数</w:t>
      </w:r>
      <w:r>
        <w:rPr>
          <w:rFonts w:hint="eastAsia"/>
          <w:sz w:val="28"/>
          <w:szCs w:val="28"/>
          <w:lang w:val="en-US" w:eastAsia="zh-CN"/>
        </w:rPr>
        <w:t xml:space="preserve">89.66</w:t>
      </w:r>
      <w:r>
        <w:rPr>
          <w:rFonts w:hint="eastAsia"/>
          <w:b w:val="0"/>
          <w:bCs w:val="0"/>
          <w:sz w:val="28"/>
          <w:szCs w:val="28"/>
        </w:rPr>
        <w:t xml:space="preserve">万元，</w:t>
      </w:r>
      <w:r>
        <w:rPr>
          <w:rFonts w:hint="eastAsia"/>
          <w:sz w:val="28"/>
          <w:szCs w:val="28"/>
        </w:rPr>
        <w:t xml:space="preserve">增加6.50</w:t>
      </w:r>
      <w:r>
        <w:rPr>
          <w:rFonts w:hint="eastAsia"/>
          <w:b w:val="0"/>
          <w:bCs w:val="0"/>
          <w:sz w:val="28"/>
          <w:szCs w:val="28"/>
        </w:rPr>
        <w:t xml:space="preserve">万元，</w:t>
      </w:r>
      <w:r>
        <w:rPr>
          <w:rFonts w:hint="eastAsia"/>
          <w:sz w:val="28"/>
          <w:szCs w:val="28"/>
        </w:rPr>
        <w:t xml:space="preserve">增长7.25%</w:t>
      </w:r>
      <w:r>
        <w:rPr>
          <w:rFonts w:hint="eastAsia"/>
          <w:b w:val="0"/>
          <w:bCs w:val="0"/>
          <w:sz w:val="28"/>
          <w:szCs w:val="28"/>
        </w:rPr>
        <w:t xml:space="preserve">，主要原因是</w:t>
      </w:r>
      <w:r>
        <w:rPr>
          <w:rFonts w:hint="eastAsia"/>
          <w:highlight w:val="none"/>
          <w:lang w:val="en-US" w:eastAsia="zh-CN"/>
        </w:rPr>
        <w:t xml:space="preserve">在职人员工资、退休人员生活补助标准提高</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48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96.16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89.66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增加6.50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增长7.25%</w:t>
      </w:r>
      <w:r>
        <w:rPr>
          <w:rFonts w:ascii="宋体" w:eastAsia="宋体" w:hAnsi="宋体" w:cs="宋体" w:hint="eastAsia"/>
          <w:sz w:val="28"/>
          <w:szCs w:val="28"/>
          <w:u w:color="auto"/>
        </w:rPr>
        <w:t xml:space="preserve">，主要原因是</w:t>
      </w:r>
      <w:r>
        <w:rPr>
          <w:rFonts w:hint="eastAsia"/>
          <w:highlight w:val="none"/>
          <w:lang w:val="en-US" w:eastAsia="zh-CN"/>
        </w:rPr>
        <w:t xml:space="preserve">在职人员工资、退休人员生活补助标准提高</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48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96.16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89.66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增加6.50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增长7.25%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在职人员工资、退休人员生活补助标准提高</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在职人员的工资标准提高和退休人员的生活补助标准提高</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84.99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88.38%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增长7.19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增长9.24%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在职人员工资、退休人员生活补助标准提高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0.92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减少30.30%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2024年工会经费计提基数比上年计提基数减少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10.26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10.67%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减少2.66%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养老保险的2024年核定基数比上年减少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92.16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95.84%</w:t>
      </w:r>
      <w:r>
        <w:rPr>
          <w:rFonts w:ascii="宋体" w:eastAsia="宋体" w:hAnsi="宋体" w:cs="宋体"/>
          <w:sz w:val="28"/>
          <w:u w:color="auto"/>
        </w:rPr>
        <w:t xml:space="preserve">,比上年</w:t>
      </w:r>
      <w:r>
        <w:rPr>
          <w:rFonts w:ascii="宋体" w:eastAsia="宋体" w:hAnsi="宋体" w:cs="宋体"/>
          <w:sz w:val="28"/>
          <w:u w:color="auto"/>
        </w:rPr>
        <w:t xml:space="preserve">增长8.50</w:t>
      </w:r>
      <w:r>
        <w:rPr>
          <w:rFonts w:ascii="宋体" w:eastAsia="宋体" w:hAnsi="宋体" w:cs="宋体"/>
          <w:sz w:val="28"/>
          <w:u w:color="auto"/>
        </w:rPr>
        <w:t xml:space="preserve">万元，</w:t>
      </w:r>
      <w:r>
        <w:rPr>
          <w:rFonts w:ascii="宋体" w:eastAsia="宋体" w:hAnsi="宋体" w:cs="宋体"/>
          <w:sz w:val="28"/>
          <w:u w:color="auto"/>
        </w:rPr>
        <w:t xml:space="preserve">增长10.16%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2.36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2.56%</w:t>
      </w:r>
      <w:r>
        <w:rPr>
          <w:rFonts w:ascii="宋体" w:eastAsia="宋体" w:hAnsi="宋体" w:cs="宋体" w:hint="eastAsia"/>
          <w:sz w:val="28"/>
          <w:szCs w:val="28"/>
        </w:rPr>
        <w:t xml:space="preserve">,比上年</w:t>
      </w:r>
      <w:r>
        <w:rPr>
          <w:rFonts w:ascii="宋体" w:eastAsia="宋体" w:hAnsi="宋体" w:cs="宋体"/>
          <w:sz w:val="28"/>
          <w:u w:color="auto"/>
        </w:rPr>
        <w:t xml:space="preserve">减少0.40</w:t>
      </w:r>
      <w:r>
        <w:rPr>
          <w:rFonts w:ascii="宋体" w:eastAsia="宋体" w:hAnsi="宋体" w:cs="宋体"/>
          <w:sz w:val="28"/>
          <w:u w:color="auto"/>
        </w:rPr>
        <w:t xml:space="preserve">万元，</w:t>
      </w:r>
      <w:r>
        <w:rPr>
          <w:rFonts w:ascii="宋体" w:eastAsia="宋体" w:hAnsi="宋体" w:cs="宋体"/>
          <w:sz w:val="28"/>
          <w:u w:color="auto"/>
        </w:rPr>
        <w:t xml:space="preserve">减少14.49%</w:t>
      </w:r>
      <w:r>
        <w:rPr>
          <w:rFonts w:ascii="宋体" w:eastAsia="宋体" w:hAnsi="宋体" w:cs="宋体"/>
          <w:sz w:val="28"/>
          <w:u w:color="auto"/>
        </w:rPr>
        <w:t xml:space="preserve">,主要原因是：2024年工会经费计提基数比上年计提基数减少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83.65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90.77%</w:t>
      </w:r>
      <w:r>
        <w:rPr>
          <w:rFonts w:ascii="宋体" w:eastAsia="宋体" w:hAnsi="宋体" w:cs="宋体" w:hint="eastAsia"/>
          <w:sz w:val="28"/>
          <w:szCs w:val="28"/>
        </w:rPr>
        <w:t xml:space="preserve">,比上年</w:t>
      </w:r>
      <w:r>
        <w:rPr>
          <w:rFonts w:ascii="宋体" w:eastAsia="宋体" w:hAnsi="宋体" w:cs="宋体"/>
          <w:sz w:val="28"/>
          <w:u w:color="auto"/>
        </w:rPr>
        <w:t xml:space="preserve">增长6.90</w:t>
      </w:r>
      <w:r>
        <w:rPr>
          <w:rFonts w:ascii="宋体" w:eastAsia="宋体" w:hAnsi="宋体" w:cs="宋体"/>
          <w:sz w:val="28"/>
          <w:u w:color="auto"/>
        </w:rPr>
        <w:t xml:space="preserve">万元，</w:t>
      </w:r>
      <w:r>
        <w:rPr>
          <w:rFonts w:ascii="宋体" w:eastAsia="宋体" w:hAnsi="宋体" w:cs="宋体"/>
          <w:sz w:val="28"/>
          <w:u w:color="auto"/>
        </w:rPr>
        <w:t xml:space="preserve">增长8.99%</w:t>
      </w:r>
      <w:r>
        <w:rPr>
          <w:rFonts w:ascii="宋体" w:eastAsia="宋体" w:hAnsi="宋体" w:cs="宋体"/>
          <w:sz w:val="28"/>
          <w:u w:color="auto"/>
        </w:rPr>
        <w:t xml:space="preserve">,主要原因是：在职人员工资标准提高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6.15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6.67%</w:t>
      </w:r>
      <w:r>
        <w:rPr>
          <w:rFonts w:ascii="宋体" w:eastAsia="宋体" w:hAnsi="宋体" w:cs="宋体" w:hint="eastAsia"/>
          <w:sz w:val="28"/>
          <w:szCs w:val="28"/>
        </w:rPr>
        <w:t xml:space="preserve">,比上年</w:t>
      </w:r>
      <w:r>
        <w:rPr>
          <w:rFonts w:ascii="宋体" w:eastAsia="宋体" w:hAnsi="宋体" w:cs="宋体"/>
          <w:sz w:val="28"/>
          <w:u w:color="auto"/>
        </w:rPr>
        <w:t xml:space="preserve">增长2.00</w:t>
      </w:r>
      <w:r>
        <w:rPr>
          <w:rFonts w:ascii="宋体" w:eastAsia="宋体" w:hAnsi="宋体" w:cs="宋体"/>
          <w:sz w:val="28"/>
          <w:u w:color="auto"/>
        </w:rPr>
        <w:t xml:space="preserve">万元，</w:t>
      </w:r>
      <w:r>
        <w:rPr>
          <w:rFonts w:ascii="宋体" w:eastAsia="宋体" w:hAnsi="宋体" w:cs="宋体"/>
          <w:sz w:val="28"/>
          <w:u w:color="auto"/>
        </w:rPr>
        <w:t xml:space="preserve">增长48.19%</w:t>
      </w:r>
      <w:r>
        <w:rPr>
          <w:rFonts w:ascii="宋体" w:eastAsia="宋体" w:hAnsi="宋体" w:cs="宋体"/>
          <w:sz w:val="28"/>
          <w:u w:color="auto"/>
        </w:rPr>
        <w:t xml:space="preserve">,主要原因是：退休人员的生活补助标准提高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4.00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4.16%</w:t>
      </w:r>
      <w:r>
        <w:rPr>
          <w:rFonts w:ascii="宋体" w:eastAsia="宋体" w:hAnsi="宋体" w:cs="宋体" w:hint="eastAsia"/>
          <w:sz w:val="28"/>
          <w:szCs w:val="28"/>
        </w:rPr>
        <w:t xml:space="preserve">,比上年</w:t>
      </w:r>
      <w:r>
        <w:rPr>
          <w:rFonts w:ascii="宋体" w:eastAsia="宋体" w:hAnsi="宋体" w:cs="宋体"/>
          <w:sz w:val="28"/>
          <w:u w:color="auto"/>
        </w:rPr>
        <w:t xml:space="preserve">减少2.00</w:t>
      </w:r>
      <w:r>
        <w:rPr>
          <w:rFonts w:ascii="宋体" w:eastAsia="宋体" w:hAnsi="宋体" w:cs="宋体" w:hint="eastAsia"/>
          <w:sz w:val="28"/>
          <w:szCs w:val="28"/>
        </w:rPr>
        <w:t xml:space="preserve">万元，</w:t>
      </w:r>
      <w:r>
        <w:rPr>
          <w:rFonts w:ascii="宋体" w:eastAsia="宋体" w:hAnsi="宋体" w:cs="宋体"/>
          <w:sz w:val="28"/>
          <w:u w:color="auto"/>
        </w:rPr>
        <w:t xml:space="preserve">减少33.33%</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减少33.33%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劳务费和其他商品服务支出减少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48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96.16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96.16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89.66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增长7.25%</w:t>
      </w:r>
      <w:r>
        <w:rPr>
          <w:rFonts w:ascii="宋体" w:eastAsia="宋体" w:hAnsi="宋体" w:cs="宋体" w:hint="eastAsia"/>
          <w:sz w:val="28"/>
          <w:szCs w:val="28"/>
        </w:rPr>
        <w:t xml:space="preserve">，主要原因是</w:t>
      </w:r>
      <w:r>
        <w:rPr>
          <w:rFonts w:hint="eastAsia"/>
          <w:highlight w:val="none"/>
          <w:lang w:val="en-US" w:eastAsia="zh-CN"/>
        </w:rPr>
        <w:t xml:space="preserve">在职人员工资、退休人员生活补助标准提高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89.66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增长7.25%</w:t>
      </w:r>
      <w:r>
        <w:rPr>
          <w:rFonts w:ascii="宋体" w:eastAsia="宋体" w:hAnsi="宋体" w:cs="宋体" w:hint="eastAsia"/>
          <w:sz w:val="28"/>
          <w:szCs w:val="28"/>
        </w:rPr>
        <w:t xml:space="preserve">，主要原因是</w:t>
      </w:r>
      <w:r>
        <w:rPr>
          <w:rFonts w:hint="eastAsia"/>
          <w:highlight w:val="none"/>
          <w:lang w:val="en-US" w:eastAsia="zh-CN"/>
        </w:rPr>
        <w:t xml:space="preserve">在职人员工资、退休人员生活补助标准提高</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48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96.16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89.66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增长7.25%</w:t>
      </w:r>
      <w:r>
        <w:rPr>
          <w:rFonts w:ascii="宋体" w:eastAsia="宋体" w:hAnsi="宋体" w:cs="宋体" w:hint="eastAsia"/>
          <w:sz w:val="28"/>
          <w:szCs w:val="28"/>
        </w:rPr>
        <w:t xml:space="preserve">，主要原因是</w:t>
      </w:r>
      <w:r>
        <w:rPr>
          <w:rFonts w:hint="eastAsia"/>
          <w:highlight w:val="none"/>
          <w:lang w:val="en-US" w:eastAsia="zh-CN"/>
        </w:rPr>
        <w:t xml:space="preserve">在职人员工资、退休人员生活补助标准提高</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0.92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1.32</w:t>
      </w:r>
      <w:r>
        <w:rPr>
          <w:rFonts w:ascii="宋体" w:eastAsia="宋体" w:hAnsi="宋体" w:cs="宋体" w:hint="eastAsia"/>
          <w:sz w:val="28"/>
          <w:szCs w:val="28"/>
        </w:rPr>
        <w:t xml:space="preserve">万元，</w:t>
      </w:r>
      <w:r>
        <w:rPr>
          <w:rFonts w:ascii="宋体" w:eastAsia="宋体" w:hAnsi="宋体" w:cs="宋体"/>
          <w:sz w:val="28"/>
          <w:u w:color="auto"/>
        </w:rPr>
        <w:t xml:space="preserve">减少0.40</w:t>
      </w:r>
      <w:r>
        <w:rPr>
          <w:rFonts w:ascii="宋体" w:eastAsia="宋体" w:hAnsi="宋体" w:cs="宋体" w:hint="eastAsia"/>
          <w:sz w:val="28"/>
          <w:szCs w:val="28"/>
        </w:rPr>
        <w:t xml:space="preserve">万元，</w:t>
      </w:r>
      <w:r>
        <w:rPr>
          <w:rFonts w:ascii="宋体" w:eastAsia="宋体" w:hAnsi="宋体" w:cs="宋体"/>
          <w:sz w:val="28"/>
          <w:u w:color="auto"/>
        </w:rPr>
        <w:t xml:space="preserve">减少30.30%</w:t>
      </w:r>
      <w:r>
        <w:rPr>
          <w:rFonts w:ascii="宋体" w:eastAsia="宋体" w:hAnsi="宋体" w:cs="宋体" w:hint="eastAsia"/>
          <w:sz w:val="28"/>
          <w:szCs w:val="28"/>
        </w:rPr>
        <w:t xml:space="preserve">，主要原因是：</w:t>
      </w:r>
      <w:r>
        <w:rPr>
          <w:rFonts w:hint="eastAsia"/>
          <w:highlight w:val="none"/>
        </w:rPr>
        <w:t xml:space="preserve">2024年工会经费计提基数比上年计提基数减少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84.99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88.38%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77.80</w:t>
      </w:r>
      <w:r>
        <w:rPr>
          <w:rFonts w:ascii="宋体" w:eastAsia="宋体" w:hAnsi="宋体" w:cs="宋体" w:hint="eastAsia"/>
          <w:sz w:val="28"/>
          <w:szCs w:val="28"/>
        </w:rPr>
        <w:t xml:space="preserve">万元，</w:t>
      </w:r>
      <w:r>
        <w:rPr>
          <w:rFonts w:ascii="宋体" w:eastAsia="宋体" w:hAnsi="宋体" w:cs="宋体"/>
          <w:sz w:val="28"/>
          <w:u w:color="auto"/>
        </w:rPr>
        <w:t xml:space="preserve">增长7.19</w:t>
      </w:r>
      <w:r>
        <w:rPr>
          <w:rFonts w:ascii="宋体" w:eastAsia="宋体" w:hAnsi="宋体" w:cs="宋体" w:hint="eastAsia"/>
          <w:sz w:val="28"/>
          <w:szCs w:val="28"/>
        </w:rPr>
        <w:t xml:space="preserve">万元，</w:t>
      </w:r>
      <w:r>
        <w:rPr>
          <w:rFonts w:ascii="宋体" w:eastAsia="宋体" w:hAnsi="宋体" w:cs="宋体"/>
          <w:sz w:val="28"/>
          <w:u w:color="auto"/>
        </w:rPr>
        <w:t xml:space="preserve">增长9.24%</w:t>
      </w:r>
      <w:r>
        <w:rPr>
          <w:rFonts w:ascii="宋体" w:eastAsia="宋体" w:hAnsi="宋体" w:cs="宋体" w:hint="eastAsia"/>
          <w:sz w:val="28"/>
          <w:szCs w:val="28"/>
        </w:rPr>
        <w:t xml:space="preserve">，主要原因是：</w:t>
      </w:r>
      <w:r>
        <w:rPr>
          <w:rFonts w:hint="eastAsia"/>
          <w:highlight w:val="none"/>
        </w:rPr>
        <w:t xml:space="preserve">在职人员工资、退休人员生活补助标准提高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10.26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10.67%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10.54</w:t>
      </w:r>
      <w:r>
        <w:rPr>
          <w:rFonts w:ascii="宋体" w:eastAsia="宋体" w:hAnsi="宋体" w:cs="宋体" w:hint="eastAsia"/>
          <w:sz w:val="28"/>
          <w:szCs w:val="28"/>
        </w:rPr>
        <w:t xml:space="preserve">万元，</w:t>
      </w:r>
      <w:r>
        <w:rPr>
          <w:rFonts w:ascii="宋体" w:eastAsia="宋体" w:hAnsi="宋体" w:cs="宋体"/>
          <w:sz w:val="28"/>
          <w:u w:color="auto"/>
        </w:rPr>
        <w:t xml:space="preserve">减少0.28</w:t>
      </w:r>
      <w:r>
        <w:rPr>
          <w:rFonts w:ascii="宋体" w:eastAsia="宋体" w:hAnsi="宋体" w:cs="宋体" w:hint="eastAsia"/>
          <w:sz w:val="28"/>
          <w:szCs w:val="28"/>
        </w:rPr>
        <w:t xml:space="preserve">万元，</w:t>
      </w:r>
      <w:r>
        <w:rPr>
          <w:rFonts w:ascii="宋体" w:eastAsia="宋体" w:hAnsi="宋体" w:cs="宋体"/>
          <w:sz w:val="28"/>
          <w:u w:color="auto"/>
        </w:rPr>
        <w:t xml:space="preserve">减少2.66%</w:t>
      </w:r>
      <w:r>
        <w:rPr>
          <w:rFonts w:ascii="宋体" w:eastAsia="宋体" w:hAnsi="宋体" w:cs="宋体" w:hint="eastAsia"/>
          <w:sz w:val="28"/>
          <w:szCs w:val="28"/>
        </w:rPr>
        <w:t xml:space="preserve">，主要原因是：</w:t>
      </w:r>
      <w:r>
        <w:rPr>
          <w:rFonts w:hint="eastAsia"/>
          <w:highlight w:val="none"/>
        </w:rPr>
        <w:t xml:space="preserve">养老保险的2024年核定基数比上年减少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48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92.16</w:t>
      </w:r>
      <w:r>
        <w:rPr>
          <w:rFonts w:hint="eastAsia"/>
        </w:rPr>
        <w:t xml:space="preserve">万元，较2023年度预算数</w:t>
      </w:r>
      <w:r>
        <w:rPr>
          <w:rFonts w:hint="eastAsia"/>
          <w:lang w:val="en-US" w:eastAsia="zh-CN"/>
        </w:rPr>
        <w:t xml:space="preserve">83.66</w:t>
      </w:r>
      <w:r>
        <w:rPr>
          <w:rFonts w:hint="eastAsia"/>
        </w:rPr>
        <w:t xml:space="preserve">万元</w:t>
      </w:r>
      <w:r>
        <w:rPr>
          <w:rFonts w:hint="eastAsia"/>
          <w:lang w:val="en-US" w:eastAsia="zh-CN"/>
        </w:rPr>
        <w:t xml:space="preserve">,</w:t>
      </w:r>
      <w:r>
        <w:rPr>
          <w:u w:color="auto"/>
        </w:rPr>
        <w:t xml:space="preserve">增加8.50</w:t>
      </w:r>
      <w:r>
        <w:rPr>
          <w:rFonts w:hint="eastAsia"/>
        </w:rPr>
        <w:t xml:space="preserve">万元，</w:t>
      </w:r>
      <w:r>
        <w:rPr>
          <w:rFonts w:hint="eastAsia"/>
          <w:lang w:val="en-US" w:eastAsia="zh-CN"/>
        </w:rPr>
        <w:t xml:space="preserve">增长10.16%</w:t>
      </w:r>
      <w:r>
        <w:rPr>
          <w:rFonts w:hint="eastAsia"/>
        </w:rPr>
        <w:t xml:space="preserve">，主要原因是</w:t>
      </w:r>
      <w:r>
        <w:rPr>
          <w:rFonts w:hint="eastAsia"/>
          <w:highlight w:val="none"/>
          <w:lang w:val="en-US" w:eastAsia="zh-CN"/>
        </w:rPr>
        <w:t xml:space="preserve">在职人员工资、退休人员生活补助标准提高</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2.36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2.56%</w:t>
      </w:r>
      <w:r>
        <w:rPr>
          <w:rFonts w:hint="eastAsia"/>
        </w:rPr>
        <w:t xml:space="preserve">，较2023年度预算数</w:t>
      </w:r>
      <w:r>
        <w:rPr>
          <w:rFonts w:hint="eastAsia"/>
          <w:lang w:val="en-US" w:eastAsia="zh-CN"/>
        </w:rPr>
        <w:t xml:space="preserve">2.76</w:t>
      </w:r>
      <w:r>
        <w:rPr>
          <w:rFonts w:hint="eastAsia"/>
        </w:rPr>
        <w:t xml:space="preserve">万元，</w:t>
      </w:r>
      <w:r>
        <w:rPr>
          <w:rFonts w:hint="eastAsia"/>
          <w:lang w:val="en-US" w:eastAsia="zh-CN"/>
        </w:rPr>
        <w:t xml:space="preserve">减少0.40</w:t>
      </w:r>
      <w:r>
        <w:rPr>
          <w:rFonts w:hint="eastAsia"/>
        </w:rPr>
        <w:t xml:space="preserve">万元，</w:t>
      </w:r>
      <w:r>
        <w:rPr>
          <w:rFonts w:hint="eastAsia"/>
          <w:lang w:val="en-US" w:eastAsia="zh-CN"/>
        </w:rPr>
        <w:t xml:space="preserve">减少14.49%</w:t>
      </w:r>
      <w:r>
        <w:rPr>
          <w:rFonts w:hint="eastAsia"/>
        </w:rPr>
        <w:t xml:space="preserve">，主要原因是：</w:t>
      </w:r>
      <w:r>
        <w:rPr>
          <w:rFonts w:hint="eastAsia"/>
          <w:highlight w:val="none"/>
        </w:rPr>
        <w:t xml:space="preserve">2024年工会经费计提基数比上年计提基数减少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83.65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90.77%</w:t>
      </w:r>
      <w:r>
        <w:rPr>
          <w:rFonts w:hint="eastAsia"/>
        </w:rPr>
        <w:t xml:space="preserve">，较2023年度预算数</w:t>
      </w:r>
      <w:r>
        <w:rPr>
          <w:rFonts w:hint="eastAsia"/>
          <w:lang w:val="en-US" w:eastAsia="zh-CN"/>
        </w:rPr>
        <w:t xml:space="preserve">76.75</w:t>
      </w:r>
      <w:r>
        <w:rPr>
          <w:rFonts w:hint="eastAsia"/>
        </w:rPr>
        <w:t xml:space="preserve">万元，</w:t>
      </w:r>
      <w:r>
        <w:rPr>
          <w:rFonts w:hint="eastAsia"/>
          <w:lang w:val="en-US" w:eastAsia="zh-CN"/>
        </w:rPr>
        <w:t xml:space="preserve">增长6.90</w:t>
      </w:r>
      <w:r>
        <w:rPr>
          <w:rFonts w:hint="eastAsia"/>
        </w:rPr>
        <w:t xml:space="preserve">万元，</w:t>
      </w:r>
      <w:r>
        <w:rPr>
          <w:rFonts w:hint="eastAsia"/>
          <w:lang w:val="en-US" w:eastAsia="zh-CN"/>
        </w:rPr>
        <w:t xml:space="preserve">增长8.99%</w:t>
      </w:r>
      <w:r>
        <w:rPr>
          <w:rFonts w:hint="eastAsia"/>
        </w:rPr>
        <w:t xml:space="preserve">，主要原因是：</w:t>
      </w:r>
      <w:r>
        <w:rPr>
          <w:rFonts w:hint="eastAsia"/>
          <w:highlight w:val="none"/>
        </w:rPr>
        <w:t xml:space="preserve">在职人员工资、退休人员生活补助标准提高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6.15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6.67%</w:t>
      </w:r>
      <w:r>
        <w:rPr>
          <w:rFonts w:hint="eastAsia"/>
        </w:rPr>
        <w:t xml:space="preserve">，较2023年度预算数</w:t>
      </w:r>
      <w:r>
        <w:rPr>
          <w:rFonts w:hint="eastAsia"/>
          <w:lang w:val="en-US" w:eastAsia="zh-CN"/>
        </w:rPr>
        <w:t xml:space="preserve">4.15</w:t>
      </w:r>
      <w:r>
        <w:rPr>
          <w:rFonts w:hint="eastAsia"/>
        </w:rPr>
        <w:t xml:space="preserve">万元，</w:t>
      </w:r>
      <w:r>
        <w:rPr>
          <w:rFonts w:hint="eastAsia"/>
          <w:lang w:val="en-US" w:eastAsia="zh-CN"/>
        </w:rPr>
        <w:t xml:space="preserve">增长2.00</w:t>
      </w:r>
      <w:r>
        <w:rPr>
          <w:rFonts w:hint="eastAsia"/>
        </w:rPr>
        <w:t xml:space="preserve">万元，</w:t>
      </w:r>
      <w:r>
        <w:rPr>
          <w:rFonts w:hint="eastAsia"/>
          <w:lang w:val="en-US" w:eastAsia="zh-CN"/>
        </w:rPr>
        <w:t xml:space="preserve">增长48.19%</w:t>
      </w:r>
      <w:r>
        <w:rPr>
          <w:rFonts w:hint="eastAsia"/>
        </w:rPr>
        <w:t xml:space="preserve">，主要原因是：</w:t>
      </w:r>
      <w:r>
        <w:rPr>
          <w:rFonts w:hint="eastAsia"/>
          <w:highlight w:val="none"/>
        </w:rPr>
        <w:t xml:space="preserve">退休人员的生活补助标准提高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48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我部门2024年无“三公”经费预算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我部门2024年无“三公”经费预算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我部门2024年无“三公”经费预算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我部门2024年无“三公”经费预算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2.36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2.76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减少0.40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下降14.49%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2024年工会经费计提基数比上年计提基数减少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我部门2024年部门预算无政府采购预算</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0万元</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0万元</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0万元</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无</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0辆</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0辆</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0辆</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0辆</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0台</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我部门2024年所有项目支出全面实施绩效目标管理，涉及项目2个（1、房管所工作经费；2、房管所日常工作经费）</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预算资金共4万元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无</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环江毛南族自治县房地产管理所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环江毛南族自治县房地产管理所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96.16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0.92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96.16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10.26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84.99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96.16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96.16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96.16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96.16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环江毛南族自治县房地产管理所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303001</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环江毛南族自治县房地产管理所</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96.16</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96.16</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96.16</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环江毛南族自治县房地产管理所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92.16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303001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92.16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8.73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8.73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其他城乡社区住宅支出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76.27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72.27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4"/>
      <w:bookmarkStart w:id="23" w:name="bookmark46"/>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环江毛南族自治县房地产管理所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96.16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0.92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96.16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10.26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84.99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96.16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96.16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96.16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96.16</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环江毛南族自治县房地产管理所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303001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96.16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92.17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89.81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2.36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0.92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0.92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0.92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10.26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10.26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10.26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8.73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8.73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8.73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2210399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其他城乡社区住宅支出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76.27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72.27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70.83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bookmarkStart w:id="28" w:name="_GoBack"/>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环江毛南族自治县房地产管理所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89.80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bookmarkEnd w:id="28"/>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环江毛南族自治县房地产管理所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303001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环江毛南族自治县房地产管理所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环江毛南族自治县房地产管理所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环江毛南族自治县房地产管理所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环江毛南族自治县房地产管理所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房管所工作经费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环江毛南族自治县房地产管理所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房管所日常工作经费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房管所日常业务经费。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80"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654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488"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654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490"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654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491"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6550"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492"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6551"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93"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655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8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54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8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54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lljrBMaqWFjBMSF5zUYljw==" w:hash="AfpfKQHJD6tCI7QUz37BS/uBjuytixPitFAFG/ps36wttD7Wlte3JFhOLckgCcGVnwMoERSNv2rMFDill49l4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96.16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0.92</c:v>
                </c:pt>
                <c:pt idx="1">
                  <c:v>10.26</c:v>
                </c:pt>
                <c:pt idx="2">
                  <c:v>84.99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89.66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96.16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92.16</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4.0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2.36</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89.81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89.81</c:v>
                </c:pt>
                <c:pt idx="1">
                  <c:v>2.36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2024-03-01T03:59:02Z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E8731993985A4C8C9EC310D21024A9FA_13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2024-03-01T07:39:25Z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E8731993985A4C8C9EC310D21024A9FA_13</vt:lpstr>
  </property>
</Properties>
</file>