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lang w:eastAsia="zh-CN"/>
        </w:rPr>
      </w:pPr>
      <w:bookmarkStart w:id="43" w:name="_GoBack"/>
      <w:bookmarkEnd w:id="43"/>
      <w:r>
        <w:rPr>
          <w:rFonts w:hint="eastAsia"/>
          <w:lang w:eastAsia="zh-CN"/>
        </w:rPr>
        <w:t>环江毛南族自治县征地拆迁办公室</w:t>
      </w:r>
    </w:p>
    <w:p>
      <w:pPr>
        <w:pStyle w:val="10"/>
        <w:jc w:val="center"/>
        <w:sectPr>
          <w:pgSz w:w="11900" w:h="16840"/>
          <w:pgMar w:top="4713" w:right="1913" w:bottom="4713" w:left="2020" w:header="4285" w:footer="4285" w:gutter="0"/>
          <w:pgBorders>
            <w:top w:val="none" w:sz="0" w:space="0"/>
            <w:left w:val="none" w:sz="0" w:space="0"/>
            <w:bottom w:val="none" w:sz="0" w:space="0"/>
            <w:right w:val="none" w:sz="0" w:space="0"/>
          </w:pgBorders>
          <w:pgNumType w:start="1"/>
          <w:cols w:space="720" w:num="1"/>
          <w:docGrid w:linePitch="360" w:charSpace="0"/>
        </w:sectPr>
      </w:pPr>
      <w:r>
        <w:rPr>
          <w:rFonts w:hint="eastAsia"/>
          <w:lang w:eastAsia="zh-CN"/>
        </w:rPr>
        <w:t>2024</w:t>
      </w:r>
      <w:r>
        <w:rPr>
          <w:rFonts w:ascii="Times New Roman" w:hAnsi="Times New Roman" w:eastAsia="Times New Roman" w:cs="Times New Roman"/>
          <w:sz w:val="56"/>
          <w:u w:color="auto"/>
        </w:rPr>
        <w:t>年</w:t>
      </w:r>
      <w:r>
        <w:t>度部门预算</w:t>
      </w:r>
    </w:p>
    <w:p>
      <w:pPr>
        <w:pStyle w:val="12"/>
        <w:keepNext/>
        <w:keepLines/>
        <w:spacing w:after="240"/>
        <w:jc w:val="center"/>
      </w:pPr>
      <w:bookmarkStart w:id="0" w:name="bookmark1"/>
      <w:bookmarkStart w:id="1" w:name="bookmark2"/>
      <w:bookmarkStart w:id="2" w:name="bookmark0"/>
      <w:r>
        <w:t>目录</w:t>
      </w:r>
      <w:bookmarkEnd w:id="0"/>
      <w:bookmarkEnd w:id="1"/>
      <w:bookmarkEnd w:id="2"/>
    </w:p>
    <w:p>
      <w:pPr>
        <w:pStyle w:val="16"/>
        <w:ind w:left="0" w:leftChars="0" w:firstLine="320" w:firstLineChars="100"/>
        <w:jc w:val="left"/>
      </w:pPr>
      <w:r>
        <w:t>第一部分</w:t>
      </w:r>
      <w:r>
        <w:rPr>
          <w:rFonts w:hint="eastAsia"/>
          <w:lang w:eastAsia="zh-CN"/>
        </w:rPr>
        <w:t>：</w:t>
      </w:r>
      <w:r>
        <w:rPr>
          <w:u w:color="auto"/>
        </w:rPr>
        <w:t>环江毛南族自治县征地拆迁办公室单位</w:t>
      </w:r>
      <w:r>
        <w:t>概况</w:t>
      </w:r>
    </w:p>
    <w:p>
      <w:pPr>
        <w:pStyle w:val="16"/>
        <w:jc w:val="left"/>
      </w:pPr>
      <w:r>
        <w:rPr>
          <w:lang w:val="en-US" w:eastAsia="zh-CN" w:bidi="en-US"/>
        </w:rPr>
        <w:t>—</w:t>
      </w:r>
      <w:r>
        <w:t>、主要职责</w:t>
      </w:r>
    </w:p>
    <w:p>
      <w:pPr>
        <w:pStyle w:val="16"/>
        <w:jc w:val="left"/>
        <w:rPr>
          <w:rFonts w:hint="eastAsia"/>
        </w:rPr>
      </w:pPr>
      <w:r>
        <w:rPr>
          <w:rFonts w:hint="eastAsia"/>
          <w:lang w:val="en-US" w:eastAsia="zh-CN"/>
        </w:rPr>
        <w:t>二、</w:t>
      </w:r>
      <w:r>
        <w:rPr>
          <w:rFonts w:hint="eastAsia"/>
        </w:rPr>
        <w:t>机构设置情况</w:t>
      </w:r>
    </w:p>
    <w:p>
      <w:pPr>
        <w:pStyle w:val="16"/>
        <w:ind w:left="0" w:leftChars="0" w:firstLine="320" w:firstLineChars="100"/>
        <w:jc w:val="left"/>
      </w:pPr>
      <w:r>
        <w:t>第二部分</w:t>
      </w:r>
      <w:r>
        <w:rPr>
          <w:rFonts w:hint="eastAsia"/>
          <w:lang w:eastAsia="zh-CN"/>
        </w:rPr>
        <w:t>：</w:t>
      </w:r>
      <w:r>
        <w:rPr>
          <w:u w:color="auto"/>
        </w:rPr>
        <w:t>环江毛南族自治县征地拆迁办公室2024</w:t>
      </w:r>
      <w:r>
        <w:t>部门预算情况说明</w:t>
      </w:r>
    </w:p>
    <w:p>
      <w:pPr>
        <w:pStyle w:val="16"/>
        <w:numPr>
          <w:ilvl w:val="0"/>
          <w:numId w:val="0"/>
        </w:numPr>
        <w:ind w:firstLine="640" w:firstLineChars="200"/>
        <w:jc w:val="left"/>
        <w:rPr>
          <w:rFonts w:hint="eastAsia"/>
        </w:rPr>
      </w:pPr>
      <w:r>
        <w:rPr>
          <w:rFonts w:hint="eastAsia"/>
        </w:rPr>
        <w:t>一、部门收支总体情况说明</w:t>
      </w:r>
    </w:p>
    <w:p>
      <w:pPr>
        <w:pStyle w:val="16"/>
        <w:numPr>
          <w:ilvl w:val="0"/>
          <w:numId w:val="0"/>
        </w:numPr>
        <w:ind w:firstLine="640" w:firstLineChars="200"/>
        <w:jc w:val="left"/>
        <w:rPr>
          <w:rFonts w:hint="eastAsia"/>
        </w:rPr>
      </w:pPr>
      <w:r>
        <w:rPr>
          <w:rFonts w:hint="eastAsia"/>
        </w:rPr>
        <w:t>二、部门收入总体情况说明</w:t>
      </w:r>
    </w:p>
    <w:p>
      <w:pPr>
        <w:pStyle w:val="16"/>
        <w:numPr>
          <w:ilvl w:val="0"/>
          <w:numId w:val="0"/>
        </w:numPr>
        <w:ind w:firstLine="640" w:firstLineChars="200"/>
        <w:jc w:val="left"/>
        <w:rPr>
          <w:rFonts w:hint="eastAsia"/>
        </w:rPr>
      </w:pPr>
      <w:r>
        <w:rPr>
          <w:rFonts w:hint="eastAsia"/>
        </w:rPr>
        <w:t>三、部门支出总体情况说明</w:t>
      </w:r>
    </w:p>
    <w:p>
      <w:pPr>
        <w:pStyle w:val="16"/>
        <w:numPr>
          <w:ilvl w:val="0"/>
          <w:numId w:val="0"/>
        </w:numPr>
        <w:ind w:firstLine="640" w:firstLineChars="200"/>
        <w:jc w:val="left"/>
        <w:rPr>
          <w:rFonts w:hint="eastAsia"/>
        </w:rPr>
      </w:pPr>
      <w:r>
        <w:rPr>
          <w:rFonts w:hint="eastAsia"/>
        </w:rPr>
        <w:t>四、财政拨款收支总体情况说明</w:t>
      </w:r>
    </w:p>
    <w:p>
      <w:pPr>
        <w:pStyle w:val="16"/>
        <w:numPr>
          <w:ilvl w:val="0"/>
          <w:numId w:val="0"/>
        </w:numPr>
        <w:ind w:firstLine="640" w:firstLineChars="200"/>
        <w:jc w:val="left"/>
        <w:rPr>
          <w:rFonts w:hint="eastAsia"/>
        </w:rPr>
      </w:pPr>
      <w:r>
        <w:rPr>
          <w:rFonts w:hint="eastAsia"/>
        </w:rPr>
        <w:t>五、一般公共预算支出情况说明</w:t>
      </w:r>
    </w:p>
    <w:p>
      <w:pPr>
        <w:pStyle w:val="16"/>
        <w:numPr>
          <w:ilvl w:val="0"/>
          <w:numId w:val="0"/>
        </w:numPr>
        <w:ind w:firstLine="640" w:firstLineChars="200"/>
        <w:jc w:val="left"/>
        <w:rPr>
          <w:rFonts w:hint="eastAsia"/>
        </w:rPr>
      </w:pPr>
      <w:r>
        <w:rPr>
          <w:rFonts w:hint="eastAsia"/>
        </w:rPr>
        <w:t>六、一般公共预算基本支出情况说明</w:t>
      </w:r>
    </w:p>
    <w:p>
      <w:pPr>
        <w:pStyle w:val="16"/>
        <w:numPr>
          <w:ilvl w:val="0"/>
          <w:numId w:val="0"/>
        </w:numPr>
        <w:ind w:firstLine="640" w:firstLineChars="200"/>
        <w:jc w:val="left"/>
        <w:rPr>
          <w:rFonts w:hint="eastAsia"/>
        </w:rPr>
      </w:pPr>
      <w:r>
        <w:rPr>
          <w:rFonts w:hint="eastAsia"/>
        </w:rPr>
        <w:t>七、一般公共预算“三公”经费支出情况说明</w:t>
      </w:r>
    </w:p>
    <w:p>
      <w:pPr>
        <w:pStyle w:val="16"/>
        <w:numPr>
          <w:ilvl w:val="0"/>
          <w:numId w:val="0"/>
        </w:numPr>
        <w:ind w:firstLine="640" w:firstLineChars="200"/>
        <w:jc w:val="left"/>
        <w:rPr>
          <w:rFonts w:hint="eastAsia"/>
        </w:rPr>
      </w:pPr>
      <w:r>
        <w:rPr>
          <w:rFonts w:hint="eastAsia"/>
        </w:rPr>
        <w:t>八、政府性基金预算支出情况说明</w:t>
      </w:r>
    </w:p>
    <w:p>
      <w:pPr>
        <w:pStyle w:val="16"/>
        <w:numPr>
          <w:ilvl w:val="0"/>
          <w:numId w:val="0"/>
        </w:numPr>
        <w:ind w:firstLine="640" w:firstLineChars="200"/>
        <w:jc w:val="left"/>
        <w:rPr>
          <w:rFonts w:hint="eastAsia"/>
        </w:rPr>
      </w:pPr>
      <w:r>
        <w:rPr>
          <w:rFonts w:hint="eastAsia"/>
        </w:rPr>
        <w:t>九、国有资本经营预算支出情况说明</w:t>
      </w:r>
    </w:p>
    <w:p>
      <w:pPr>
        <w:pStyle w:val="16"/>
        <w:numPr>
          <w:ilvl w:val="0"/>
          <w:numId w:val="0"/>
        </w:numPr>
        <w:ind w:firstLine="640" w:firstLineChars="200"/>
        <w:jc w:val="left"/>
      </w:pPr>
      <w:r>
        <w:rPr>
          <w:rFonts w:hint="eastAsia"/>
        </w:rPr>
        <w:t>十、其他重要事项情况说明</w:t>
      </w:r>
    </w:p>
    <w:p>
      <w:pPr>
        <w:pStyle w:val="16"/>
        <w:ind w:left="0" w:leftChars="0" w:firstLine="320" w:firstLineChars="100"/>
        <w:jc w:val="left"/>
      </w:pPr>
      <w:r>
        <w:t>第三部分</w:t>
      </w:r>
      <w:r>
        <w:rPr>
          <w:rFonts w:hint="eastAsia"/>
          <w:lang w:eastAsia="zh-CN"/>
        </w:rPr>
        <w:t>：</w:t>
      </w:r>
      <w:r>
        <w:rPr>
          <w:u w:color="auto"/>
        </w:rPr>
        <w:t>环江毛南族自治县征地拆迁办公室2024</w:t>
      </w:r>
      <w:r>
        <w:rPr>
          <w:rFonts w:ascii="Times New Roman" w:hAnsi="Times New Roman" w:cs="Times New Roman"/>
          <w:u w:color="auto"/>
        </w:rPr>
        <w:t>年</w:t>
      </w:r>
      <w:r>
        <w:t>部门预算</w:t>
      </w:r>
      <w:r>
        <w:rPr>
          <w:rFonts w:hint="eastAsia"/>
          <w:lang w:val="en-US" w:eastAsia="zh-CN"/>
        </w:rPr>
        <w:t>相关报</w:t>
      </w:r>
      <w:r>
        <w:t>表</w:t>
      </w:r>
    </w:p>
    <w:p>
      <w:pPr>
        <w:pStyle w:val="16"/>
        <w:jc w:val="left"/>
        <w:rPr>
          <w:rFonts w:hint="eastAsia"/>
        </w:rPr>
      </w:pPr>
      <w:r>
        <w:rPr>
          <w:rFonts w:hint="eastAsia"/>
        </w:rPr>
        <w:t>一、部门收支总体情况表</w:t>
      </w:r>
    </w:p>
    <w:p>
      <w:pPr>
        <w:pStyle w:val="16"/>
        <w:jc w:val="left"/>
        <w:rPr>
          <w:rFonts w:hint="eastAsia"/>
        </w:rPr>
      </w:pPr>
      <w:r>
        <w:rPr>
          <w:rFonts w:hint="eastAsia"/>
        </w:rPr>
        <w:t>二、部门收入总体情况表</w:t>
      </w:r>
    </w:p>
    <w:p>
      <w:pPr>
        <w:pStyle w:val="16"/>
        <w:jc w:val="left"/>
        <w:rPr>
          <w:rFonts w:hint="eastAsia"/>
        </w:rPr>
      </w:pPr>
      <w:r>
        <w:rPr>
          <w:rFonts w:hint="eastAsia"/>
        </w:rPr>
        <w:t>三、部门支出总体情况表</w:t>
      </w:r>
    </w:p>
    <w:p>
      <w:pPr>
        <w:pStyle w:val="16"/>
        <w:jc w:val="left"/>
        <w:rPr>
          <w:rFonts w:hint="eastAsia"/>
        </w:rPr>
      </w:pPr>
      <w:r>
        <w:rPr>
          <w:rFonts w:hint="eastAsia"/>
        </w:rPr>
        <w:t>四、财政拨款收支总体情况表</w:t>
      </w:r>
    </w:p>
    <w:p>
      <w:pPr>
        <w:pStyle w:val="16"/>
        <w:jc w:val="left"/>
        <w:rPr>
          <w:rFonts w:hint="eastAsia"/>
        </w:rPr>
      </w:pPr>
      <w:r>
        <w:rPr>
          <w:rFonts w:hint="eastAsia"/>
        </w:rPr>
        <w:t>五、一般公共预算支出情况表</w:t>
      </w:r>
    </w:p>
    <w:p>
      <w:pPr>
        <w:pStyle w:val="16"/>
        <w:jc w:val="left"/>
        <w:rPr>
          <w:rFonts w:hint="eastAsia"/>
        </w:rPr>
      </w:pPr>
      <w:r>
        <w:rPr>
          <w:rFonts w:hint="eastAsia"/>
        </w:rPr>
        <w:t>六、一般公共预算基本支出情况表</w:t>
      </w:r>
    </w:p>
    <w:p>
      <w:pPr>
        <w:pStyle w:val="16"/>
        <w:jc w:val="left"/>
        <w:rPr>
          <w:rFonts w:hint="eastAsia"/>
        </w:rPr>
      </w:pPr>
      <w:r>
        <w:rPr>
          <w:rFonts w:hint="eastAsia"/>
        </w:rPr>
        <w:t>七、一般公开预算“三公”经费支出情况表</w:t>
      </w:r>
    </w:p>
    <w:p>
      <w:pPr>
        <w:pStyle w:val="16"/>
        <w:jc w:val="left"/>
        <w:rPr>
          <w:rFonts w:hint="eastAsia"/>
        </w:rPr>
      </w:pPr>
      <w:r>
        <w:rPr>
          <w:rFonts w:hint="eastAsia"/>
        </w:rPr>
        <w:t>八、政府性基金预算支出情况表</w:t>
      </w:r>
    </w:p>
    <w:p>
      <w:pPr>
        <w:pStyle w:val="16"/>
        <w:jc w:val="left"/>
        <w:rPr>
          <w:rFonts w:hint="eastAsia"/>
        </w:rPr>
      </w:pPr>
      <w:r>
        <w:rPr>
          <w:rFonts w:hint="eastAsia"/>
        </w:rPr>
        <w:t>九、国有资本经营预算支出情况表</w:t>
      </w:r>
    </w:p>
    <w:p>
      <w:pPr>
        <w:pStyle w:val="16"/>
        <w:jc w:val="left"/>
        <w:rPr>
          <w:rFonts w:hint="eastAsia" w:eastAsia="宋体"/>
          <w:lang w:eastAsia="zh-CN"/>
        </w:rPr>
      </w:pPr>
      <w:r>
        <w:rPr>
          <w:rFonts w:hint="eastAsia"/>
        </w:rPr>
        <w:t>十、2024年度预算项目绩效目标公开表</w:t>
      </w:r>
    </w:p>
    <w:p>
      <w:pPr>
        <w:pStyle w:val="16"/>
        <w:ind w:left="0" w:leftChars="0" w:firstLine="320" w:firstLineChars="100"/>
        <w:jc w:val="left"/>
        <w:rPr>
          <w:rFonts w:hint="eastAsia" w:eastAsia="宋体"/>
          <w:lang w:eastAsia="zh-CN"/>
        </w:rPr>
        <w:sectPr>
          <w:footerReference r:id="rId3" w:type="default"/>
          <w:pgSz w:w="11900" w:h="16840"/>
          <w:pgMar w:top="1508" w:right="1674" w:bottom="1508" w:left="1851" w:header="1080" w:footer="3" w:gutter="0"/>
          <w:pgBorders>
            <w:top w:val="none" w:sz="0" w:space="0"/>
            <w:left w:val="none" w:sz="0" w:space="0"/>
            <w:bottom w:val="none" w:sz="0" w:space="0"/>
            <w:right w:val="none" w:sz="0" w:space="0"/>
          </w:pgBorders>
          <w:cols w:space="720" w:num="1"/>
          <w:docGrid w:linePitch="360" w:charSpace="0"/>
        </w:sectPr>
      </w:pPr>
      <w:r>
        <w:t>第四部分</w:t>
      </w:r>
      <w:r>
        <w:rPr>
          <w:rFonts w:hint="eastAsia"/>
          <w:lang w:eastAsia="zh-CN"/>
        </w:rPr>
        <w:t>：</w:t>
      </w:r>
      <w:r>
        <w:t>名词</w:t>
      </w:r>
      <w:r>
        <w:rPr>
          <w:rFonts w:hint="eastAsia"/>
          <w:lang w:val="en-US" w:eastAsia="zh-CN"/>
        </w:rPr>
        <w:t>解释</w:t>
      </w:r>
    </w:p>
    <w:p>
      <w:pPr>
        <w:pStyle w:val="12"/>
        <w:keepNext/>
        <w:keepLines/>
        <w:spacing w:after="560"/>
        <w:jc w:val="both"/>
      </w:pPr>
      <w:bookmarkStart w:id="3" w:name="bookmark13"/>
      <w:bookmarkStart w:id="4" w:name="bookmark14"/>
      <w:bookmarkStart w:id="5" w:name="bookmark12"/>
    </w:p>
    <w:p>
      <w:pPr>
        <w:pStyle w:val="12"/>
        <w:keepNext/>
        <w:keepLines/>
        <w:spacing w:after="560"/>
        <w:jc w:val="center"/>
        <w:rPr>
          <w:b/>
          <w:bCs/>
        </w:rPr>
      </w:pPr>
      <w:r>
        <w:rPr>
          <w:b/>
          <w:bCs/>
        </w:rPr>
        <w:t>第一部分</w:t>
      </w:r>
      <w:r>
        <w:rPr>
          <w:rFonts w:hint="eastAsia"/>
          <w:b/>
          <w:bCs/>
          <w:lang w:eastAsia="zh-CN"/>
        </w:rPr>
        <w:t>：</w:t>
      </w:r>
      <w:r>
        <w:rPr>
          <w:b/>
          <w:u w:color="auto"/>
        </w:rPr>
        <w:t>环江毛南族自治县征地拆迁办公室</w:t>
      </w:r>
      <w:r>
        <w:rPr>
          <w:b/>
          <w:bCs/>
        </w:rPr>
        <w:t>概况</w:t>
      </w:r>
      <w:bookmarkEnd w:id="3"/>
      <w:bookmarkEnd w:id="4"/>
      <w:bookmarkEnd w:id="5"/>
    </w:p>
    <w:p>
      <w:pPr>
        <w:pStyle w:val="16"/>
        <w:spacing w:after="0" w:line="619" w:lineRule="exact"/>
        <w:ind w:firstLine="620"/>
        <w:jc w:val="left"/>
        <w:rPr>
          <w:b/>
          <w:bCs/>
        </w:rPr>
      </w:pPr>
      <w:r>
        <w:rPr>
          <w:rFonts w:hint="eastAsia"/>
          <w:b/>
          <w:bCs/>
          <w:lang w:val="en-US" w:eastAsia="zh-CN"/>
        </w:rPr>
        <w:t>一、</w:t>
      </w:r>
      <w:r>
        <w:rPr>
          <w:b/>
          <w:bCs/>
        </w:rPr>
        <w:t>主要职责</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环江毛南族自治县征地拆迁工作办公室的主要职能是：负责县城区内房屋拆迁管理，贯彻落实国家、省、市拆迁管理法律、法规。宣传执行市区、开发区房屋拆迁管理办法。负责拆迁安置资金和安置房工程建设资金的监督、管理、审批、发放工作。做好项目的统计、汇总工作，报财政局审核。建立拆迁档案制度，严格做好档案的管理工作。协助做好拆迁安置房建设工作，办理安置房建设的相关手续，提供安置房建设规划设计条件。</w:t>
      </w:r>
    </w:p>
    <w:p>
      <w:pPr>
        <w:pStyle w:val="16"/>
        <w:tabs>
          <w:tab w:val="left" w:pos="1369"/>
        </w:tabs>
        <w:spacing w:after="0" w:line="623" w:lineRule="exact"/>
        <w:ind w:firstLine="620"/>
        <w:jc w:val="left"/>
        <w:rPr>
          <w:b/>
          <w:bCs/>
        </w:rPr>
      </w:pPr>
      <w:bookmarkStart w:id="6" w:name="bookmark24"/>
      <w:r>
        <w:rPr>
          <w:b/>
          <w:bCs/>
        </w:rPr>
        <w:t>二</w:t>
      </w:r>
      <w:bookmarkEnd w:id="6"/>
      <w:r>
        <w:rPr>
          <w:b/>
          <w:bCs/>
        </w:rPr>
        <w:t>、</w:t>
      </w:r>
      <w:r>
        <w:rPr>
          <w:b/>
          <w:bCs/>
        </w:rPr>
        <w:tab/>
      </w:r>
      <w:r>
        <w:rPr>
          <w:rFonts w:hint="eastAsia"/>
          <w:b/>
          <w:bCs/>
        </w:rPr>
        <w:t>机构设置情况</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根据职责，设9个职能股室，具体为：环江县征地拆迁工作办公室是自治县临时机构、人员从县直各单位和各乡镇政府抽调及聘用人员组合，有行政编、事业编、工人编组成；设有征地办证大厅、财务室、办公室、档案室、征地股、安置规划办、安置项目建设办、基建项目办、征地社保办。</w:t>
      </w:r>
    </w:p>
    <w:p>
      <w:pPr>
        <w:pStyle w:val="18"/>
        <w:spacing w:line="623" w:lineRule="exact"/>
        <w:ind w:firstLine="1018" w:firstLineChars="0"/>
        <w:jc w:val="left"/>
        <w:rPr>
          <w:rFonts w:hint="eastAsia"/>
          <w:highlight w:val="none"/>
          <w:lang w:val="en-US" w:eastAsia="zh-CN"/>
        </w:rPr>
      </w:pPr>
    </w:p>
    <w:p>
      <w:pPr>
        <w:pStyle w:val="18"/>
        <w:spacing w:line="623" w:lineRule="exact"/>
        <w:ind w:firstLine="1018" w:firstLineChars="0"/>
        <w:jc w:val="left"/>
        <w:rPr>
          <w:rFonts w:hint="eastAsia"/>
          <w:highlight w:val="none"/>
          <w:lang w:val="en-US" w:eastAsia="zh-CN"/>
        </w:rPr>
      </w:pPr>
    </w:p>
    <w:p>
      <w:r>
        <w:br w:type="page"/>
      </w:r>
    </w:p>
    <w:p>
      <w:pPr>
        <w:pStyle w:val="12"/>
        <w:keepNext/>
        <w:keepLines/>
        <w:spacing w:before="120" w:after="0" w:line="629" w:lineRule="exact"/>
        <w:jc w:val="center"/>
        <w:rPr>
          <w:b/>
          <w:bCs/>
        </w:rPr>
      </w:pPr>
      <w:bookmarkStart w:id="7" w:name="bookmark70"/>
      <w:bookmarkStart w:id="8" w:name="bookmark68"/>
      <w:bookmarkStart w:id="9" w:name="bookmark69"/>
      <w:bookmarkStart w:id="10" w:name="bookmark27"/>
      <w:bookmarkStart w:id="11" w:name="bookmark26"/>
      <w:bookmarkStart w:id="12" w:name="bookmark28"/>
      <w:r>
        <w:rPr>
          <w:b/>
          <w:bCs/>
        </w:rPr>
        <w:t>第</w:t>
      </w:r>
      <w:r>
        <w:rPr>
          <w:rFonts w:hint="eastAsia"/>
          <w:b/>
          <w:bCs/>
          <w:lang w:val="en-US" w:eastAsia="zh-CN"/>
        </w:rPr>
        <w:t>二</w:t>
      </w:r>
      <w:r>
        <w:rPr>
          <w:b/>
          <w:bCs/>
        </w:rPr>
        <w:t>部分</w:t>
      </w:r>
      <w:r>
        <w:rPr>
          <w:rFonts w:hint="eastAsia"/>
          <w:b/>
          <w:bCs/>
          <w:lang w:eastAsia="zh-CN"/>
        </w:rPr>
        <w:t>：</w:t>
      </w:r>
      <w:bookmarkEnd w:id="7"/>
      <w:bookmarkEnd w:id="8"/>
      <w:bookmarkEnd w:id="9"/>
      <w:r>
        <w:rPr>
          <w:rFonts w:hint="eastAsia"/>
          <w:b/>
          <w:bCs/>
          <w:lang w:eastAsia="zh-CN"/>
        </w:rPr>
        <w:t>环江毛南族自治县征地拆迁办公室</w:t>
      </w:r>
      <w:r>
        <w:rPr>
          <w:b/>
          <w:u w:color="auto"/>
        </w:rPr>
        <w:t>2024年部门预算情况说明</w:t>
      </w:r>
    </w:p>
    <w:p>
      <w:pPr>
        <w:pStyle w:val="16"/>
        <w:tabs>
          <w:tab w:val="left" w:pos="1235"/>
        </w:tabs>
        <w:spacing w:after="0" w:line="624" w:lineRule="exact"/>
        <w:ind w:firstLine="580"/>
        <w:jc w:val="left"/>
        <w:rPr>
          <w:b/>
          <w:bCs/>
        </w:rPr>
      </w:pPr>
      <w:bookmarkStart w:id="13" w:name="bookmark71"/>
      <w:r>
        <w:rPr>
          <w:b/>
          <w:bCs/>
        </w:rPr>
        <w:t>一</w:t>
      </w:r>
      <w:bookmarkEnd w:id="13"/>
      <w:r>
        <w:rPr>
          <w:b/>
          <w:bCs/>
        </w:rPr>
        <w:t>、</w:t>
      </w:r>
      <w:r>
        <w:rPr>
          <w:b/>
          <w:bCs/>
        </w:rPr>
        <w:tab/>
      </w:r>
      <w:r>
        <w:rPr>
          <w:b/>
          <w:bCs/>
        </w:rPr>
        <w:t>部门预算收支总体情况说明</w:t>
      </w:r>
    </w:p>
    <w:p>
      <w:pPr>
        <w:pStyle w:val="18"/>
        <w:spacing w:line="623" w:lineRule="exact"/>
        <w:ind w:left="0" w:leftChars="0" w:firstLine="560" w:firstLineChars="200"/>
        <w:jc w:val="left"/>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7851.42</w:t>
      </w:r>
      <w:r>
        <w:rPr>
          <w:rFonts w:hint="eastAsia"/>
          <w:b w:val="0"/>
          <w:bCs w:val="0"/>
          <w:sz w:val="28"/>
          <w:szCs w:val="28"/>
        </w:rPr>
        <w:t>万元，总支出</w:t>
      </w:r>
      <w:r>
        <w:rPr>
          <w:rFonts w:hint="eastAsia"/>
          <w:sz w:val="28"/>
          <w:szCs w:val="28"/>
          <w:lang w:val="en-US" w:eastAsia="zh-CN"/>
        </w:rPr>
        <w:t>7851.42</w:t>
      </w:r>
      <w:r>
        <w:rPr>
          <w:rFonts w:hint="eastAsia"/>
          <w:b w:val="0"/>
          <w:bCs w:val="0"/>
          <w:sz w:val="28"/>
          <w:szCs w:val="28"/>
        </w:rPr>
        <w:t>万元。总收入较2023年度预算数</w:t>
      </w:r>
      <w:r>
        <w:rPr>
          <w:rFonts w:hint="eastAsia"/>
          <w:sz w:val="28"/>
          <w:szCs w:val="28"/>
          <w:lang w:val="en-US" w:eastAsia="zh-CN"/>
        </w:rPr>
        <w:t>11980.00</w:t>
      </w:r>
      <w:r>
        <w:rPr>
          <w:rFonts w:hint="eastAsia"/>
          <w:b w:val="0"/>
          <w:bCs w:val="0"/>
          <w:sz w:val="28"/>
          <w:szCs w:val="28"/>
        </w:rPr>
        <w:t>万元，</w:t>
      </w:r>
      <w:r>
        <w:rPr>
          <w:rFonts w:hint="eastAsia"/>
          <w:sz w:val="28"/>
          <w:szCs w:val="28"/>
        </w:rPr>
        <w:t>减少4128.58</w:t>
      </w:r>
      <w:r>
        <w:rPr>
          <w:rFonts w:hint="eastAsia"/>
          <w:b w:val="0"/>
          <w:bCs w:val="0"/>
          <w:sz w:val="28"/>
          <w:szCs w:val="28"/>
        </w:rPr>
        <w:t>万元，</w:t>
      </w:r>
      <w:r>
        <w:rPr>
          <w:rFonts w:hint="eastAsia"/>
          <w:sz w:val="28"/>
          <w:szCs w:val="28"/>
        </w:rPr>
        <w:t>下降34.46%</w:t>
      </w:r>
      <w:r>
        <w:rPr>
          <w:rFonts w:hint="eastAsia"/>
          <w:b w:val="0"/>
          <w:bCs w:val="0"/>
          <w:sz w:val="28"/>
          <w:szCs w:val="28"/>
        </w:rPr>
        <w:t>，主要原因是</w:t>
      </w:r>
      <w:r>
        <w:rPr>
          <w:rFonts w:hint="eastAsia"/>
          <w:highlight w:val="none"/>
          <w:lang w:val="en-US" w:eastAsia="zh-CN"/>
        </w:rPr>
        <w:t>压减一般性支出和非急需、非刚性支出，即削减那些不是经常必要的或短期内无法实现的经费。</w:t>
      </w:r>
      <w:r>
        <w:rPr>
          <w:rFonts w:hint="eastAsia"/>
          <w:b w:val="0"/>
          <w:bCs w:val="0"/>
          <w:sz w:val="28"/>
          <w:szCs w:val="28"/>
        </w:rPr>
        <w:t>。总支出较2023年度预算数</w:t>
      </w:r>
      <w:r>
        <w:rPr>
          <w:rFonts w:hint="eastAsia"/>
          <w:sz w:val="28"/>
          <w:szCs w:val="28"/>
          <w:lang w:val="en-US" w:eastAsia="zh-CN"/>
        </w:rPr>
        <w:t>11980.00</w:t>
      </w:r>
      <w:r>
        <w:rPr>
          <w:rFonts w:hint="eastAsia"/>
          <w:b w:val="0"/>
          <w:bCs w:val="0"/>
          <w:sz w:val="28"/>
          <w:szCs w:val="28"/>
        </w:rPr>
        <w:t>万元，</w:t>
      </w:r>
      <w:r>
        <w:rPr>
          <w:rFonts w:hint="eastAsia"/>
          <w:sz w:val="28"/>
          <w:szCs w:val="28"/>
        </w:rPr>
        <w:t>减少4128.58</w:t>
      </w:r>
      <w:r>
        <w:rPr>
          <w:rFonts w:hint="eastAsia"/>
          <w:b w:val="0"/>
          <w:bCs w:val="0"/>
          <w:sz w:val="28"/>
          <w:szCs w:val="28"/>
        </w:rPr>
        <w:t>万元，</w:t>
      </w:r>
      <w:r>
        <w:rPr>
          <w:rFonts w:hint="eastAsia"/>
          <w:sz w:val="28"/>
          <w:szCs w:val="28"/>
        </w:rPr>
        <w:t>下降34.46%</w:t>
      </w:r>
      <w:r>
        <w:rPr>
          <w:rFonts w:hint="eastAsia"/>
          <w:b w:val="0"/>
          <w:bCs w:val="0"/>
          <w:sz w:val="28"/>
          <w:szCs w:val="28"/>
        </w:rPr>
        <w:t>，主要原因是</w:t>
      </w:r>
      <w:r>
        <w:rPr>
          <w:rFonts w:hint="eastAsia"/>
          <w:highlight w:val="none"/>
          <w:lang w:val="en-US" w:eastAsia="zh-CN"/>
        </w:rPr>
        <w:t>压减一般性支出和非急需、非刚性支出。全县土地出让金收入减少</w:t>
      </w:r>
      <w:r>
        <w:rPr>
          <w:rFonts w:hint="eastAsia"/>
          <w:b w:val="0"/>
          <w:bCs w:val="0"/>
          <w:sz w:val="28"/>
          <w:szCs w:val="28"/>
        </w:rPr>
        <w:t>。</w:t>
      </w:r>
    </w:p>
    <w:p>
      <w:pPr>
        <w:pStyle w:val="16"/>
        <w:tabs>
          <w:tab w:val="left" w:pos="1235"/>
        </w:tabs>
        <w:spacing w:after="0" w:line="624" w:lineRule="exact"/>
        <w:ind w:firstLine="580"/>
        <w:jc w:val="left"/>
        <w:rPr>
          <w:b/>
          <w:bCs/>
          <w:lang w:val="en-US" w:eastAsia="zh-CN"/>
        </w:rPr>
      </w:pPr>
      <w:r>
        <w:rPr>
          <w:rFonts w:hint="eastAsia"/>
          <w:b/>
          <w:bCs/>
          <w:lang w:val="en-US" w:eastAsia="zh-CN"/>
        </w:rPr>
        <w:t>二、</w:t>
      </w:r>
      <w:r>
        <w:rPr>
          <w:b/>
          <w:bCs/>
        </w:rPr>
        <w:t>部门收入总体情况说明</w:t>
      </w:r>
    </w:p>
    <w:p>
      <w:pPr>
        <w:pStyle w:val="18"/>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384"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7851.42</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11980.00</w:t>
      </w:r>
      <w:r>
        <w:rPr>
          <w:rFonts w:hint="eastAsia" w:ascii="宋体" w:hAnsi="宋体" w:eastAsia="宋体" w:cs="宋体"/>
          <w:sz w:val="28"/>
          <w:szCs w:val="28"/>
          <w:u w:color="auto"/>
        </w:rPr>
        <w:t>万元，</w:t>
      </w:r>
      <w:r>
        <w:rPr>
          <w:rFonts w:hint="eastAsia" w:ascii="宋体" w:hAnsi="宋体" w:eastAsia="宋体" w:cs="宋体"/>
          <w:sz w:val="28"/>
          <w:szCs w:val="28"/>
        </w:rPr>
        <w:t>减少4128.58</w:t>
      </w:r>
      <w:r>
        <w:rPr>
          <w:rFonts w:hint="eastAsia" w:ascii="宋体" w:hAnsi="宋体" w:eastAsia="宋体" w:cs="宋体"/>
          <w:sz w:val="28"/>
          <w:szCs w:val="28"/>
          <w:u w:color="auto"/>
        </w:rPr>
        <w:t>万元，</w:t>
      </w:r>
      <w:r>
        <w:rPr>
          <w:rFonts w:hint="eastAsia" w:ascii="宋体" w:hAnsi="宋体" w:eastAsia="宋体" w:cs="宋体"/>
          <w:sz w:val="28"/>
          <w:szCs w:val="28"/>
        </w:rPr>
        <w:t>下降34.46%</w:t>
      </w:r>
      <w:r>
        <w:rPr>
          <w:rFonts w:hint="eastAsia" w:ascii="宋体" w:hAnsi="宋体" w:eastAsia="宋体" w:cs="宋体"/>
          <w:sz w:val="28"/>
          <w:szCs w:val="28"/>
          <w:u w:color="auto"/>
        </w:rPr>
        <w:t>，主要原因是</w:t>
      </w:r>
      <w:r>
        <w:rPr>
          <w:rFonts w:hint="eastAsia"/>
          <w:highlight w:val="none"/>
          <w:lang w:val="en-US" w:eastAsia="zh-CN"/>
        </w:rPr>
        <w:t>经济周期和疫情：财政收入下滑是经济周期所致，疫情只是加速了财政收入下滑的程度</w:t>
      </w:r>
      <w:r>
        <w:rPr>
          <w:rFonts w:hint="eastAsia" w:ascii="宋体" w:hAnsi="宋体" w:eastAsia="宋体" w:cs="宋体"/>
          <w:sz w:val="28"/>
          <w:szCs w:val="28"/>
          <w:u w:color="auto"/>
        </w:rPr>
        <w:t>。</w:t>
      </w:r>
    </w:p>
    <w:p>
      <w:pPr>
        <w:pStyle w:val="16"/>
        <w:tabs>
          <w:tab w:val="left" w:pos="1235"/>
        </w:tabs>
        <w:spacing w:after="0" w:line="624" w:lineRule="exact"/>
        <w:ind w:firstLine="580"/>
        <w:jc w:val="left"/>
        <w:rPr>
          <w:b/>
          <w:bCs/>
        </w:rPr>
      </w:pPr>
      <w:r>
        <w:rPr>
          <w:rFonts w:hint="eastAsia"/>
          <w:b/>
          <w:bCs/>
          <w:lang w:val="en-US" w:eastAsia="zh-CN"/>
        </w:rPr>
        <w:t>三、</w:t>
      </w:r>
      <w:r>
        <w:rPr>
          <w:b/>
          <w:bCs/>
        </w:rPr>
        <w:t>部门支出总体情况说明</w:t>
      </w:r>
    </w:p>
    <w:p>
      <w:pPr>
        <w:pStyle w:val="18"/>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20955" b="14605"/>
            <wp:docPr id="385"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18"/>
        <w:spacing w:line="623" w:lineRule="exact"/>
        <w:ind w:left="0" w:leftChars="0" w:firstLine="560" w:firstLineChars="200"/>
        <w:jc w:val="left"/>
        <w:rPr>
          <w:rFonts w:hint="eastAsia" w:ascii="Times New Roman" w:hAnsi="Times New Roman" w:cs="Times New Roman"/>
          <w:sz w:val="30"/>
          <w:szCs w:val="30"/>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7851.42</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11980.00</w:t>
      </w:r>
      <w:r>
        <w:rPr>
          <w:rFonts w:hint="eastAsia" w:ascii="宋体" w:hAnsi="宋体" w:eastAsia="宋体" w:cs="宋体"/>
          <w:sz w:val="28"/>
          <w:szCs w:val="28"/>
          <w:lang w:eastAsia="zh-CN"/>
        </w:rPr>
        <w:t>万元，</w:t>
      </w:r>
      <w:r>
        <w:rPr>
          <w:rFonts w:hint="eastAsia" w:ascii="宋体" w:hAnsi="宋体" w:eastAsia="宋体" w:cs="宋体"/>
          <w:sz w:val="28"/>
          <w:szCs w:val="28"/>
        </w:rPr>
        <w:t>减少4128.58</w:t>
      </w:r>
      <w:r>
        <w:rPr>
          <w:rFonts w:hint="eastAsia" w:ascii="宋体" w:hAnsi="宋体" w:eastAsia="宋体" w:cs="宋体"/>
          <w:sz w:val="28"/>
          <w:szCs w:val="28"/>
          <w:lang w:eastAsia="zh-CN"/>
        </w:rPr>
        <w:t>万元，</w:t>
      </w:r>
      <w:r>
        <w:rPr>
          <w:rFonts w:hint="eastAsia" w:ascii="宋体" w:hAnsi="宋体" w:eastAsia="宋体" w:cs="宋体"/>
          <w:sz w:val="28"/>
          <w:szCs w:val="28"/>
        </w:rPr>
        <w:t>下降34.46%</w:t>
      </w:r>
      <w:r>
        <w:rPr>
          <w:rFonts w:hint="eastAsia" w:ascii="宋体" w:hAnsi="宋体" w:eastAsia="宋体" w:cs="宋体"/>
          <w:sz w:val="28"/>
          <w:szCs w:val="28"/>
          <w:lang w:eastAsia="zh-CN"/>
        </w:rPr>
        <w:t>，主要原因是</w:t>
      </w:r>
      <w:r>
        <w:rPr>
          <w:rFonts w:hint="eastAsia"/>
          <w:highlight w:val="none"/>
          <w:lang w:val="en-US" w:eastAsia="zh-CN"/>
        </w:rPr>
        <w:t>经济形势下降,收入水平降低，,政府财政收入减少。</w:t>
      </w:r>
      <w:r>
        <w:rPr>
          <w:rFonts w:hint="eastAsia" w:ascii="Times New Roman" w:hAnsi="Times New Roman" w:cs="Times New Roman"/>
          <w:sz w:val="30"/>
          <w:szCs w:val="30"/>
          <w:lang w:eastAsia="zh-CN"/>
        </w:rPr>
        <w:t>。主要包括：</w:t>
      </w:r>
      <w:r>
        <w:rPr>
          <w:rFonts w:hint="eastAsia"/>
          <w:highlight w:val="none"/>
          <w:lang w:val="en-US" w:eastAsia="zh-CN"/>
        </w:rPr>
        <w:t>部门项目支出减少，土地出让金收入减少，支出相应的减少</w:t>
      </w:r>
      <w:r>
        <w:rPr>
          <w:rFonts w:hint="eastAsia" w:ascii="Times New Roman" w:hAnsi="Times New Roman" w:cs="Times New Roman"/>
          <w:sz w:val="30"/>
          <w:szCs w:val="30"/>
          <w:lang w:eastAsia="zh-CN"/>
        </w:rPr>
        <w:t>。</w:t>
      </w:r>
    </w:p>
    <w:p>
      <w:pPr>
        <w:pStyle w:val="18"/>
        <w:spacing w:after="140" w:line="240" w:lineRule="auto"/>
        <w:ind w:firstLine="0"/>
        <w:jc w:val="left"/>
      </w:pPr>
      <w:r>
        <w:t>（一）按支出功能分类科目划分，共分为</w:t>
      </w:r>
      <w:r>
        <w:rPr>
          <w:rFonts w:hint="eastAsia"/>
          <w:lang w:val="en-US" w:eastAsia="zh-CN"/>
        </w:rPr>
        <w:t>2</w:t>
      </w:r>
      <w:r>
        <w:t>类，其中:</w:t>
      </w:r>
    </w:p>
    <w:p>
      <w:pPr>
        <w:pStyle w:val="18"/>
        <w:spacing w:line="623" w:lineRule="exact"/>
        <w:ind w:left="0" w:leftChars="0" w:firstLine="560" w:firstLineChars="200"/>
        <w:jc w:val="left"/>
        <w:rPr>
          <w:rFonts w:hint="eastAsia"/>
        </w:rPr>
      </w:pPr>
      <w:r>
        <w:rPr>
          <w:rFonts w:hint="eastAsia"/>
        </w:rPr>
        <w:t>(</w:t>
      </w:r>
      <w:r>
        <w:rPr>
          <w:u w:color="auto"/>
        </w:rPr>
        <w:t>1)城乡社区支出</w:t>
      </w:r>
      <w:r>
        <w:rPr>
          <w:rFonts w:hint="eastAsia"/>
          <w:lang w:val="en-US" w:eastAsia="zh-CN"/>
        </w:rPr>
        <w:t>7788.65</w:t>
      </w:r>
      <w:r>
        <w:rPr>
          <w:rFonts w:hint="eastAsia"/>
        </w:rPr>
        <w:t>万元，占支出总预算</w:t>
      </w:r>
      <w:r>
        <w:rPr>
          <w:rFonts w:hint="eastAsia"/>
          <w:lang w:val="en-US" w:eastAsia="zh-CN"/>
        </w:rPr>
        <w:t>99.20%</w:t>
      </w:r>
      <w:r>
        <w:rPr>
          <w:rFonts w:hint="eastAsia"/>
        </w:rPr>
        <w:t>,比上年</w:t>
      </w:r>
      <w:r>
        <w:rPr>
          <w:rFonts w:hint="eastAsia"/>
          <w:lang w:val="en-US" w:eastAsia="zh-CN"/>
        </w:rPr>
        <w:t>减少4191.35</w:t>
      </w:r>
      <w:r>
        <w:rPr>
          <w:rFonts w:hint="eastAsia"/>
        </w:rPr>
        <w:t>万元，</w:t>
      </w:r>
      <w:r>
        <w:rPr>
          <w:rFonts w:hint="eastAsia"/>
          <w:lang w:val="en-US" w:eastAsia="zh-CN"/>
        </w:rPr>
        <w:t>减少34.99%</w:t>
      </w:r>
      <w:r>
        <w:rPr>
          <w:rFonts w:hint="eastAsia"/>
        </w:rPr>
        <w:t>,</w:t>
      </w:r>
      <w:r>
        <w:rPr>
          <w:rFonts w:hint="eastAsia"/>
          <w:highlight w:val="none"/>
        </w:rPr>
        <w:t>主要原因是：</w:t>
      </w:r>
      <w:r>
        <w:rPr>
          <w:rFonts w:hint="eastAsia"/>
          <w:highlight w:val="none"/>
          <w:lang w:val="en-US" w:eastAsia="zh-CN"/>
        </w:rPr>
        <w:t>全县土地出让业务收入减少，部门城乡社区相应减少</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2)自然资源海洋气象等支出</w:t>
      </w:r>
      <w:r>
        <w:rPr>
          <w:rFonts w:hint="eastAsia"/>
          <w:lang w:val="en-US" w:eastAsia="zh-CN"/>
        </w:rPr>
        <w:t>62.77</w:t>
      </w:r>
      <w:r>
        <w:rPr>
          <w:rFonts w:hint="eastAsia"/>
        </w:rPr>
        <w:t>万元，占支出总预算</w:t>
      </w:r>
      <w:r>
        <w:rPr>
          <w:rFonts w:hint="eastAsia"/>
          <w:lang w:val="en-US" w:eastAsia="zh-CN"/>
        </w:rPr>
        <w:t>0.80%</w:t>
      </w:r>
      <w:r>
        <w:rPr>
          <w:rFonts w:hint="eastAsia"/>
        </w:rPr>
        <w:t>,比上年</w:t>
      </w:r>
      <w:r>
        <w:rPr>
          <w:rFonts w:hint="eastAsia"/>
          <w:lang w:val="en-US" w:eastAsia="zh-CN"/>
        </w:rPr>
        <w:t>增长62.77</w:t>
      </w:r>
      <w:r>
        <w:rPr>
          <w:rFonts w:hint="eastAsia"/>
        </w:rPr>
        <w:t>万元，</w:t>
      </w:r>
      <w:r>
        <w:rPr>
          <w:rFonts w:hint="eastAsia"/>
          <w:lang w:val="en-US" w:eastAsia="zh-CN"/>
        </w:rPr>
        <w:t>增长100%</w:t>
      </w:r>
      <w:r>
        <w:rPr>
          <w:rFonts w:hint="eastAsia"/>
        </w:rPr>
        <w:t>,</w:t>
      </w:r>
      <w:r>
        <w:rPr>
          <w:rFonts w:hint="eastAsia"/>
          <w:highlight w:val="none"/>
        </w:rPr>
        <w:t>主要原因是：</w:t>
      </w:r>
      <w:r>
        <w:rPr>
          <w:rFonts w:hint="eastAsia"/>
          <w:highlight w:val="none"/>
          <w:lang w:val="en-US" w:eastAsia="zh-CN"/>
        </w:rPr>
        <w:t>此项目支出2022年是预算在政府性基金，2023年放到一般公共预算，用于支付聘用人员工资和五险一金</w:t>
      </w:r>
      <w:r>
        <w:rPr>
          <w:rFonts w:hint="eastAsia"/>
          <w:highlight w:val="none"/>
        </w:rPr>
        <w:t>。</w:t>
      </w:r>
    </w:p>
    <w:p>
      <w:pPr>
        <w:pStyle w:val="18"/>
        <w:spacing w:line="635" w:lineRule="exact"/>
        <w:ind w:firstLine="740"/>
        <w:jc w:val="left"/>
      </w:pPr>
      <w:r>
        <w:t>(二)按支出结构分类划分，分为基本支出预算和项目支出预算。</w:t>
      </w:r>
    </w:p>
    <w:p>
      <w:pPr>
        <w:pStyle w:val="18"/>
        <w:spacing w:line="635" w:lineRule="exact"/>
        <w:ind w:firstLine="600"/>
        <w:jc w:val="left"/>
      </w:pPr>
      <w:r>
        <w:rPr>
          <w:rFonts w:ascii="Times New Roman" w:hAnsi="Times New Roman" w:eastAsia="Times New Roman" w:cs="Times New Roman"/>
          <w:sz w:val="30"/>
          <w:szCs w:val="30"/>
        </w:rPr>
        <w:t>1</w:t>
      </w:r>
      <w:r>
        <w:t>.基本支出预算。</w:t>
      </w:r>
    </w:p>
    <w:p>
      <w:pPr>
        <w:pStyle w:val="18"/>
        <w:spacing w:line="619" w:lineRule="exact"/>
        <w:ind w:firstLine="600"/>
        <w:jc w:val="left"/>
        <w:rPr>
          <w:rFonts w:hint="eastAsia"/>
          <w:lang w:val="en-US" w:eastAsia="zh-CN"/>
        </w:rPr>
      </w:pPr>
      <w:r>
        <w:rPr>
          <w:rFonts w:hint="eastAsia"/>
        </w:rPr>
        <w:t>基本支出预算</w:t>
      </w:r>
      <w:r>
        <w:rPr>
          <w:rFonts w:hint="eastAsia"/>
          <w:lang w:val="en-US" w:eastAsia="zh-CN"/>
        </w:rPr>
        <w:t>62.77</w:t>
      </w:r>
      <w:r>
        <w:rPr>
          <w:rFonts w:hint="eastAsia"/>
        </w:rPr>
        <w:t>万元，占支出预算</w:t>
      </w:r>
      <w:r>
        <w:rPr>
          <w:u w:color="auto"/>
        </w:rPr>
        <w:t>0.80%,比上年减少1.07万元，减少1.68%</w:t>
      </w:r>
      <w:r>
        <w:t>。</w:t>
      </w:r>
      <w:r>
        <w:rPr>
          <w:rFonts w:hint="eastAsia"/>
          <w:lang w:val="en-US" w:eastAsia="zh-CN"/>
        </w:rPr>
        <w:t>其中：</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1)工资福利支出</w:t>
      </w:r>
      <w:r>
        <w:rPr>
          <w:rFonts w:hint="eastAsia" w:ascii="宋体" w:hAnsi="宋体" w:eastAsia="宋体" w:cs="宋体"/>
          <w:sz w:val="28"/>
          <w:szCs w:val="28"/>
          <w:lang w:val="en-US" w:eastAsia="zh-CN"/>
        </w:rPr>
        <w:t>62.77</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100.00%</w:t>
      </w:r>
      <w:r>
        <w:rPr>
          <w:rFonts w:hint="eastAsia"/>
        </w:rPr>
        <w:t>,</w:t>
      </w:r>
      <w:r>
        <w:t>比上年</w:t>
      </w:r>
      <w:r>
        <w:rPr>
          <w:rFonts w:hint="eastAsia"/>
        </w:rPr>
        <w:t>减少1.07</w:t>
      </w:r>
      <w:r>
        <w:t>万元，</w:t>
      </w:r>
      <w:r>
        <w:rPr>
          <w:rFonts w:hint="eastAsia"/>
        </w:rPr>
        <w:t>减少1.68%</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因为工作人员意外伤害大额保险交费金额减少</w:t>
      </w:r>
      <w:r>
        <w:rPr>
          <w:rFonts w:hint="eastAsia"/>
          <w:highlight w:val="none"/>
          <w:lang w:val="en-US" w:eastAsia="zh-CN"/>
        </w:rPr>
        <w:t>。</w:t>
      </w:r>
    </w:p>
    <w:p>
      <w:pPr>
        <w:pStyle w:val="18"/>
        <w:numPr>
          <w:ilvl w:val="0"/>
          <w:numId w:val="1"/>
        </w:numPr>
        <w:spacing w:line="614" w:lineRule="exact"/>
        <w:ind w:firstLine="600"/>
        <w:jc w:val="left"/>
      </w:pPr>
      <w:r>
        <w:t>项目支出预算。</w:t>
      </w:r>
    </w:p>
    <w:p>
      <w:pPr>
        <w:pStyle w:val="18"/>
        <w:spacing w:line="619" w:lineRule="exact"/>
        <w:ind w:firstLine="600"/>
        <w:jc w:val="left"/>
        <w:rPr>
          <w:rFonts w:hint="eastAsia"/>
          <w:lang w:val="en-US" w:eastAsia="zh-CN"/>
        </w:rPr>
      </w:pPr>
      <w:r>
        <w:rPr>
          <w:rFonts w:hint="eastAsia"/>
        </w:rPr>
        <w:t>项目支出预算</w:t>
      </w:r>
      <w:r>
        <w:rPr>
          <w:rFonts w:hint="eastAsia"/>
          <w:lang w:val="en-US" w:eastAsia="zh-CN"/>
        </w:rPr>
        <w:t>7788.65</w:t>
      </w:r>
      <w:r>
        <w:rPr>
          <w:rFonts w:hint="eastAsia"/>
        </w:rPr>
        <w:t>万元，占支出预算</w:t>
      </w:r>
      <w:r>
        <w:rPr>
          <w:u w:color="auto"/>
        </w:rPr>
        <w:t>99.20%</w:t>
      </w:r>
      <w:r>
        <w:rPr>
          <w:rFonts w:hint="eastAsia"/>
        </w:rPr>
        <w:t>,比上年</w:t>
      </w:r>
      <w:r>
        <w:rPr>
          <w:u w:color="auto"/>
        </w:rPr>
        <w:t>减少4127.51</w:t>
      </w:r>
      <w:r>
        <w:rPr>
          <w:rFonts w:hint="eastAsia"/>
        </w:rPr>
        <w:t>万元，</w:t>
      </w:r>
      <w:r>
        <w:rPr>
          <w:u w:color="auto"/>
        </w:rPr>
        <w:t>减少34.64%</w:t>
      </w:r>
      <w:r>
        <w:t>。</w:t>
      </w:r>
      <w:r>
        <w:rPr>
          <w:rFonts w:hint="eastAsia"/>
          <w:lang w:val="en-US" w:eastAsia="zh-CN"/>
        </w:rPr>
        <w:t>其中：</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1)商品和服务支出</w:t>
      </w:r>
      <w:r>
        <w:rPr>
          <w:rFonts w:hint="eastAsia" w:ascii="宋体" w:hAnsi="宋体" w:eastAsia="宋体" w:cs="宋体"/>
          <w:sz w:val="28"/>
          <w:szCs w:val="28"/>
          <w:lang w:val="en-US" w:eastAsia="zh-CN"/>
        </w:rPr>
        <w:t>2133.00</w:t>
      </w:r>
      <w:r>
        <w:rPr>
          <w:rFonts w:hint="eastAsia" w:ascii="宋体" w:hAnsi="宋体" w:eastAsia="宋体" w:cs="宋体"/>
          <w:sz w:val="28"/>
          <w:szCs w:val="28"/>
        </w:rPr>
        <w:t>万</w:t>
      </w:r>
      <w:r>
        <w:rPr>
          <w:rFonts w:ascii="宋体" w:hAnsi="宋体" w:eastAsia="宋体" w:cs="宋体"/>
          <w:sz w:val="28"/>
          <w:szCs w:val="28"/>
        </w:rPr>
        <w:t>元，占</w:t>
      </w:r>
      <w:r>
        <w:rPr>
          <w:rFonts w:hint="eastAsia"/>
        </w:rPr>
        <w:t>项目</w:t>
      </w:r>
      <w:r>
        <w:rPr>
          <w:rFonts w:ascii="宋体" w:hAnsi="宋体" w:eastAsia="宋体" w:cs="宋体"/>
          <w:sz w:val="28"/>
          <w:szCs w:val="28"/>
        </w:rPr>
        <w:t>支出总预算</w:t>
      </w:r>
      <w:r>
        <w:rPr>
          <w:rFonts w:hint="eastAsia" w:ascii="宋体" w:hAnsi="宋体" w:eastAsia="宋体" w:cs="宋体"/>
          <w:sz w:val="28"/>
          <w:szCs w:val="28"/>
          <w:lang w:val="en-US" w:eastAsia="zh-CN"/>
        </w:rPr>
        <w:t>27.39%</w:t>
      </w:r>
      <w:r>
        <w:t>,比上年</w:t>
      </w:r>
      <w:r>
        <w:rPr>
          <w:rFonts w:hint="eastAsia"/>
        </w:rPr>
        <w:t>增长1479.70</w:t>
      </w:r>
      <w:r>
        <w:t>万元，</w:t>
      </w:r>
      <w:r>
        <w:rPr>
          <w:rFonts w:hint="eastAsia"/>
        </w:rPr>
        <w:t>增长226.50%</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2024年度预算把租赁车辆的其他费用放到商品和服务支出，因临时机构没有公务用车</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2)资本性支出（基本建设）</w:t>
      </w:r>
      <w:r>
        <w:rPr>
          <w:rFonts w:hint="eastAsia" w:ascii="宋体" w:hAnsi="宋体" w:eastAsia="宋体" w:cs="宋体"/>
          <w:sz w:val="28"/>
          <w:szCs w:val="28"/>
          <w:lang w:val="en-US" w:eastAsia="zh-CN"/>
        </w:rPr>
        <w:t>300.00</w:t>
      </w:r>
      <w:r>
        <w:rPr>
          <w:rFonts w:hint="eastAsia" w:ascii="宋体" w:hAnsi="宋体" w:eastAsia="宋体" w:cs="宋体"/>
          <w:sz w:val="28"/>
          <w:szCs w:val="28"/>
        </w:rPr>
        <w:t>万</w:t>
      </w:r>
      <w:r>
        <w:rPr>
          <w:rFonts w:ascii="宋体" w:hAnsi="宋体" w:eastAsia="宋体" w:cs="宋体"/>
          <w:sz w:val="28"/>
          <w:szCs w:val="28"/>
        </w:rPr>
        <w:t>元，占</w:t>
      </w:r>
      <w:r>
        <w:rPr>
          <w:rFonts w:hint="eastAsia"/>
        </w:rPr>
        <w:t>项目</w:t>
      </w:r>
      <w:r>
        <w:rPr>
          <w:rFonts w:ascii="宋体" w:hAnsi="宋体" w:eastAsia="宋体" w:cs="宋体"/>
          <w:sz w:val="28"/>
          <w:szCs w:val="28"/>
        </w:rPr>
        <w:t>支出总预算</w:t>
      </w:r>
      <w:r>
        <w:rPr>
          <w:rFonts w:hint="eastAsia" w:ascii="宋体" w:hAnsi="宋体" w:eastAsia="宋体" w:cs="宋体"/>
          <w:sz w:val="28"/>
          <w:szCs w:val="28"/>
          <w:lang w:val="en-US" w:eastAsia="zh-CN"/>
        </w:rPr>
        <w:t>3.85%</w:t>
      </w:r>
      <w:r>
        <w:t>,比上年</w:t>
      </w:r>
      <w:r>
        <w:rPr>
          <w:rFonts w:hint="eastAsia"/>
        </w:rPr>
        <w:t>增长300.00</w:t>
      </w:r>
      <w:r>
        <w:t>万元，</w:t>
      </w:r>
      <w:r>
        <w:rPr>
          <w:rFonts w:hint="eastAsia"/>
        </w:rPr>
        <w:t>增长100%</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环江县的征地安置点三通一平项目经费，2024年预算增加</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3)资本性支出</w:t>
      </w:r>
      <w:r>
        <w:rPr>
          <w:rFonts w:hint="eastAsia" w:ascii="宋体" w:hAnsi="宋体" w:eastAsia="宋体" w:cs="宋体"/>
          <w:sz w:val="28"/>
          <w:szCs w:val="28"/>
          <w:lang w:val="en-US" w:eastAsia="zh-CN"/>
        </w:rPr>
        <w:t>5355.65</w:t>
      </w:r>
      <w:r>
        <w:rPr>
          <w:rFonts w:hint="eastAsia" w:ascii="宋体" w:hAnsi="宋体" w:eastAsia="宋体" w:cs="宋体"/>
          <w:sz w:val="28"/>
          <w:szCs w:val="28"/>
        </w:rPr>
        <w:t>万</w:t>
      </w:r>
      <w:r>
        <w:rPr>
          <w:rFonts w:ascii="宋体" w:hAnsi="宋体" w:eastAsia="宋体" w:cs="宋体"/>
          <w:sz w:val="28"/>
          <w:szCs w:val="28"/>
        </w:rPr>
        <w:t>元，占</w:t>
      </w:r>
      <w:r>
        <w:rPr>
          <w:rFonts w:hint="eastAsia"/>
        </w:rPr>
        <w:t>项目</w:t>
      </w:r>
      <w:r>
        <w:rPr>
          <w:rFonts w:ascii="宋体" w:hAnsi="宋体" w:eastAsia="宋体" w:cs="宋体"/>
          <w:sz w:val="28"/>
          <w:szCs w:val="28"/>
        </w:rPr>
        <w:t>支出总预算</w:t>
      </w:r>
      <w:r>
        <w:rPr>
          <w:rFonts w:hint="eastAsia" w:ascii="宋体" w:hAnsi="宋体" w:eastAsia="宋体" w:cs="宋体"/>
          <w:sz w:val="28"/>
          <w:szCs w:val="28"/>
          <w:lang w:val="en-US" w:eastAsia="zh-CN"/>
        </w:rPr>
        <w:t>68.76%</w:t>
      </w:r>
      <w:r>
        <w:t>,比上年</w:t>
      </w:r>
      <w:r>
        <w:rPr>
          <w:rFonts w:hint="eastAsia"/>
        </w:rPr>
        <w:t>减少5907.21</w:t>
      </w:r>
      <w:r>
        <w:t>万元，</w:t>
      </w:r>
      <w:r>
        <w:rPr>
          <w:rFonts w:hint="eastAsia"/>
        </w:rPr>
        <w:t>减少52.45%</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土地出让业务收入减少，项目资本性支出相应减少</w:t>
      </w:r>
      <w:r>
        <w:rPr>
          <w:rFonts w:hint="eastAsia"/>
          <w:highlight w:val="none"/>
          <w:lang w:val="en-US" w:eastAsia="zh-CN"/>
        </w:rPr>
        <w:t>。</w:t>
      </w:r>
    </w:p>
    <w:p>
      <w:pPr>
        <w:pStyle w:val="16"/>
        <w:numPr>
          <w:ilvl w:val="0"/>
          <w:numId w:val="0"/>
        </w:numPr>
        <w:tabs>
          <w:tab w:val="left" w:pos="1238"/>
        </w:tabs>
        <w:spacing w:after="0" w:line="625" w:lineRule="exact"/>
        <w:jc w:val="left"/>
        <w:rPr>
          <w:b/>
          <w:bCs/>
        </w:rPr>
      </w:pPr>
    </w:p>
    <w:p>
      <w:pPr>
        <w:pStyle w:val="16"/>
        <w:tabs>
          <w:tab w:val="left" w:pos="1235"/>
        </w:tabs>
        <w:spacing w:after="0" w:line="624" w:lineRule="exact"/>
        <w:ind w:firstLine="580"/>
        <w:jc w:val="left"/>
        <w:rPr>
          <w:b/>
          <w:bCs/>
        </w:rPr>
      </w:pPr>
      <w:r>
        <w:rPr>
          <w:rFonts w:hint="eastAsia"/>
          <w:b/>
          <w:bCs/>
          <w:lang w:val="en-US" w:eastAsia="zh-CN"/>
        </w:rPr>
        <w:t>四、</w:t>
      </w:r>
      <w:r>
        <w:rPr>
          <w:b/>
          <w:bCs/>
        </w:rPr>
        <w:t>财政拨款收支总体情况说明</w:t>
      </w:r>
    </w:p>
    <w:p>
      <w:pPr>
        <w:pStyle w:val="18"/>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386"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18"/>
        <w:spacing w:line="624" w:lineRule="exact"/>
        <w:ind w:firstLine="60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7851.42</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7851.42</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11980.00</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减少4128.58</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下降34.46%</w:t>
      </w:r>
      <w:r>
        <w:rPr>
          <w:rFonts w:hint="eastAsia" w:ascii="宋体" w:hAnsi="宋体" w:eastAsia="宋体" w:cs="宋体"/>
          <w:sz w:val="28"/>
          <w:szCs w:val="28"/>
        </w:rPr>
        <w:t>，主要原因是</w:t>
      </w:r>
      <w:r>
        <w:rPr>
          <w:rFonts w:hint="eastAsia"/>
          <w:highlight w:val="none"/>
          <w:lang w:val="en-US" w:eastAsia="zh-CN"/>
        </w:rPr>
        <w:t>土地出让收入减少，部门收入减少</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11980.00</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减少4128.58</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下降34.46%</w:t>
      </w:r>
      <w:r>
        <w:rPr>
          <w:rFonts w:hint="eastAsia" w:ascii="宋体" w:hAnsi="宋体" w:eastAsia="宋体" w:cs="宋体"/>
          <w:sz w:val="28"/>
          <w:szCs w:val="28"/>
        </w:rPr>
        <w:t>，主要原因是</w:t>
      </w:r>
      <w:r>
        <w:rPr>
          <w:rFonts w:hint="eastAsia"/>
          <w:highlight w:val="none"/>
          <w:lang w:val="en-US" w:eastAsia="zh-CN"/>
        </w:rPr>
        <w:t>土地出让收入减少，部门支出减少</w:t>
      </w:r>
      <w:r>
        <w:rPr>
          <w:rFonts w:hint="eastAsia" w:ascii="宋体" w:hAnsi="宋体" w:eastAsia="宋体" w:cs="宋体"/>
          <w:sz w:val="28"/>
          <w:szCs w:val="28"/>
        </w:rPr>
        <w:t>。</w:t>
      </w:r>
    </w:p>
    <w:p>
      <w:pPr>
        <w:pStyle w:val="16"/>
        <w:numPr>
          <w:ilvl w:val="0"/>
          <w:numId w:val="0"/>
        </w:numPr>
        <w:tabs>
          <w:tab w:val="left" w:pos="1238"/>
        </w:tabs>
        <w:spacing w:after="0" w:line="625" w:lineRule="exact"/>
        <w:ind w:firstLine="560" w:firstLineChars="200"/>
        <w:jc w:val="left"/>
        <w:rPr>
          <w:rFonts w:hint="eastAsia"/>
          <w:sz w:val="28"/>
          <w:szCs w:val="28"/>
        </w:rPr>
      </w:pPr>
    </w:p>
    <w:p>
      <w:pPr>
        <w:pStyle w:val="16"/>
        <w:tabs>
          <w:tab w:val="left" w:pos="1235"/>
        </w:tabs>
        <w:spacing w:after="0" w:line="624" w:lineRule="exact"/>
        <w:ind w:firstLine="580"/>
        <w:jc w:val="left"/>
        <w:rPr>
          <w:b/>
          <w:bCs/>
        </w:rPr>
      </w:pPr>
      <w:r>
        <w:rPr>
          <w:rFonts w:hint="eastAsia"/>
          <w:b/>
          <w:bCs/>
          <w:lang w:val="en-US" w:eastAsia="zh-CN"/>
        </w:rPr>
        <w:t>五、</w:t>
      </w:r>
      <w:r>
        <w:rPr>
          <w:b/>
          <w:bCs/>
        </w:rPr>
        <w:t>一般公共预算支出情况说明</w:t>
      </w:r>
    </w:p>
    <w:p>
      <w:pPr>
        <w:pStyle w:val="18"/>
        <w:spacing w:line="240" w:lineRule="auto"/>
        <w:ind w:firstLine="0"/>
        <w:jc w:val="left"/>
        <w:rPr>
          <w:lang w:eastAsia="zh-CN"/>
        </w:rPr>
      </w:pPr>
      <w:r>
        <w:rPr>
          <w:lang w:eastAsia="zh-CN"/>
        </w:rPr>
        <w:drawing>
          <wp:inline distT="0" distB="0" distL="114300" distR="114300">
            <wp:extent cx="5080000" cy="3810000"/>
            <wp:effectExtent l="4445" t="4445" r="20955" b="14605"/>
            <wp:docPr id="387"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62.77</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0.00</w:t>
      </w:r>
      <w:r>
        <w:rPr>
          <w:rFonts w:hint="eastAsia" w:ascii="宋体" w:hAnsi="宋体" w:eastAsia="宋体" w:cs="宋体"/>
          <w:sz w:val="28"/>
          <w:szCs w:val="28"/>
        </w:rPr>
        <w:t>万元，</w:t>
      </w:r>
      <w:r>
        <w:rPr>
          <w:rFonts w:hint="eastAsia" w:ascii="宋体" w:hAnsi="宋体" w:eastAsia="宋体" w:cs="宋体"/>
          <w:sz w:val="28"/>
          <w:szCs w:val="28"/>
          <w:lang w:val="en-US" w:eastAsia="zh-CN"/>
        </w:rPr>
        <w:t>增加62.77</w:t>
      </w:r>
      <w:r>
        <w:rPr>
          <w:rFonts w:hint="eastAsia" w:ascii="宋体" w:hAnsi="宋体" w:eastAsia="宋体" w:cs="宋体"/>
          <w:sz w:val="28"/>
          <w:szCs w:val="28"/>
        </w:rPr>
        <w:t>万元，</w:t>
      </w:r>
      <w:r>
        <w:rPr>
          <w:rFonts w:hint="eastAsia" w:ascii="宋体" w:hAnsi="宋体" w:eastAsia="宋体" w:cs="宋体"/>
          <w:sz w:val="28"/>
          <w:szCs w:val="28"/>
          <w:lang w:val="en-US" w:eastAsia="zh-CN"/>
        </w:rPr>
        <w:t>增长100%</w:t>
      </w:r>
      <w:r>
        <w:rPr>
          <w:rFonts w:hint="eastAsia" w:ascii="宋体" w:hAnsi="宋体" w:eastAsia="宋体" w:cs="宋体"/>
          <w:sz w:val="28"/>
          <w:szCs w:val="28"/>
        </w:rPr>
        <w:t>，主要原因是</w:t>
      </w:r>
      <w:r>
        <w:rPr>
          <w:rFonts w:hint="eastAsia"/>
          <w:highlight w:val="none"/>
          <w:lang w:val="en-US" w:eastAsia="zh-CN"/>
        </w:rPr>
        <w:t>2023年没有一般公共预算，全部是项目预算；2024年才有一般公共预算，所以增加</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自然资源海洋气象等支出（类）支出</w:t>
      </w:r>
      <w:r>
        <w:rPr>
          <w:rFonts w:ascii="宋体" w:hAnsi="宋体" w:eastAsia="宋体" w:cs="宋体"/>
          <w:sz w:val="28"/>
          <w:u w:color="auto"/>
        </w:rPr>
        <w:t>62.77</w:t>
      </w:r>
      <w:r>
        <w:rPr>
          <w:rFonts w:hint="eastAsia" w:ascii="宋体" w:hAnsi="宋体" w:eastAsia="宋体" w:cs="宋体"/>
          <w:sz w:val="28"/>
          <w:szCs w:val="28"/>
        </w:rPr>
        <w:t>万元，占支出总预算的</w:t>
      </w:r>
      <w:r>
        <w:rPr>
          <w:rFonts w:ascii="宋体" w:hAnsi="宋体" w:eastAsia="宋体" w:cs="宋体"/>
          <w:sz w:val="28"/>
          <w:u w:color="auto"/>
        </w:rPr>
        <w:t>100.00%</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0.00</w:t>
      </w:r>
      <w:r>
        <w:rPr>
          <w:rFonts w:hint="eastAsia" w:ascii="宋体" w:hAnsi="宋体" w:eastAsia="宋体" w:cs="宋体"/>
          <w:sz w:val="28"/>
          <w:szCs w:val="28"/>
        </w:rPr>
        <w:t>万元，</w:t>
      </w:r>
      <w:r>
        <w:rPr>
          <w:rFonts w:ascii="宋体" w:hAnsi="宋体" w:eastAsia="宋体" w:cs="宋体"/>
          <w:sz w:val="28"/>
          <w:u w:color="auto"/>
        </w:rPr>
        <w:t>增长62.77</w:t>
      </w:r>
      <w:r>
        <w:rPr>
          <w:rFonts w:hint="eastAsia" w:ascii="宋体" w:hAnsi="宋体" w:eastAsia="宋体" w:cs="宋体"/>
          <w:sz w:val="28"/>
          <w:szCs w:val="28"/>
        </w:rPr>
        <w:t>万元，</w:t>
      </w:r>
      <w:r>
        <w:rPr>
          <w:rFonts w:ascii="宋体" w:hAnsi="宋体" w:eastAsia="宋体" w:cs="宋体"/>
          <w:sz w:val="28"/>
          <w:u w:color="auto"/>
        </w:rPr>
        <w:t>增长100%</w:t>
      </w:r>
      <w:r>
        <w:rPr>
          <w:rFonts w:hint="eastAsia" w:ascii="宋体" w:hAnsi="宋体" w:eastAsia="宋体" w:cs="宋体"/>
          <w:sz w:val="28"/>
          <w:szCs w:val="28"/>
        </w:rPr>
        <w:t>，主要原因是：</w:t>
      </w:r>
      <w:r>
        <w:rPr>
          <w:rFonts w:hint="eastAsia"/>
          <w:highlight w:val="none"/>
        </w:rPr>
        <w:t>2023年没有一般公共预算，此项支出放在项目预算；2024年才有把此项支出放到一般公共预算</w:t>
      </w:r>
      <w:r>
        <w:rPr>
          <w:rFonts w:hint="eastAsia" w:ascii="宋体" w:hAnsi="宋体" w:eastAsia="宋体" w:cs="宋体"/>
          <w:sz w:val="28"/>
          <w:szCs w:val="28"/>
        </w:rPr>
        <w:t>。</w:t>
      </w:r>
    </w:p>
    <w:p>
      <w:pPr>
        <w:pStyle w:val="16"/>
        <w:tabs>
          <w:tab w:val="left" w:pos="1235"/>
        </w:tabs>
        <w:spacing w:after="0" w:line="624" w:lineRule="exact"/>
        <w:ind w:firstLine="580"/>
        <w:jc w:val="left"/>
        <w:rPr>
          <w:b/>
          <w:bCs/>
        </w:rPr>
      </w:pPr>
      <w:r>
        <w:rPr>
          <w:rFonts w:hint="eastAsia"/>
          <w:b/>
          <w:bCs/>
          <w:lang w:val="en-US" w:eastAsia="zh-CN"/>
        </w:rPr>
        <w:t>六、</w:t>
      </w:r>
      <w:r>
        <w:rPr>
          <w:b/>
          <w:bCs/>
        </w:rPr>
        <w:t>一般公共预算基本支出情况说明</w:t>
      </w:r>
    </w:p>
    <w:p>
      <w:pPr>
        <w:pStyle w:val="16"/>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388"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18"/>
        <w:spacing w:line="623" w:lineRule="exact"/>
        <w:ind w:left="0" w:leftChars="0" w:firstLine="560" w:firstLineChars="200"/>
        <w:jc w:val="left"/>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62.77</w:t>
      </w:r>
      <w:r>
        <w:rPr>
          <w:rFonts w:hint="eastAsia"/>
        </w:rPr>
        <w:t>万元，较2023年度预算数</w:t>
      </w:r>
      <w:r>
        <w:rPr>
          <w:rFonts w:hint="eastAsia"/>
          <w:lang w:val="en-US" w:eastAsia="zh-CN"/>
        </w:rPr>
        <w:t>0.00</w:t>
      </w:r>
      <w:r>
        <w:rPr>
          <w:rFonts w:hint="eastAsia"/>
        </w:rPr>
        <w:t>万元</w:t>
      </w:r>
      <w:r>
        <w:rPr>
          <w:rFonts w:hint="eastAsia"/>
          <w:lang w:val="en-US" w:eastAsia="zh-CN"/>
        </w:rPr>
        <w:t>,</w:t>
      </w:r>
      <w:r>
        <w:rPr>
          <w:u w:color="auto"/>
        </w:rPr>
        <w:t>增加62.77</w:t>
      </w:r>
      <w:r>
        <w:rPr>
          <w:rFonts w:hint="eastAsia"/>
        </w:rPr>
        <w:t>万元，</w:t>
      </w:r>
      <w:r>
        <w:rPr>
          <w:rFonts w:hint="eastAsia"/>
          <w:lang w:val="en-US" w:eastAsia="zh-CN"/>
        </w:rPr>
        <w:t>增长100%</w:t>
      </w:r>
      <w:r>
        <w:rPr>
          <w:rFonts w:hint="eastAsia"/>
        </w:rPr>
        <w:t>，主要原因是</w:t>
      </w:r>
      <w:r>
        <w:rPr>
          <w:rFonts w:hint="eastAsia"/>
          <w:highlight w:val="none"/>
          <w:lang w:val="en-US" w:eastAsia="zh-CN"/>
        </w:rPr>
        <w:t>2023年没有一般公共预算，2024年才做一般公共预算</w:t>
      </w:r>
      <w:r>
        <w:rPr>
          <w:rFonts w:hint="eastAsia"/>
        </w:rPr>
        <w:t>。具体情况为：</w:t>
      </w:r>
    </w:p>
    <w:p>
      <w:pPr>
        <w:pStyle w:val="18"/>
        <w:spacing w:line="626" w:lineRule="exact"/>
        <w:ind w:firstLine="600"/>
        <w:jc w:val="left"/>
        <w:rPr>
          <w:rFonts w:hint="default"/>
          <w:lang w:val="en-US" w:eastAsia="zh-CN"/>
        </w:rPr>
      </w:pPr>
      <w:r>
        <w:rPr>
          <w:rFonts w:hint="eastAsia"/>
          <w:lang w:val="en-US" w:eastAsia="zh-CN"/>
        </w:rPr>
        <w:t>工资福利支出</w:t>
      </w:r>
      <w:r>
        <w:rPr>
          <w:rFonts w:hint="eastAsia"/>
        </w:rPr>
        <w:t>支出预算</w:t>
      </w:r>
      <w:r>
        <w:rPr>
          <w:rFonts w:hint="eastAsia"/>
          <w:lang w:val="en-US" w:eastAsia="zh-CN"/>
        </w:rPr>
        <w:t>62.77</w:t>
      </w:r>
      <w:r>
        <w:t>万元</w:t>
      </w:r>
      <w:r>
        <w:rPr>
          <w:rFonts w:hint="eastAsia"/>
          <w:lang w:eastAsia="zh-CN"/>
        </w:rPr>
        <w:t>，</w:t>
      </w:r>
      <w:r>
        <w:rPr>
          <w:rFonts w:hint="eastAsia"/>
        </w:rPr>
        <w:t>占基本支出预算的</w:t>
      </w:r>
      <w:r>
        <w:rPr>
          <w:rFonts w:hint="eastAsia"/>
          <w:lang w:val="en-US" w:eastAsia="zh-CN"/>
        </w:rPr>
        <w:t>100.00%</w:t>
      </w:r>
      <w:r>
        <w:rPr>
          <w:rFonts w:hint="eastAsia"/>
        </w:rPr>
        <w:t>，较2023年度预算数</w:t>
      </w:r>
      <w:r>
        <w:rPr>
          <w:rFonts w:hint="eastAsia"/>
          <w:lang w:val="en-US" w:eastAsia="zh-CN"/>
        </w:rPr>
        <w:t>63.84</w:t>
      </w:r>
      <w:r>
        <w:rPr>
          <w:rFonts w:hint="eastAsia"/>
        </w:rPr>
        <w:t>万元，</w:t>
      </w:r>
      <w:r>
        <w:rPr>
          <w:rFonts w:hint="eastAsia"/>
          <w:lang w:val="en-US" w:eastAsia="zh-CN"/>
        </w:rPr>
        <w:t>减少1.07</w:t>
      </w:r>
      <w:r>
        <w:rPr>
          <w:rFonts w:hint="eastAsia"/>
        </w:rPr>
        <w:t>万元，</w:t>
      </w:r>
      <w:r>
        <w:rPr>
          <w:rFonts w:hint="eastAsia"/>
          <w:lang w:val="en-US" w:eastAsia="zh-CN"/>
        </w:rPr>
        <w:t>减少1.68%</w:t>
      </w:r>
      <w:r>
        <w:rPr>
          <w:rFonts w:hint="eastAsia"/>
        </w:rPr>
        <w:t>，主要原因是：</w:t>
      </w:r>
      <w:r>
        <w:rPr>
          <w:rFonts w:hint="eastAsia"/>
          <w:highlight w:val="none"/>
        </w:rPr>
        <w:t>工资福利支出预算减少是因为单位工作人员人身意外大额保险交费金额减少</w:t>
      </w:r>
      <w:r>
        <w:rPr>
          <w:rFonts w:hint="eastAsia"/>
          <w:highlight w:val="none"/>
          <w:lang w:val="en-US" w:eastAsia="zh-CN"/>
        </w:rPr>
        <w:t>。</w:t>
      </w:r>
    </w:p>
    <w:p>
      <w:pPr>
        <w:pStyle w:val="16"/>
        <w:tabs>
          <w:tab w:val="left" w:pos="1235"/>
        </w:tabs>
        <w:spacing w:after="0" w:line="624" w:lineRule="exact"/>
        <w:ind w:firstLine="580"/>
        <w:jc w:val="left"/>
        <w:rPr>
          <w:rFonts w:hint="eastAsia"/>
          <w:b/>
          <w:bCs/>
        </w:rPr>
      </w:pPr>
      <w:r>
        <w:rPr>
          <w:rFonts w:hint="eastAsia"/>
          <w:b/>
          <w:bCs/>
          <w:lang w:val="en-US" w:eastAsia="zh-CN"/>
        </w:rPr>
        <w:t>七、</w:t>
      </w:r>
      <w:r>
        <w:rPr>
          <w:b/>
          <w:bCs/>
        </w:rPr>
        <w:t>一般公共预算</w:t>
      </w:r>
      <w:r>
        <w:rPr>
          <w:b/>
          <w:bCs/>
          <w:lang w:val="zh-CN" w:eastAsia="zh-CN" w:bidi="zh-CN"/>
        </w:rPr>
        <w:t>“三</w:t>
      </w:r>
      <w:r>
        <w:rPr>
          <w:b/>
          <w:bCs/>
        </w:rPr>
        <w:t>公”</w:t>
      </w:r>
      <w:r>
        <w:rPr>
          <w:rFonts w:hint="eastAsia"/>
          <w:b/>
          <w:bCs/>
        </w:rPr>
        <w:t>经费支出情况说明</w:t>
      </w:r>
    </w:p>
    <w:p>
      <w:pPr>
        <w:pStyle w:val="16"/>
        <w:numPr>
          <w:ilvl w:val="0"/>
          <w:numId w:val="0"/>
        </w:numPr>
        <w:spacing w:after="0"/>
        <w:jc w:val="left"/>
        <w:rPr>
          <w:rFonts w:hint="eastAsia"/>
          <w:b/>
          <w:bCs/>
        </w:rPr>
      </w:pPr>
    </w:p>
    <w:p>
      <w:pPr>
        <w:pStyle w:val="16"/>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389"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16"/>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18.00</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18.00</w:t>
      </w:r>
      <w:r>
        <w:rPr>
          <w:rFonts w:hint="eastAsia"/>
          <w:b w:val="0"/>
          <w:bCs w:val="0"/>
          <w:sz w:val="28"/>
          <w:szCs w:val="28"/>
          <w:lang w:eastAsia="zh-CN"/>
        </w:rPr>
        <w:t>万元，公务用车购置及运行费支出预算</w:t>
      </w:r>
      <w:r>
        <w:rPr>
          <w:rFonts w:hint="eastAsia"/>
          <w:b w:val="0"/>
          <w:bCs w:val="0"/>
          <w:sz w:val="28"/>
          <w:szCs w:val="28"/>
          <w:lang w:val="en-US" w:eastAsia="zh-CN"/>
        </w:rPr>
        <w:t>0.00</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0.00</w:t>
      </w:r>
      <w:r>
        <w:rPr>
          <w:rFonts w:hint="eastAsia"/>
          <w:b w:val="0"/>
          <w:bCs w:val="0"/>
          <w:sz w:val="28"/>
          <w:szCs w:val="28"/>
          <w:lang w:eastAsia="zh-CN"/>
        </w:rPr>
        <w:t>万元）。</w:t>
      </w:r>
    </w:p>
    <w:p>
      <w:pPr>
        <w:pStyle w:val="16"/>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0.00</w:t>
      </w:r>
      <w:r>
        <w:rPr>
          <w:rFonts w:hint="eastAsia"/>
          <w:b w:val="0"/>
          <w:bCs w:val="0"/>
          <w:sz w:val="28"/>
          <w:szCs w:val="28"/>
        </w:rPr>
        <w:t>万元，同口径较2023年度预算数</w:t>
      </w:r>
      <w:r>
        <w:rPr>
          <w:rFonts w:hint="eastAsia"/>
          <w:b w:val="0"/>
          <w:bCs w:val="0"/>
          <w:sz w:val="28"/>
          <w:szCs w:val="28"/>
          <w:lang w:val="en-US" w:eastAsia="zh-CN"/>
        </w:rPr>
        <w:t>0.00</w:t>
      </w:r>
      <w:r>
        <w:rPr>
          <w:rFonts w:hint="eastAsia"/>
          <w:b w:val="0"/>
          <w:bCs w:val="0"/>
          <w:sz w:val="28"/>
          <w:szCs w:val="28"/>
        </w:rPr>
        <w:t>万元，</w:t>
      </w:r>
      <w:r>
        <w:rPr>
          <w:rFonts w:hint="eastAsia"/>
          <w:b w:val="0"/>
          <w:bCs w:val="0"/>
          <w:sz w:val="28"/>
          <w:szCs w:val="28"/>
          <w:lang w:val="en-US" w:eastAsia="zh-CN"/>
        </w:rPr>
        <w:t>增长0.00</w:t>
      </w:r>
      <w:r>
        <w:rPr>
          <w:rFonts w:hint="eastAsia"/>
          <w:b w:val="0"/>
          <w:bCs w:val="0"/>
          <w:sz w:val="28"/>
          <w:szCs w:val="28"/>
        </w:rPr>
        <w:t>万元，</w:t>
      </w:r>
      <w:r>
        <w:rPr>
          <w:rFonts w:hint="eastAsia"/>
          <w:b w:val="0"/>
          <w:bCs w:val="0"/>
          <w:sz w:val="28"/>
          <w:szCs w:val="28"/>
          <w:lang w:val="en-US" w:eastAsia="zh-CN"/>
        </w:rPr>
        <w:t>增长0%</w:t>
      </w:r>
      <w:r>
        <w:rPr>
          <w:rFonts w:hint="eastAsia"/>
          <w:b w:val="0"/>
          <w:bCs w:val="0"/>
          <w:sz w:val="28"/>
          <w:szCs w:val="28"/>
        </w:rPr>
        <w:t>，具体如下：</w:t>
      </w:r>
    </w:p>
    <w:p>
      <w:pPr>
        <w:pStyle w:val="1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此项支出2023和2024没有做预算</w:t>
      </w:r>
      <w:r>
        <w:rPr>
          <w:rFonts w:hint="eastAsia"/>
          <w:b w:val="0"/>
          <w:bCs w:val="0"/>
          <w:sz w:val="28"/>
          <w:szCs w:val="28"/>
        </w:rPr>
        <w:t>。</w:t>
      </w:r>
    </w:p>
    <w:p>
      <w:pPr>
        <w:pStyle w:val="1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公务接待费放到办公经费中支出</w:t>
      </w:r>
      <w:r>
        <w:rPr>
          <w:rFonts w:hint="eastAsia"/>
          <w:b w:val="0"/>
          <w:bCs w:val="0"/>
          <w:sz w:val="28"/>
          <w:szCs w:val="28"/>
        </w:rPr>
        <w:t>。</w:t>
      </w:r>
    </w:p>
    <w:p>
      <w:pPr>
        <w:pStyle w:val="16"/>
        <w:tabs>
          <w:tab w:val="left" w:pos="1253"/>
        </w:tabs>
        <w:spacing w:after="0" w:line="629" w:lineRule="exact"/>
        <w:ind w:firstLine="600"/>
        <w:jc w:val="left"/>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，其中：</w:t>
      </w:r>
    </w:p>
    <w:p>
      <w:pPr>
        <w:pStyle w:val="1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临时机构没有机构代码，不能购车，不能做预算</w:t>
      </w:r>
      <w:r>
        <w:rPr>
          <w:rFonts w:hint="eastAsia"/>
          <w:b w:val="0"/>
          <w:bCs w:val="0"/>
          <w:sz w:val="28"/>
          <w:szCs w:val="28"/>
        </w:rPr>
        <w:t>。</w:t>
      </w:r>
    </w:p>
    <w:p>
      <w:pPr>
        <w:pStyle w:val="16"/>
        <w:tabs>
          <w:tab w:val="left" w:pos="1253"/>
        </w:tabs>
        <w:spacing w:after="0" w:line="629" w:lineRule="exact"/>
        <w:ind w:firstLine="600"/>
        <w:jc w:val="left"/>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临时机构没有机构代码，不能购车，没有公务用车不能做预算</w:t>
      </w:r>
      <w:r>
        <w:rPr>
          <w:rFonts w:hint="eastAsia"/>
          <w:b w:val="0"/>
          <w:bCs w:val="0"/>
          <w:sz w:val="28"/>
          <w:szCs w:val="28"/>
        </w:rPr>
        <w:t>。</w:t>
      </w:r>
    </w:p>
    <w:p>
      <w:pPr>
        <w:pStyle w:val="16"/>
        <w:tabs>
          <w:tab w:val="left" w:pos="1235"/>
        </w:tabs>
        <w:spacing w:after="0" w:line="624" w:lineRule="exact"/>
        <w:ind w:firstLine="580"/>
        <w:jc w:val="left"/>
        <w:rPr>
          <w:b/>
          <w:bCs/>
        </w:rPr>
      </w:pPr>
      <w:r>
        <w:rPr>
          <w:b/>
          <w:bCs/>
        </w:rPr>
        <w:t>八</w:t>
      </w:r>
      <w:bookmarkEnd w:id="14"/>
      <w:r>
        <w:rPr>
          <w:b/>
          <w:bCs/>
        </w:rPr>
        <w:t>、</w:t>
      </w:r>
      <w:r>
        <w:rPr>
          <w:b/>
          <w:bCs/>
        </w:rPr>
        <w:tab/>
      </w:r>
      <w:r>
        <w:rPr>
          <w:b/>
          <w:bCs/>
        </w:rPr>
        <w:t>政府性基金预算支出情况说明</w:t>
      </w:r>
    </w:p>
    <w:p>
      <w:pPr>
        <w:pStyle w:val="18"/>
        <w:spacing w:line="629" w:lineRule="exact"/>
        <w:ind w:firstLine="600"/>
        <w:jc w:val="left"/>
        <w:rPr>
          <w:rFonts w:hint="eastAsia" w:eastAsia="宋体"/>
          <w:lang w:eastAsia="zh-CN"/>
        </w:rPr>
      </w:pPr>
      <w:r>
        <w:rPr>
          <w:rFonts w:hint="eastAsia"/>
        </w:rPr>
        <w:t>我部门</w:t>
      </w:r>
      <w:r>
        <w:rPr>
          <w:rFonts w:hint="eastAsia"/>
          <w:b w:val="0"/>
          <w:bCs w:val="0"/>
          <w:sz w:val="28"/>
          <w:szCs w:val="28"/>
          <w:lang w:eastAsia="zh-CN"/>
        </w:rPr>
        <w:t>2024</w:t>
      </w:r>
      <w:r>
        <w:rPr>
          <w:rFonts w:hint="eastAsia"/>
        </w:rPr>
        <w:t>年政府性基金预算支出共</w:t>
      </w:r>
      <w:r>
        <w:rPr>
          <w:rFonts w:hint="eastAsia"/>
          <w:b w:val="0"/>
          <w:bCs w:val="0"/>
          <w:sz w:val="28"/>
          <w:szCs w:val="28"/>
          <w:lang w:eastAsia="zh-CN"/>
        </w:rPr>
        <w:t>7788.65</w:t>
      </w:r>
      <w:r>
        <w:rPr>
          <w:rFonts w:hint="eastAsia"/>
        </w:rPr>
        <w:t>万元，较2023年度预算数</w:t>
      </w:r>
      <w:r>
        <w:rPr>
          <w:rFonts w:hint="eastAsia"/>
          <w:b w:val="0"/>
          <w:bCs w:val="0"/>
          <w:sz w:val="28"/>
          <w:szCs w:val="28"/>
          <w:lang w:eastAsia="zh-CN"/>
        </w:rPr>
        <w:t>11980.00</w:t>
      </w:r>
      <w:r>
        <w:rPr>
          <w:rFonts w:hint="eastAsia"/>
        </w:rPr>
        <w:t>万元，</w:t>
      </w:r>
      <w:r>
        <w:rPr>
          <w:rFonts w:hint="eastAsia"/>
          <w:b w:val="0"/>
          <w:bCs w:val="0"/>
          <w:sz w:val="28"/>
          <w:szCs w:val="28"/>
          <w:lang w:eastAsia="zh-CN"/>
        </w:rPr>
        <w:t>减少4191.35</w:t>
      </w:r>
      <w:r>
        <w:rPr>
          <w:rFonts w:hint="eastAsia"/>
        </w:rPr>
        <w:t>万元，</w:t>
      </w:r>
      <w:r>
        <w:rPr>
          <w:rFonts w:hint="eastAsia"/>
          <w:b w:val="0"/>
          <w:bCs w:val="0"/>
          <w:sz w:val="28"/>
          <w:szCs w:val="28"/>
          <w:lang w:eastAsia="zh-CN"/>
        </w:rPr>
        <w:t>下降34.99%</w:t>
      </w:r>
      <w:r>
        <w:rPr>
          <w:rFonts w:hint="eastAsia"/>
        </w:rPr>
        <w:t>，主要原因是</w:t>
      </w:r>
      <w:r>
        <w:rPr>
          <w:rFonts w:hint="eastAsia"/>
          <w:highlight w:val="none"/>
          <w:lang w:val="en-US" w:eastAsia="zh-CN"/>
        </w:rPr>
        <w:t>土地出让业务收入减少，支出相应减少</w:t>
      </w:r>
      <w:r>
        <w:rPr>
          <w:rFonts w:hint="eastAsia"/>
        </w:rPr>
        <w:t>。</w:t>
      </w:r>
    </w:p>
    <w:p>
      <w:pPr>
        <w:pStyle w:val="16"/>
        <w:tabs>
          <w:tab w:val="left" w:pos="1235"/>
        </w:tabs>
        <w:spacing w:after="0" w:line="624" w:lineRule="exact"/>
        <w:ind w:firstLine="580"/>
        <w:jc w:val="left"/>
        <w:rPr>
          <w:b/>
          <w:bCs/>
        </w:rPr>
      </w:pPr>
      <w:bookmarkStart w:id="15" w:name="bookmark91"/>
      <w:r>
        <w:rPr>
          <w:b/>
          <w:bCs/>
        </w:rPr>
        <w:t>九</w:t>
      </w:r>
      <w:bookmarkEnd w:id="15"/>
      <w:r>
        <w:rPr>
          <w:b/>
          <w:bCs/>
        </w:rPr>
        <w:t>、</w:t>
      </w:r>
      <w:r>
        <w:rPr>
          <w:b/>
          <w:bCs/>
        </w:rPr>
        <w:tab/>
      </w:r>
      <w:r>
        <w:rPr>
          <w:b/>
          <w:bCs/>
        </w:rPr>
        <w:t>国有资本经营预算支出情况说明</w:t>
      </w:r>
    </w:p>
    <w:p>
      <w:pPr>
        <w:pStyle w:val="18"/>
        <w:spacing w:line="437" w:lineRule="auto"/>
        <w:ind w:firstLine="600"/>
        <w:jc w:val="left"/>
        <w:rPr>
          <w:rFonts w:hint="eastAsia" w:eastAsia="宋体"/>
          <w:lang w:eastAsia="zh-CN"/>
        </w:rPr>
      </w:pPr>
      <w:r>
        <w:rPr>
          <w:rFonts w:hint="eastAsia"/>
        </w:rPr>
        <w:t>我部门</w:t>
      </w:r>
      <w:r>
        <w:rPr>
          <w:rFonts w:hint="eastAsia"/>
          <w:lang w:eastAsia="zh-CN"/>
        </w:rPr>
        <w:t>2024</w:t>
      </w:r>
      <w:r>
        <w:rPr>
          <w:rFonts w:hint="eastAsia"/>
        </w:rPr>
        <w:t>年国有资本经营预算支出共</w:t>
      </w:r>
      <w:r>
        <w:rPr>
          <w:rFonts w:hint="eastAsia"/>
          <w:lang w:eastAsia="zh-CN"/>
        </w:rPr>
        <w:t>0.00</w:t>
      </w:r>
      <w:r>
        <w:rPr>
          <w:rFonts w:hint="eastAsia"/>
        </w:rPr>
        <w:t>万元，较2023年度预算数</w:t>
      </w:r>
      <w:r>
        <w:rPr>
          <w:rFonts w:hint="eastAsia"/>
          <w:lang w:eastAsia="zh-CN"/>
        </w:rPr>
        <w:t>0.00</w:t>
      </w:r>
      <w:r>
        <w:rPr>
          <w:rFonts w:hint="eastAsia"/>
        </w:rPr>
        <w:t>万元，</w:t>
      </w:r>
      <w:r>
        <w:rPr>
          <w:rFonts w:hint="eastAsia"/>
          <w:lang w:eastAsia="zh-CN"/>
        </w:rPr>
        <w:t>增加0.00</w:t>
      </w:r>
      <w:r>
        <w:rPr>
          <w:rFonts w:hint="eastAsia"/>
        </w:rPr>
        <w:t>万元，</w:t>
      </w:r>
      <w:r>
        <w:rPr>
          <w:rFonts w:hint="eastAsia"/>
          <w:lang w:eastAsia="zh-CN"/>
        </w:rPr>
        <w:t>增长0%</w:t>
      </w:r>
      <w:r>
        <w:rPr>
          <w:rFonts w:hint="eastAsia"/>
        </w:rPr>
        <w:t>，主要原因是</w:t>
      </w:r>
      <w:r>
        <w:rPr>
          <w:rFonts w:hint="eastAsia"/>
          <w:lang w:val="en-US" w:eastAsia="zh-CN"/>
        </w:rPr>
        <w:t>2024没有国有资本经营预算支出</w:t>
      </w:r>
      <w:r>
        <w:rPr>
          <w:rFonts w:hint="eastAsia"/>
        </w:rPr>
        <w:t>。</w:t>
      </w:r>
    </w:p>
    <w:p>
      <w:pPr>
        <w:pStyle w:val="16"/>
        <w:tabs>
          <w:tab w:val="left" w:pos="1235"/>
        </w:tabs>
        <w:spacing w:after="0" w:line="624" w:lineRule="exact"/>
        <w:ind w:firstLine="580"/>
        <w:jc w:val="left"/>
        <w:rPr>
          <w:b/>
          <w:bCs/>
        </w:rPr>
      </w:pPr>
      <w:r>
        <w:rPr>
          <w:b/>
          <w:bCs/>
        </w:rPr>
        <w:t>十、其他重要事项</w:t>
      </w:r>
      <w:r>
        <w:rPr>
          <w:rFonts w:hint="eastAsia"/>
          <w:b/>
          <w:bCs/>
          <w:lang w:val="en-US" w:eastAsia="zh-CN"/>
        </w:rPr>
        <w:t>情况</w:t>
      </w:r>
      <w:r>
        <w:rPr>
          <w:b/>
          <w:bCs/>
        </w:rPr>
        <w:t>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b w:val="0"/>
          <w:bCs w:val="0"/>
          <w:sz w:val="28"/>
          <w:szCs w:val="28"/>
          <w:lang w:eastAsia="zh-CN"/>
        </w:rPr>
        <w:t>2024</w:t>
      </w:r>
      <w:r>
        <w:rPr>
          <w:rFonts w:hint="eastAsia" w:ascii="宋体" w:hAnsi="宋体" w:eastAsia="宋体" w:cs="宋体"/>
          <w:sz w:val="28"/>
          <w:szCs w:val="28"/>
          <w:lang w:eastAsia="zh-CN"/>
        </w:rPr>
        <w:t>年本部门机关运行经费预算</w:t>
      </w:r>
      <w:r>
        <w:rPr>
          <w:rFonts w:hint="eastAsia" w:ascii="宋体" w:hAnsi="宋体" w:eastAsia="宋体" w:cs="宋体"/>
          <w:sz w:val="28"/>
          <w:szCs w:val="28"/>
          <w:lang w:val="en-US" w:eastAsia="zh-CN"/>
        </w:rPr>
        <w:t>0.00</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0.00</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增加0.00</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增长0%</w:t>
      </w:r>
      <w:r>
        <w:rPr>
          <w:rFonts w:hint="eastAsia" w:ascii="宋体" w:hAnsi="宋体" w:eastAsia="宋体" w:cs="宋体"/>
          <w:sz w:val="28"/>
          <w:szCs w:val="28"/>
          <w:lang w:eastAsia="zh-CN"/>
        </w:rPr>
        <w:t>，主要原因是：</w:t>
      </w:r>
      <w:r>
        <w:rPr>
          <w:rFonts w:hint="eastAsia"/>
          <w:highlight w:val="none"/>
          <w:lang w:val="en-US" w:eastAsia="zh-CN"/>
        </w:rPr>
        <w:t>本部门是临时机构2024年没有做机关运行经费预算</w:t>
      </w:r>
      <w:r>
        <w:rPr>
          <w:rFonts w:hint="eastAsia" w:ascii="宋体" w:hAnsi="宋体" w:eastAsia="宋体" w:cs="宋体"/>
          <w:sz w:val="28"/>
          <w:szCs w:val="28"/>
          <w:lang w:eastAsia="zh-CN"/>
        </w:rPr>
        <w:t>。</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18"/>
        <w:spacing w:line="624" w:lineRule="exact"/>
        <w:ind w:firstLine="600"/>
        <w:jc w:val="left"/>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highlight w:val="none"/>
          <w:lang w:val="en-US" w:eastAsia="zh-CN"/>
        </w:rPr>
        <w:t>3621</w:t>
      </w:r>
      <w:r>
        <w:rPr>
          <w:rFonts w:hint="eastAsia" w:ascii="宋体" w:hAnsi="宋体" w:eastAsia="宋体" w:cs="宋体"/>
          <w:sz w:val="28"/>
          <w:szCs w:val="28"/>
          <w:lang w:eastAsia="zh-CN"/>
        </w:rPr>
        <w:t>万元。其中：货物类采购</w:t>
      </w:r>
      <w:r>
        <w:rPr>
          <w:rFonts w:hint="eastAsia"/>
          <w:highlight w:val="none"/>
          <w:lang w:val="en-US" w:eastAsia="zh-CN"/>
        </w:rPr>
        <w:t>16</w:t>
      </w:r>
      <w:r>
        <w:rPr>
          <w:rFonts w:hint="eastAsia" w:ascii="宋体" w:hAnsi="宋体" w:eastAsia="宋体" w:cs="宋体"/>
          <w:sz w:val="28"/>
          <w:szCs w:val="28"/>
          <w:lang w:eastAsia="zh-CN"/>
        </w:rPr>
        <w:t>万元、工程类采购</w:t>
      </w:r>
      <w:r>
        <w:rPr>
          <w:rFonts w:hint="eastAsia"/>
          <w:highlight w:val="none"/>
          <w:lang w:val="en-US" w:eastAsia="zh-CN"/>
        </w:rPr>
        <w:t>3600</w:t>
      </w:r>
      <w:r>
        <w:rPr>
          <w:rFonts w:hint="eastAsia" w:ascii="宋体" w:hAnsi="宋体" w:eastAsia="宋体" w:cs="宋体"/>
          <w:sz w:val="28"/>
          <w:szCs w:val="28"/>
          <w:lang w:eastAsia="zh-CN"/>
        </w:rPr>
        <w:t>万元、服务类采购</w:t>
      </w:r>
      <w:r>
        <w:rPr>
          <w:rFonts w:hint="eastAsia"/>
          <w:highlight w:val="none"/>
          <w:lang w:val="en-US" w:eastAsia="zh-CN"/>
        </w:rPr>
        <w:t>5</w:t>
      </w:r>
      <w:r>
        <w:rPr>
          <w:rFonts w:hint="eastAsia" w:ascii="宋体" w:hAnsi="宋体" w:eastAsia="宋体" w:cs="宋体"/>
          <w:sz w:val="28"/>
          <w:szCs w:val="28"/>
          <w:lang w:eastAsia="zh-CN"/>
        </w:rPr>
        <w:t>万元。</w:t>
      </w:r>
      <w:r>
        <w:rPr>
          <w:rFonts w:hint="eastAsia" w:cs="宋体"/>
          <w:sz w:val="28"/>
          <w:szCs w:val="28"/>
          <w:lang w:val="en-US" w:eastAsia="zh-CN"/>
        </w:rPr>
        <w:t>主要用于：</w:t>
      </w:r>
      <w:r>
        <w:rPr>
          <w:rFonts w:hint="eastAsia"/>
          <w:highlight w:val="none"/>
          <w:lang w:val="en-US" w:eastAsia="zh-CN"/>
        </w:rPr>
        <w:t>1.办公耗材费：5万元；2.办公设备采购费：10万元；3.印刷费1万元；4.车辆维修费5万元；5.项目各项费用3600万元。</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highlight w:val="none"/>
          <w:lang w:val="en-US" w:eastAsia="zh-CN"/>
        </w:rPr>
        <w:t>0</w:t>
      </w:r>
      <w:r>
        <w:rPr>
          <w:rFonts w:hint="eastAsia" w:ascii="宋体" w:hAnsi="宋体" w:eastAsia="宋体" w:cs="宋体"/>
          <w:sz w:val="28"/>
          <w:szCs w:val="28"/>
          <w:lang w:eastAsia="zh-CN"/>
        </w:rPr>
        <w:t>辆，其中，应急机要通信用车</w:t>
      </w:r>
      <w:r>
        <w:rPr>
          <w:rFonts w:hint="eastAsia"/>
          <w:highlight w:val="none"/>
          <w:lang w:val="en-US" w:eastAsia="zh-CN"/>
        </w:rPr>
        <w:t>0</w:t>
      </w:r>
      <w:r>
        <w:rPr>
          <w:rFonts w:hint="eastAsia" w:ascii="宋体" w:hAnsi="宋体" w:eastAsia="宋体" w:cs="宋体"/>
          <w:sz w:val="28"/>
          <w:szCs w:val="28"/>
          <w:lang w:eastAsia="zh-CN"/>
        </w:rPr>
        <w:t>辆、一般执法执勤用车</w:t>
      </w:r>
      <w:r>
        <w:rPr>
          <w:rFonts w:hint="eastAsia"/>
          <w:highlight w:val="none"/>
          <w:lang w:val="en-US" w:eastAsia="zh-CN"/>
        </w:rPr>
        <w:t>0</w:t>
      </w:r>
      <w:r>
        <w:rPr>
          <w:rFonts w:hint="eastAsia" w:ascii="宋体" w:hAnsi="宋体" w:eastAsia="宋体" w:cs="宋体"/>
          <w:sz w:val="28"/>
          <w:szCs w:val="28"/>
          <w:lang w:eastAsia="zh-CN"/>
        </w:rPr>
        <w:t>辆、特种专业技术用车</w:t>
      </w:r>
      <w:r>
        <w:rPr>
          <w:rFonts w:hint="eastAsia"/>
          <w:highlight w:val="none"/>
          <w:lang w:val="en-US" w:eastAsia="zh-CN"/>
        </w:rPr>
        <w:t>0</w:t>
      </w:r>
      <w:r>
        <w:rPr>
          <w:rFonts w:hint="eastAsia" w:ascii="宋体" w:hAnsi="宋体" w:eastAsia="宋体" w:cs="宋体"/>
          <w:sz w:val="28"/>
          <w:szCs w:val="28"/>
          <w:lang w:eastAsia="zh-CN"/>
        </w:rPr>
        <w:t>辆、其他用车</w:t>
      </w:r>
      <w:r>
        <w:rPr>
          <w:rFonts w:hint="eastAsia"/>
          <w:highlight w:val="none"/>
          <w:lang w:val="en-US" w:eastAsia="zh-CN"/>
        </w:rPr>
        <w:t>0</w:t>
      </w:r>
      <w:r>
        <w:rPr>
          <w:rFonts w:hint="eastAsia" w:ascii="宋体" w:hAnsi="宋体" w:eastAsia="宋体" w:cs="宋体"/>
          <w:sz w:val="28"/>
          <w:szCs w:val="28"/>
          <w:lang w:eastAsia="zh-CN"/>
        </w:rPr>
        <w:t>辆，单位价值200万元以上大型设备</w:t>
      </w:r>
      <w:r>
        <w:rPr>
          <w:rFonts w:hint="eastAsia"/>
          <w:highlight w:val="none"/>
          <w:lang w:val="en-US" w:eastAsia="zh-CN"/>
        </w:rPr>
        <w:t>0</w:t>
      </w:r>
      <w:r>
        <w:rPr>
          <w:rFonts w:hint="eastAsia" w:ascii="宋体" w:hAnsi="宋体" w:eastAsia="宋体" w:cs="宋体"/>
          <w:sz w:val="28"/>
          <w:szCs w:val="28"/>
          <w:lang w:eastAsia="zh-CN"/>
        </w:rPr>
        <w:t>台（套）。</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highlight w:val="none"/>
          <w:lang w:val="en-US" w:eastAsia="zh-CN"/>
        </w:rPr>
        <w:t>7</w:t>
      </w:r>
      <w:r>
        <w:rPr>
          <w:rFonts w:hint="eastAsia" w:ascii="宋体" w:hAnsi="宋体" w:eastAsia="宋体" w:cs="宋体"/>
          <w:sz w:val="28"/>
          <w:szCs w:val="28"/>
          <w:lang w:eastAsia="zh-CN"/>
        </w:rPr>
        <w:t>个，预算资金</w:t>
      </w:r>
      <w:r>
        <w:rPr>
          <w:rFonts w:hint="eastAsia"/>
          <w:highlight w:val="none"/>
          <w:lang w:val="en-US" w:eastAsia="zh-CN"/>
        </w:rPr>
        <w:t>7788.65</w:t>
      </w:r>
      <w:r>
        <w:rPr>
          <w:rFonts w:hint="eastAsia" w:ascii="宋体" w:hAnsi="宋体" w:eastAsia="宋体" w:cs="宋体"/>
          <w:sz w:val="28"/>
          <w:szCs w:val="28"/>
          <w:lang w:eastAsia="zh-CN"/>
        </w:rPr>
        <w:t>万元。绩效目标情况详见报表（日常运转类项目、工资类人员经费项目和涉密项目等除外）。</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18"/>
        <w:spacing w:line="624" w:lineRule="exact"/>
        <w:ind w:firstLine="600"/>
        <w:jc w:val="left"/>
        <w:rPr>
          <w:rFonts w:hint="eastAsia"/>
          <w:highlight w:val="none"/>
          <w:lang w:val="en-US" w:eastAsia="zh-CN"/>
        </w:rPr>
      </w:pPr>
      <w:r>
        <w:rPr>
          <w:rFonts w:hint="eastAsia"/>
          <w:highlight w:val="none"/>
          <w:lang w:val="en-US" w:eastAsia="zh-CN"/>
        </w:rPr>
        <w:t>本临时机构没有预算绩效重点项目</w:t>
      </w:r>
    </w:p>
    <w:p>
      <w:pPr>
        <w:pStyle w:val="18"/>
        <w:spacing w:line="624" w:lineRule="exact"/>
        <w:ind w:firstLine="600"/>
        <w:jc w:val="left"/>
        <w:rPr>
          <w:rFonts w:hint="eastAsia"/>
          <w:highlight w:val="none"/>
          <w:lang w:val="en-US" w:eastAsia="zh-CN"/>
        </w:rPr>
      </w:pPr>
    </w:p>
    <w:p>
      <w:pPr>
        <w:pStyle w:val="18"/>
        <w:spacing w:line="624" w:lineRule="exact"/>
        <w:ind w:firstLine="600"/>
        <w:jc w:val="left"/>
        <w:rPr>
          <w:rFonts w:hint="default"/>
          <w:highlight w:val="none"/>
          <w:lang w:val="en-US" w:eastAsia="zh-CN"/>
        </w:rPr>
        <w:sectPr>
          <w:headerReference r:id="rId4" w:type="default"/>
          <w:footerReference r:id="rId5" w:type="default"/>
          <w:pgSz w:w="11900" w:h="16840"/>
          <w:pgMar w:top="1440" w:right="1800" w:bottom="1440" w:left="1800" w:header="0" w:footer="3" w:gutter="0"/>
          <w:pgBorders>
            <w:top w:val="none" w:sz="0" w:space="0"/>
            <w:left w:val="none" w:sz="0" w:space="0"/>
            <w:bottom w:val="none" w:sz="0" w:space="0"/>
            <w:right w:val="none" w:sz="0" w:space="0"/>
          </w:pgBorders>
          <w:cols w:space="720" w:num="1"/>
          <w:docGrid w:linePitch="360" w:charSpace="0"/>
        </w:sectPr>
      </w:pPr>
    </w:p>
    <w:bookmarkEnd w:id="10"/>
    <w:bookmarkEnd w:id="11"/>
    <w:bookmarkEnd w:id="12"/>
    <w:p>
      <w:pPr>
        <w:pStyle w:val="12"/>
        <w:keepNext/>
        <w:keepLines/>
        <w:spacing w:after="980"/>
        <w:jc w:val="center"/>
      </w:pPr>
      <w:r>
        <w:t>第</w:t>
      </w:r>
      <w:r>
        <w:rPr>
          <w:rFonts w:hint="eastAsia"/>
          <w:lang w:val="en-US" w:eastAsia="zh-CN"/>
        </w:rPr>
        <w:t>三</w:t>
      </w:r>
      <w:r>
        <w:t>部分</w:t>
      </w:r>
      <w:r>
        <w:rPr>
          <w:rFonts w:hint="eastAsia"/>
          <w:lang w:eastAsia="zh-CN"/>
        </w:rPr>
        <w:t>环江毛南族自治县征地拆迁办公室</w:t>
      </w:r>
      <w:r>
        <w:rPr>
          <w:rFonts w:hint="eastAsia" w:ascii="Times New Roman" w:hAnsi="Times New Roman" w:cs="Times New Roman"/>
          <w:sz w:val="42"/>
          <w:szCs w:val="42"/>
          <w:lang w:eastAsia="zh-CN"/>
        </w:rPr>
        <w:t>2024</w:t>
      </w:r>
      <w:r>
        <w:rPr>
          <w:rFonts w:ascii="Times New Roman" w:hAnsi="Times New Roman" w:cs="Times New Roman"/>
          <w:sz w:val="42"/>
          <w:u w:color="auto"/>
        </w:rPr>
        <w:t>年</w:t>
      </w:r>
      <w:r>
        <w:t>部门预算表</w:t>
      </w:r>
    </w:p>
    <w:p>
      <w:pPr>
        <w:pStyle w:val="22"/>
        <w:keepNext/>
        <w:keepLines/>
        <w:spacing w:after="240"/>
        <w:jc w:val="center"/>
      </w:pPr>
      <w:bookmarkStart w:id="16" w:name="bookmark29"/>
      <w:bookmarkStart w:id="17" w:name="bookmark31"/>
      <w:bookmarkStart w:id="18" w:name="bookmark30"/>
      <w:r>
        <w:t>收支总体情况表</w:t>
      </w:r>
      <w:bookmarkEnd w:id="16"/>
      <w:bookmarkEnd w:id="17"/>
      <w:bookmarkEnd w:id="18"/>
    </w:p>
    <w:tbl>
      <w:tblPr>
        <w:tblStyle w:val="4"/>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trHeight w:val="331" w:hRule="exact"/>
        </w:trPr>
        <w:tc>
          <w:tcPr>
            <w:tcW w:w="10641" w:type="dxa"/>
            <w:gridSpan w:val="3"/>
            <w:tcBorders>
              <w:bottom w:val="single" w:color="auto" w:sz="4" w:space="0"/>
            </w:tcBorders>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环江毛南族自治县征地拆迁办公室</w:t>
            </w:r>
          </w:p>
        </w:tc>
        <w:tc>
          <w:tcPr>
            <w:tcW w:w="3571" w:type="dxa"/>
            <w:tcBorders>
              <w:bottom w:val="single" w:color="auto" w:sz="4" w:space="0"/>
            </w:tcBorders>
            <w:shd w:val="clear" w:color="auto" w:fill="FFFFFF"/>
          </w:tcPr>
          <w:p>
            <w:pPr>
              <w:pStyle w:val="24"/>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62.77</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62.77</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7788.65</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5.37</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7783.28</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7788.65</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62.77</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7851.42</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7851.42</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7851.42</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7851.42</w:t>
            </w:r>
          </w:p>
        </w:tc>
      </w:tr>
    </w:tbl>
    <w:p>
      <w:pPr>
        <w:pStyle w:val="26"/>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6" w:type="default"/>
          <w:footerReference r:id="rId7" w:type="default"/>
          <w:pgSz w:w="16840" w:h="11900" w:orient="landscape"/>
          <w:pgMar w:top="2397" w:right="761" w:bottom="1966" w:left="739" w:header="0" w:footer="3" w:gutter="0"/>
          <w:pgBorders>
            <w:top w:val="none" w:sz="0" w:space="0"/>
            <w:left w:val="none" w:sz="0" w:space="0"/>
            <w:bottom w:val="none" w:sz="0" w:space="0"/>
            <w:right w:val="none" w:sz="0" w:space="0"/>
          </w:pgBorders>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1" w:type="dxa"/>
            <w:gridSpan w:val="13"/>
            <w:tcBorders>
              <w:top w:val="nil"/>
              <w:left w:val="nil"/>
              <w:right w:val="nil"/>
            </w:tcBorders>
          </w:tcPr>
          <w:p>
            <w:pPr>
              <w:pStyle w:val="26"/>
              <w:jc w:val="both"/>
              <w:rPr>
                <w:rFonts w:hint="eastAsia"/>
                <w:lang w:val="en-US" w:eastAsia="zh-CN"/>
              </w:rPr>
            </w:pPr>
            <w:r>
              <w:rPr>
                <w:sz w:val="17"/>
                <w:szCs w:val="17"/>
              </w:rPr>
              <w:t>单位名称：</w:t>
            </w:r>
            <w:r>
              <w:rPr>
                <w:rFonts w:hint="eastAsia"/>
                <w:sz w:val="17"/>
                <w:szCs w:val="17"/>
                <w:lang w:eastAsia="zh-CN"/>
              </w:rPr>
              <w:t>环江毛南族自治县征地拆迁办公室</w:t>
            </w:r>
            <w:r>
              <w:rPr>
                <w:rFonts w:hint="eastAsia"/>
                <w:lang w:val="en-US" w:eastAsia="zh-CN"/>
              </w:rPr>
              <w:t xml:space="preserve">                                                                                  </w:t>
            </w:r>
          </w:p>
        </w:tc>
        <w:tc>
          <w:tcPr>
            <w:tcW w:w="2076" w:type="dxa"/>
            <w:gridSpan w:val="3"/>
            <w:tcBorders>
              <w:top w:val="nil"/>
              <w:left w:val="nil"/>
              <w:right w:val="nil"/>
            </w:tcBorders>
          </w:tcPr>
          <w:p>
            <w:pPr>
              <w:pStyle w:val="26"/>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tcPr>
          <w:p>
            <w:pPr>
              <w:tabs>
                <w:tab w:val="left" w:pos="859"/>
              </w:tabs>
              <w:jc w:val="both"/>
              <w:rPr>
                <w:rFonts w:hint="eastAsia" w:eastAsia="宋体"/>
                <w:vertAlign w:val="baseline"/>
                <w:lang w:val="en-US" w:eastAsia="zh-CN"/>
              </w:rPr>
            </w:pPr>
            <w:r>
              <w:rPr>
                <w:sz w:val="17"/>
                <w:szCs w:val="17"/>
              </w:rPr>
              <w:t>部门（单位）代码</w:t>
            </w:r>
          </w:p>
        </w:tc>
        <w:tc>
          <w:tcPr>
            <w:tcW w:w="1279" w:type="dxa"/>
            <w:vMerge w:val="restart"/>
          </w:tcPr>
          <w:p>
            <w:pPr>
              <w:tabs>
                <w:tab w:val="left" w:pos="859"/>
              </w:tabs>
              <w:jc w:val="both"/>
              <w:rPr>
                <w:rFonts w:hint="eastAsia" w:eastAsia="宋体"/>
                <w:vertAlign w:val="baseline"/>
                <w:lang w:val="en-US" w:eastAsia="zh-CN"/>
              </w:rPr>
            </w:pPr>
            <w:r>
              <w:rPr>
                <w:sz w:val="17"/>
                <w:szCs w:val="17"/>
              </w:rPr>
              <w:t>部门（单位）名称</w:t>
            </w:r>
          </w:p>
        </w:tc>
        <w:tc>
          <w:tcPr>
            <w:tcW w:w="990" w:type="dxa"/>
            <w:vMerge w:val="restart"/>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合</w:t>
            </w:r>
            <w:r>
              <w:rPr>
                <w:sz w:val="17"/>
                <w:szCs w:val="17"/>
              </w:rPr>
              <w:t>计</w:t>
            </w:r>
          </w:p>
        </w:tc>
        <w:tc>
          <w:tcPr>
            <w:tcW w:w="4871" w:type="dxa"/>
            <w:gridSpan w:val="5"/>
          </w:tcPr>
          <w:p>
            <w:pPr>
              <w:tabs>
                <w:tab w:val="left" w:pos="859"/>
              </w:tabs>
              <w:jc w:val="both"/>
              <w:rPr>
                <w:rFonts w:hint="eastAsia" w:eastAsia="宋体"/>
                <w:vertAlign w:val="baseline"/>
                <w:lang w:val="en-US" w:eastAsia="zh-CN"/>
              </w:rPr>
            </w:pPr>
            <w:r>
              <w:rPr>
                <w:sz w:val="17"/>
                <w:szCs w:val="17"/>
              </w:rPr>
              <w:t>本年收入</w:t>
            </w:r>
          </w:p>
        </w:tc>
        <w:tc>
          <w:tcPr>
            <w:tcW w:w="6781" w:type="dxa"/>
            <w:gridSpan w:val="8"/>
          </w:tcPr>
          <w:p>
            <w:pPr>
              <w:tabs>
                <w:tab w:val="left" w:pos="859"/>
              </w:tabs>
              <w:jc w:val="both"/>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636" w:type="dxa"/>
            <w:vMerge w:val="continue"/>
          </w:tcPr>
          <w:p>
            <w:pPr>
              <w:tabs>
                <w:tab w:val="left" w:pos="859"/>
              </w:tabs>
              <w:jc w:val="both"/>
              <w:rPr>
                <w:rFonts w:hint="eastAsia" w:eastAsia="宋体"/>
                <w:vertAlign w:val="baseline"/>
                <w:lang w:val="en-US" w:eastAsia="zh-CN"/>
              </w:rPr>
            </w:pPr>
          </w:p>
        </w:tc>
        <w:tc>
          <w:tcPr>
            <w:tcW w:w="1279" w:type="dxa"/>
            <w:vMerge w:val="continue"/>
          </w:tcPr>
          <w:p>
            <w:pPr>
              <w:tabs>
                <w:tab w:val="left" w:pos="859"/>
              </w:tabs>
              <w:jc w:val="both"/>
              <w:rPr>
                <w:rFonts w:hint="eastAsia" w:eastAsia="宋体"/>
                <w:vertAlign w:val="baseline"/>
                <w:lang w:val="en-US" w:eastAsia="zh-CN"/>
              </w:rPr>
            </w:pPr>
          </w:p>
        </w:tc>
        <w:tc>
          <w:tcPr>
            <w:tcW w:w="990" w:type="dxa"/>
            <w:vMerge w:val="continue"/>
            <w:vAlign w:val="center"/>
          </w:tcPr>
          <w:p>
            <w:pPr>
              <w:pStyle w:val="24"/>
              <w:spacing w:line="240" w:lineRule="auto"/>
              <w:ind w:firstLine="300" w:firstLineChars="0"/>
              <w:jc w:val="left"/>
              <w:rPr>
                <w:rFonts w:hint="eastAsia" w:eastAsia="宋体"/>
                <w:vertAlign w:val="baseline"/>
                <w:lang w:val="en-US" w:eastAsia="zh-CN"/>
              </w:rPr>
            </w:pP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sz w:val="17"/>
                <w:szCs w:val="17"/>
              </w:rPr>
              <w:t>小计</w:t>
            </w:r>
          </w:p>
        </w:tc>
        <w:tc>
          <w:tcPr>
            <w:tcW w:w="909"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一般公共预算</w:t>
            </w:r>
          </w:p>
        </w:tc>
        <w:tc>
          <w:tcPr>
            <w:tcW w:w="116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政府性基金预算</w:t>
            </w:r>
          </w:p>
        </w:tc>
        <w:tc>
          <w:tcPr>
            <w:tcW w:w="103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44" w:type="dxa"/>
          </w:tcPr>
          <w:p>
            <w:pPr>
              <w:pStyle w:val="24"/>
              <w:spacing w:line="312" w:lineRule="exact"/>
              <w:ind w:firstLine="0"/>
              <w:jc w:val="left"/>
              <w:rPr>
                <w:sz w:val="17"/>
                <w:szCs w:val="17"/>
              </w:rPr>
            </w:pPr>
            <w:r>
              <w:rPr>
                <w:sz w:val="17"/>
                <w:szCs w:val="17"/>
              </w:rPr>
              <w:t>财政专户管理资金</w:t>
            </w:r>
          </w:p>
          <w:p>
            <w:pPr>
              <w:pStyle w:val="24"/>
              <w:spacing w:line="312" w:lineRule="exact"/>
              <w:ind w:firstLine="0" w:firstLineChars="0"/>
              <w:jc w:val="left"/>
              <w:rPr>
                <w:rFonts w:hint="eastAsia" w:eastAsia="宋体"/>
                <w:vertAlign w:val="baseline"/>
                <w:lang w:val="en-US" w:eastAsia="zh-CN"/>
              </w:rPr>
            </w:pPr>
            <w:r>
              <w:rPr>
                <w:sz w:val="17"/>
                <w:szCs w:val="17"/>
              </w:rPr>
              <w:t>收入</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sz w:val="17"/>
                <w:szCs w:val="17"/>
              </w:rPr>
              <w:t>单位资金</w:t>
            </w:r>
          </w:p>
        </w:tc>
        <w:tc>
          <w:tcPr>
            <w:tcW w:w="1035" w:type="dxa"/>
            <w:vAlign w:val="center"/>
          </w:tcPr>
          <w:p>
            <w:pPr>
              <w:pStyle w:val="24"/>
              <w:spacing w:line="240" w:lineRule="auto"/>
              <w:ind w:firstLine="300" w:firstLineChars="0"/>
              <w:jc w:val="left"/>
              <w:rPr>
                <w:rFonts w:hint="eastAsia" w:eastAsia="宋体"/>
                <w:vertAlign w:val="baseline"/>
                <w:lang w:val="en-US" w:eastAsia="zh-CN"/>
              </w:rPr>
            </w:pPr>
            <w:r>
              <w:rPr>
                <w:sz w:val="17"/>
                <w:szCs w:val="17"/>
              </w:rPr>
              <w:t>小计</w:t>
            </w:r>
          </w:p>
        </w:tc>
        <w:tc>
          <w:tcPr>
            <w:tcW w:w="101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一般公共预算</w:t>
            </w:r>
          </w:p>
        </w:tc>
        <w:tc>
          <w:tcPr>
            <w:tcW w:w="859"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政府性基金预算</w:t>
            </w:r>
          </w:p>
        </w:tc>
        <w:tc>
          <w:tcPr>
            <w:tcW w:w="1094" w:type="dxa"/>
            <w:gridSpan w:val="2"/>
            <w:vAlign w:val="center"/>
          </w:tcPr>
          <w:p>
            <w:pPr>
              <w:pStyle w:val="24"/>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72" w:type="dxa"/>
          </w:tcPr>
          <w:p>
            <w:pPr>
              <w:pStyle w:val="24"/>
              <w:spacing w:line="312" w:lineRule="exact"/>
              <w:ind w:firstLine="0"/>
              <w:jc w:val="left"/>
              <w:rPr>
                <w:sz w:val="17"/>
                <w:szCs w:val="17"/>
              </w:rPr>
            </w:pPr>
            <w:r>
              <w:rPr>
                <w:sz w:val="17"/>
                <w:szCs w:val="17"/>
              </w:rPr>
              <w:t>财政专户管理资金</w:t>
            </w:r>
          </w:p>
          <w:p>
            <w:pPr>
              <w:pStyle w:val="24"/>
              <w:spacing w:line="312" w:lineRule="exact"/>
              <w:ind w:right="280" w:rightChars="0" w:firstLine="0" w:firstLineChars="0"/>
              <w:jc w:val="left"/>
              <w:rPr>
                <w:rFonts w:hint="eastAsia" w:eastAsia="宋体"/>
                <w:vertAlign w:val="baseline"/>
                <w:lang w:val="en-US" w:eastAsia="zh-CN"/>
              </w:rPr>
            </w:pPr>
            <w:r>
              <w:rPr>
                <w:sz w:val="17"/>
                <w:szCs w:val="17"/>
              </w:rPr>
              <w:t>收入</w:t>
            </w:r>
          </w:p>
        </w:tc>
        <w:tc>
          <w:tcPr>
            <w:tcW w:w="1054" w:type="dxa"/>
            <w:vAlign w:val="center"/>
          </w:tcPr>
          <w:p>
            <w:pPr>
              <w:pStyle w:val="24"/>
              <w:spacing w:line="240" w:lineRule="auto"/>
              <w:ind w:firstLine="140" w:firstLineChars="0"/>
              <w:jc w:val="left"/>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1161"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1031"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844"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856"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1035"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24"/>
              <w:spacing w:line="240" w:lineRule="auto"/>
              <w:ind w:right="36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872" w:type="dxa"/>
            <w:vAlign w:val="center"/>
          </w:tcPr>
          <w:p>
            <w:pPr>
              <w:pStyle w:val="24"/>
              <w:spacing w:line="240" w:lineRule="auto"/>
              <w:ind w:right="38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1054" w:type="dxa"/>
            <w:vAlign w:val="center"/>
          </w:tcPr>
          <w:p>
            <w:pPr>
              <w:pStyle w:val="24"/>
              <w:spacing w:line="240" w:lineRule="auto"/>
              <w:ind w:right="42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 xml:space="preserve"> </w:t>
            </w:r>
          </w:p>
        </w:tc>
        <w:tc>
          <w:tcPr>
            <w:tcW w:w="1279" w:type="dxa"/>
          </w:tcPr>
          <w:p>
            <w:pPr>
              <w:pStyle w:val="24"/>
              <w:spacing w:line="326" w:lineRule="exact"/>
              <w:ind w:firstLine="0" w:firstLineChars="0"/>
              <w:jc w:val="left"/>
              <w:rPr>
                <w:rFonts w:hint="eastAsia" w:eastAsia="宋体"/>
                <w:vertAlign w:val="baseline"/>
                <w:lang w:val="en-US" w:eastAsia="zh-CN"/>
              </w:rPr>
            </w:pPr>
            <w:r>
              <w:rPr>
                <w:rFonts w:hint="eastAsia"/>
                <w:sz w:val="17"/>
                <w:szCs w:val="17"/>
                <w:lang w:val="en-US" w:eastAsia="zh-CN"/>
              </w:rPr>
              <w:t>合计</w:t>
            </w:r>
          </w:p>
        </w:tc>
        <w:tc>
          <w:tcPr>
            <w:tcW w:w="990"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7851.42</w:t>
            </w: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7851.42</w:t>
            </w:r>
          </w:p>
        </w:tc>
        <w:tc>
          <w:tcPr>
            <w:tcW w:w="909" w:type="dxa"/>
            <w:vAlign w:val="center"/>
          </w:tcPr>
          <w:p>
            <w:pPr>
              <w:pStyle w:val="24"/>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62.77</w:t>
            </w:r>
          </w:p>
        </w:tc>
        <w:tc>
          <w:tcPr>
            <w:tcW w:w="1161" w:type="dxa"/>
            <w:vAlign w:val="center"/>
          </w:tcPr>
          <w:p>
            <w:pPr>
              <w:pStyle w:val="24"/>
              <w:spacing w:line="240" w:lineRule="auto"/>
              <w:ind w:firstLine="520" w:firstLineChars="0"/>
              <w:jc w:val="left"/>
              <w:rPr>
                <w:rFonts w:hint="eastAsia" w:eastAsia="宋体"/>
                <w:vertAlign w:val="baseline"/>
                <w:lang w:val="en-US" w:eastAsia="zh-CN"/>
              </w:rPr>
            </w:pPr>
            <w:r>
              <w:rPr>
                <w:rFonts w:hint="eastAsia"/>
                <w:sz w:val="17"/>
                <w:szCs w:val="17"/>
                <w:lang w:val="en-US" w:eastAsia="zh-CN"/>
              </w:rPr>
              <w:t>7788.65</w:t>
            </w:r>
          </w:p>
        </w:tc>
        <w:tc>
          <w:tcPr>
            <w:tcW w:w="1031"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24"/>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24"/>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24"/>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24"/>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901009</w:t>
            </w:r>
          </w:p>
        </w:tc>
        <w:tc>
          <w:tcPr>
            <w:tcW w:w="1279" w:type="dxa"/>
          </w:tcPr>
          <w:p>
            <w:pPr>
              <w:pStyle w:val="24"/>
              <w:spacing w:line="326" w:lineRule="exact"/>
              <w:ind w:firstLine="0" w:firstLineChars="0"/>
              <w:jc w:val="left"/>
              <w:rPr>
                <w:rFonts w:hint="eastAsia" w:eastAsia="宋体"/>
                <w:vertAlign w:val="baseline"/>
                <w:lang w:val="en-US" w:eastAsia="zh-CN"/>
              </w:rPr>
            </w:pPr>
          </w:p>
        </w:tc>
        <w:tc>
          <w:tcPr>
            <w:tcW w:w="990"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7851.42</w:t>
            </w: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7851.42</w:t>
            </w:r>
          </w:p>
        </w:tc>
        <w:tc>
          <w:tcPr>
            <w:tcW w:w="909" w:type="dxa"/>
            <w:vAlign w:val="center"/>
          </w:tcPr>
          <w:p>
            <w:pPr>
              <w:pStyle w:val="24"/>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62.77</w:t>
            </w:r>
          </w:p>
        </w:tc>
        <w:tc>
          <w:tcPr>
            <w:tcW w:w="1161" w:type="dxa"/>
            <w:vAlign w:val="center"/>
          </w:tcPr>
          <w:p>
            <w:pPr>
              <w:pStyle w:val="24"/>
              <w:spacing w:line="240" w:lineRule="auto"/>
              <w:ind w:firstLine="520" w:firstLineChars="0"/>
              <w:jc w:val="left"/>
              <w:rPr>
                <w:rFonts w:hint="eastAsia" w:eastAsia="宋体"/>
                <w:vertAlign w:val="baseline"/>
                <w:lang w:val="en-US" w:eastAsia="zh-CN"/>
              </w:rPr>
            </w:pPr>
            <w:r>
              <w:rPr>
                <w:rFonts w:hint="eastAsia"/>
                <w:sz w:val="17"/>
                <w:szCs w:val="17"/>
                <w:lang w:val="en-US" w:eastAsia="zh-CN"/>
              </w:rPr>
              <w:t>7788.65</w:t>
            </w:r>
          </w:p>
        </w:tc>
        <w:tc>
          <w:tcPr>
            <w:tcW w:w="1031"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24"/>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24"/>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24"/>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24"/>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6"/>
            <w:tcBorders>
              <w:left w:val="nil"/>
              <w:bottom w:val="nil"/>
              <w:right w:val="nil"/>
            </w:tcBorders>
          </w:tcPr>
          <w:p>
            <w:pPr>
              <w:pStyle w:val="26"/>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8" w:type="default"/>
          <w:footerReference r:id="rId9" w:type="default"/>
          <w:pgSz w:w="16840" w:h="11900" w:orient="landscape"/>
          <w:pgMar w:top="2709" w:right="764" w:bottom="2709" w:left="735" w:header="2281" w:footer="3" w:gutter="0"/>
          <w:pgBorders>
            <w:top w:val="none" w:sz="0" w:space="0"/>
            <w:left w:val="none" w:sz="0" w:space="0"/>
            <w:bottom w:val="none" w:sz="0" w:space="0"/>
            <w:right w:val="none" w:sz="0" w:space="0"/>
          </w:pgBorders>
          <w:cols w:space="720" w:num="1"/>
          <w:docGrid w:linePitch="360" w:charSpace="0"/>
        </w:sectPr>
      </w:pPr>
    </w:p>
    <w:p>
      <w:pPr>
        <w:pStyle w:val="22"/>
        <w:keepNext/>
        <w:keepLines/>
        <w:spacing w:after="240"/>
        <w:jc w:val="center"/>
      </w:pPr>
      <w:bookmarkStart w:id="19" w:name="bookmark41"/>
      <w:bookmarkStart w:id="20" w:name="bookmark43"/>
      <w:bookmarkStart w:id="21" w:name="bookmark42"/>
      <w:r>
        <w:t>支出总体情况表</w:t>
      </w:r>
      <w:bookmarkEnd w:id="19"/>
      <w:bookmarkEnd w:id="20"/>
      <w:bookmarkEnd w:id="21"/>
    </w:p>
    <w:tbl>
      <w:tblPr>
        <w:tblStyle w:val="4"/>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trHeight w:val="346" w:hRule="exact"/>
        </w:trPr>
        <w:tc>
          <w:tcPr>
            <w:tcW w:w="12968" w:type="dxa"/>
            <w:gridSpan w:val="6"/>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环江毛南族自治县征地拆迁办公室</w:t>
            </w:r>
          </w:p>
        </w:tc>
        <w:tc>
          <w:tcPr>
            <w:tcW w:w="2371" w:type="dxa"/>
            <w:shd w:val="clear" w:color="auto" w:fill="FFFFFF"/>
          </w:tcPr>
          <w:p>
            <w:pPr>
              <w:pStyle w:val="24"/>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24"/>
              <w:spacing w:after="120" w:line="240" w:lineRule="auto"/>
              <w:ind w:firstLine="0"/>
              <w:jc w:val="left"/>
              <w:rPr>
                <w:sz w:val="17"/>
                <w:szCs w:val="17"/>
              </w:rPr>
            </w:pPr>
            <w:r>
              <w:rPr>
                <w:sz w:val="17"/>
                <w:szCs w:val="17"/>
              </w:rPr>
              <w:t>部门（单位）名称</w:t>
            </w:r>
          </w:p>
          <w:p>
            <w:pPr>
              <w:pStyle w:val="24"/>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7851.42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62.77</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7788.65</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901009</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7851.42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62.77</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7788.65</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2120801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征地和拆迁补偿支出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3430.28</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3430.28</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2120806</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土地出让业务支出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4353.00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4353.00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2121903</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城市建设支出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5.37</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5.37</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2200150</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事业运行</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62.77</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62.77</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26"/>
        <w:ind w:left="672"/>
        <w:jc w:val="left"/>
      </w:pPr>
      <w:r>
        <w:t>注：本报表金额单位转换时可能存在四舍五入尾数误差。</w:t>
      </w:r>
      <w:r>
        <w:br w:type="page"/>
      </w:r>
    </w:p>
    <w:p>
      <w:pPr>
        <w:pStyle w:val="22"/>
        <w:keepNext/>
        <w:keepLines/>
        <w:spacing w:after="240"/>
        <w:jc w:val="center"/>
      </w:pPr>
      <w:bookmarkStart w:id="22" w:name="bookmark46"/>
      <w:bookmarkStart w:id="23" w:name="bookmark45"/>
      <w:bookmarkStart w:id="24" w:name="bookmark44"/>
      <w:r>
        <w:t>财政拨款收支总体情况表</w:t>
      </w:r>
      <w:bookmarkEnd w:id="22"/>
      <w:bookmarkEnd w:id="23"/>
      <w:bookmarkEnd w:id="24"/>
    </w:p>
    <w:tbl>
      <w:tblPr>
        <w:tblStyle w:val="4"/>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rPr>
          <w:gridAfter w:val="1"/>
          <w:wAfter w:w="1" w:type="dxa"/>
          <w:trHeight w:val="346" w:hRule="exact"/>
        </w:trPr>
        <w:tc>
          <w:tcPr>
            <w:tcW w:w="11496" w:type="dxa"/>
            <w:gridSpan w:val="4"/>
            <w:shd w:val="clear" w:color="auto" w:fill="FFFFFF"/>
          </w:tcPr>
          <w:p>
            <w:pPr>
              <w:pStyle w:val="24"/>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环江毛南族自治县征地拆迁办公室</w:t>
            </w:r>
            <w:r>
              <w:rPr>
                <w:rFonts w:hint="eastAsia"/>
                <w:sz w:val="17"/>
                <w:szCs w:val="17"/>
                <w:lang w:val="en-US" w:eastAsia="zh-CN"/>
              </w:rPr>
              <w:t xml:space="preserve">                         </w:t>
            </w:r>
          </w:p>
        </w:tc>
        <w:tc>
          <w:tcPr>
            <w:tcW w:w="3845" w:type="dxa"/>
            <w:shd w:val="clear" w:color="auto" w:fill="FFFFFF"/>
          </w:tcPr>
          <w:p>
            <w:pPr>
              <w:pStyle w:val="24"/>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24"/>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24"/>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24"/>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24"/>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trHeight w:val="451" w:hRule="exact"/>
        </w:trPr>
        <w:tc>
          <w:tcPr>
            <w:tcW w:w="3840" w:type="dxa"/>
            <w:gridSpan w:val="2"/>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24"/>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62.77</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62.77</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7788.65</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5.37</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7783.28</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7788.65</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62.77</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7851.42</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7851.42</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7851.42</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7851.42</w:t>
            </w:r>
          </w:p>
        </w:tc>
      </w:tr>
      <w:tr>
        <w:tblPrEx>
          <w:tblCellMar>
            <w:top w:w="0" w:type="dxa"/>
            <w:left w:w="10" w:type="dxa"/>
            <w:bottom w:w="0" w:type="dxa"/>
            <w:right w:w="10" w:type="dxa"/>
          </w:tblCellMar>
        </w:tblPrEx>
        <w:trPr>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CellMar>
            <w:top w:w="0" w:type="dxa"/>
            <w:left w:w="10" w:type="dxa"/>
            <w:bottom w:w="0" w:type="dxa"/>
            <w:right w:w="10" w:type="dxa"/>
          </w:tblCellMar>
        </w:tblPrEx>
        <w:trPr>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1653"/>
        <w:gridCol w:w="1635"/>
        <w:gridCol w:w="1716"/>
        <w:gridCol w:w="1965"/>
        <w:gridCol w:w="1729"/>
        <w:gridCol w:w="1714"/>
        <w:gridCol w:w="72"/>
        <w:gridCol w:w="1689"/>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环江毛南族自治县征地拆迁办公室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24"/>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24"/>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24"/>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24"/>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24"/>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24"/>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p>
        </w:tc>
        <w:tc>
          <w:tcPr>
            <w:tcW w:w="1676"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901009</w:t>
            </w:r>
          </w:p>
        </w:tc>
        <w:tc>
          <w:tcPr>
            <w:tcW w:w="1662" w:type="dxa"/>
            <w:vAlign w:val="center"/>
          </w:tcPr>
          <w:p>
            <w:pPr>
              <w:pStyle w:val="24"/>
              <w:spacing w:line="240" w:lineRule="auto"/>
              <w:ind w:firstLine="0" w:firstLineChars="0"/>
              <w:jc w:val="center"/>
              <w:rPr>
                <w:rFonts w:hint="eastAsia"/>
                <w:vertAlign w:val="baseline"/>
                <w:lang w:eastAsia="zh-CN"/>
              </w:rPr>
            </w:pP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62.77</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62.77</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62.77</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2200150</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事业运行</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62.77</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62.77</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62.77</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pPr>
      <w:bookmarkStart w:id="25" w:name="bookmark58"/>
      <w:bookmarkStart w:id="26" w:name="bookmark56"/>
      <w:bookmarkStart w:id="27" w:name="bookmark57"/>
      <w:r>
        <w:t>一般公共预算基本支出情况表</w:t>
      </w:r>
      <w:bookmarkEnd w:id="25"/>
      <w:bookmarkEnd w:id="26"/>
      <w:bookmarkEnd w:id="27"/>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环江毛南族自治县征地拆迁办公室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10" w:type="dxa"/>
            <w:vAlign w:val="center"/>
          </w:tcPr>
          <w:p>
            <w:pPr>
              <w:pStyle w:val="24"/>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24"/>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24"/>
              <w:spacing w:line="240" w:lineRule="auto"/>
              <w:ind w:firstLine="0" w:firstLineChars="0"/>
              <w:jc w:val="center"/>
              <w:rPr>
                <w:vertAlign w:val="baseline"/>
                <w:lang w:eastAsia="zh-CN"/>
              </w:rPr>
            </w:pPr>
            <w:r>
              <w:rPr>
                <w:sz w:val="17"/>
                <w:szCs w:val="17"/>
              </w:rPr>
              <w:t>合计</w:t>
            </w:r>
          </w:p>
        </w:tc>
        <w:tc>
          <w:tcPr>
            <w:tcW w:w="3112" w:type="dxa"/>
            <w:vAlign w:val="center"/>
          </w:tcPr>
          <w:p>
            <w:pPr>
              <w:pStyle w:val="24"/>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24"/>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 xml:space="preserve"> </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62.77</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62.77</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工资福利支出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62.77</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62.77</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30199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其他工资福利支出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62.77</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62.77</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rPr>
          <w:rFonts w:hint="default"/>
          <w:sz w:val="28"/>
          <w:szCs w:val="28"/>
          <w:lang w:val="en-US" w:eastAsia="zh-CN"/>
        </w:rPr>
      </w:pPr>
      <w:bookmarkStart w:id="28" w:name="bookmark65"/>
      <w:bookmarkStart w:id="29" w:name="bookmark67"/>
      <w:bookmarkStart w:id="30" w:name="bookmark66"/>
      <w:r>
        <w:rPr>
          <w:rFonts w:hint="default"/>
          <w:sz w:val="28"/>
          <w:szCs w:val="28"/>
          <w:lang w:val="en-US" w:eastAsia="zh-CN"/>
        </w:rPr>
        <w:t>一般公共预算“三公”经费预算表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6" w:type="dxa"/>
            <w:gridSpan w:val="7"/>
            <w:tcBorders>
              <w:top w:val="nil"/>
              <w:left w:val="nil"/>
              <w:right w:val="nil"/>
            </w:tcBorders>
          </w:tcPr>
          <w:p>
            <w:pPr>
              <w:pStyle w:val="26"/>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环江毛南族自治县征地拆迁办公室                                           </w:t>
            </w:r>
            <w:r>
              <w:rPr>
                <w:rFonts w:hint="eastAsia"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1891" w:type="dxa"/>
            <w:gridSpan w:val="2"/>
            <w:tcBorders>
              <w:top w:val="nil"/>
              <w:left w:val="nil"/>
              <w:right w:val="nil"/>
            </w:tcBorders>
          </w:tcPr>
          <w:p>
            <w:pPr>
              <w:pStyle w:val="26"/>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restart"/>
          </w:tcPr>
          <w:p>
            <w:pPr>
              <w:pStyle w:val="26"/>
              <w:bidi w:val="0"/>
              <w:jc w:val="center"/>
              <w:rPr>
                <w:rFonts w:hint="eastAsia"/>
                <w:vertAlign w:val="baseline"/>
                <w:lang w:val="en-US" w:eastAsia="zh-CN"/>
              </w:rPr>
            </w:pPr>
            <w:r>
              <w:rPr>
                <w:sz w:val="17"/>
                <w:szCs w:val="17"/>
              </w:rPr>
              <w:t>门（单位）代码</w:t>
            </w:r>
          </w:p>
        </w:tc>
        <w:tc>
          <w:tcPr>
            <w:tcW w:w="1918" w:type="dxa"/>
            <w:vMerge w:val="restart"/>
          </w:tcPr>
          <w:p>
            <w:pPr>
              <w:pStyle w:val="26"/>
              <w:bidi w:val="0"/>
              <w:jc w:val="center"/>
              <w:rPr>
                <w:rFonts w:hint="eastAsia"/>
                <w:vertAlign w:val="baseline"/>
                <w:lang w:val="en-US" w:eastAsia="zh-CN"/>
              </w:rPr>
            </w:pPr>
            <w:r>
              <w:rPr>
                <w:sz w:val="17"/>
                <w:szCs w:val="17"/>
              </w:rPr>
              <w:t>部门（单位）名称</w:t>
            </w:r>
          </w:p>
        </w:tc>
        <w:tc>
          <w:tcPr>
            <w:tcW w:w="11343" w:type="dxa"/>
            <w:gridSpan w:val="7"/>
          </w:tcPr>
          <w:p>
            <w:pPr>
              <w:pStyle w:val="26"/>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restart"/>
          </w:tcPr>
          <w:p>
            <w:pPr>
              <w:pStyle w:val="26"/>
              <w:bidi w:val="0"/>
              <w:jc w:val="center"/>
              <w:rPr>
                <w:rFonts w:hint="eastAsia"/>
                <w:vertAlign w:val="baseline"/>
                <w:lang w:val="en-US" w:eastAsia="zh-CN"/>
              </w:rPr>
            </w:pPr>
            <w:r>
              <w:rPr>
                <w:sz w:val="17"/>
                <w:szCs w:val="17"/>
              </w:rPr>
              <w:t>合计</w:t>
            </w:r>
          </w:p>
        </w:tc>
        <w:tc>
          <w:tcPr>
            <w:tcW w:w="1895" w:type="dxa"/>
            <w:vMerge w:val="restart"/>
          </w:tcPr>
          <w:p>
            <w:pPr>
              <w:pStyle w:val="26"/>
              <w:bidi w:val="0"/>
              <w:jc w:val="center"/>
              <w:rPr>
                <w:rFonts w:hint="eastAsia"/>
                <w:vertAlign w:val="baseline"/>
                <w:lang w:val="en-US" w:eastAsia="zh-CN"/>
              </w:rPr>
            </w:pPr>
            <w:r>
              <w:rPr>
                <w:sz w:val="17"/>
                <w:szCs w:val="17"/>
              </w:rPr>
              <w:t>因公出国（境）费</w:t>
            </w:r>
          </w:p>
        </w:tc>
        <w:tc>
          <w:tcPr>
            <w:tcW w:w="5675" w:type="dxa"/>
            <w:gridSpan w:val="4"/>
          </w:tcPr>
          <w:p>
            <w:pPr>
              <w:pStyle w:val="26"/>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26"/>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continue"/>
          </w:tcPr>
          <w:p>
            <w:pPr>
              <w:pStyle w:val="26"/>
              <w:bidi w:val="0"/>
              <w:jc w:val="center"/>
              <w:rPr>
                <w:rFonts w:hint="eastAsia"/>
                <w:vertAlign w:val="baseline"/>
                <w:lang w:val="en-US" w:eastAsia="zh-CN"/>
              </w:rPr>
            </w:pPr>
          </w:p>
        </w:tc>
        <w:tc>
          <w:tcPr>
            <w:tcW w:w="1895" w:type="dxa"/>
            <w:vMerge w:val="continue"/>
          </w:tcPr>
          <w:p>
            <w:pPr>
              <w:pStyle w:val="26"/>
              <w:bidi w:val="0"/>
              <w:jc w:val="center"/>
              <w:rPr>
                <w:rFonts w:hint="eastAsia"/>
                <w:vertAlign w:val="baseline"/>
                <w:lang w:val="en-US" w:eastAsia="zh-CN"/>
              </w:rPr>
            </w:pPr>
          </w:p>
        </w:tc>
        <w:tc>
          <w:tcPr>
            <w:tcW w:w="1888" w:type="dxa"/>
            <w:vAlign w:val="center"/>
          </w:tcPr>
          <w:p>
            <w:pPr>
              <w:pStyle w:val="24"/>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24"/>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24"/>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26"/>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pStyle w:val="24"/>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901009</w:t>
            </w:r>
          </w:p>
        </w:tc>
        <w:tc>
          <w:tcPr>
            <w:tcW w:w="1918" w:type="dxa"/>
            <w:vAlign w:val="center"/>
          </w:tcPr>
          <w:p>
            <w:pPr>
              <w:pStyle w:val="24"/>
              <w:spacing w:line="240" w:lineRule="auto"/>
              <w:ind w:firstLine="0" w:firstLineChars="0"/>
              <w:jc w:val="left"/>
              <w:rPr>
                <w:rFonts w:hint="eastAsia"/>
                <w:vertAlign w:val="baseline"/>
                <w:lang w:val="en-US" w:eastAsia="zh-CN"/>
              </w:rPr>
            </w:pPr>
          </w:p>
        </w:tc>
        <w:tc>
          <w:tcPr>
            <w:tcW w:w="1884"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18.00</w:t>
            </w:r>
          </w:p>
        </w:tc>
        <w:tc>
          <w:tcPr>
            <w:tcW w:w="1895"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0"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7" w:type="dxa"/>
            <w:gridSpan w:val="2"/>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7" w:type="dxa"/>
            <w:gridSpan w:val="9"/>
            <w:tcBorders>
              <w:left w:val="nil"/>
              <w:bottom w:val="nil"/>
              <w:right w:val="nil"/>
            </w:tcBorders>
          </w:tcPr>
          <w:p>
            <w:pPr>
              <w:pStyle w:val="26"/>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26"/>
        <w:bidi w:val="0"/>
        <w:rPr>
          <w:rFonts w:hint="eastAsia"/>
          <w:lang w:val="en-US" w:eastAsia="zh-CN"/>
        </w:rP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6"/>
        <w:bidi w:val="0"/>
      </w:pPr>
    </w:p>
    <w:p>
      <w:pPr>
        <w:pStyle w:val="22"/>
        <w:keepNext/>
        <w:keepLines/>
        <w:spacing w:after="240"/>
        <w:jc w:val="center"/>
      </w:pPr>
      <w:r>
        <w:t>政府性基金预算支出情况表</w:t>
      </w:r>
      <w:bookmarkEnd w:id="28"/>
      <w:bookmarkEnd w:id="29"/>
      <w:bookmarkEnd w:id="3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环江毛南族自治县征地拆迁办公室</w:t>
            </w:r>
            <w:r>
              <w:tab/>
            </w:r>
            <w:r>
              <w:t>单位：万元</w:t>
            </w:r>
          </w:p>
        </w:tc>
        <w:tc>
          <w:tcPr>
            <w:tcW w:w="2163" w:type="dxa"/>
            <w:tcBorders>
              <w:top w:val="nil"/>
              <w:left w:val="nil"/>
              <w:right w:val="nil"/>
            </w:tcBorders>
          </w:tcPr>
          <w:p>
            <w:pPr>
              <w:pStyle w:val="26"/>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pStyle w:val="26"/>
              <w:bidi w:val="0"/>
              <w:jc w:val="center"/>
              <w:rPr>
                <w:vertAlign w:val="baseline"/>
              </w:rPr>
            </w:pPr>
            <w:r>
              <w:rPr>
                <w:sz w:val="17"/>
                <w:szCs w:val="17"/>
              </w:rPr>
              <w:t>科目编码</w:t>
            </w:r>
          </w:p>
        </w:tc>
        <w:tc>
          <w:tcPr>
            <w:tcW w:w="2161" w:type="dxa"/>
          </w:tcPr>
          <w:p>
            <w:pPr>
              <w:pStyle w:val="26"/>
              <w:bidi w:val="0"/>
              <w:jc w:val="center"/>
              <w:rPr>
                <w:vertAlign w:val="baseline"/>
              </w:rPr>
            </w:pPr>
            <w:r>
              <w:rPr>
                <w:sz w:val="17"/>
                <w:szCs w:val="17"/>
              </w:rPr>
              <w:t>部门（单位）代码</w:t>
            </w:r>
          </w:p>
        </w:tc>
        <w:tc>
          <w:tcPr>
            <w:tcW w:w="2162" w:type="dxa"/>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p>
        </w:tc>
        <w:tc>
          <w:tcPr>
            <w:tcW w:w="2161"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901009</w:t>
            </w:r>
          </w:p>
        </w:tc>
        <w:tc>
          <w:tcPr>
            <w:tcW w:w="2162" w:type="dxa"/>
            <w:vAlign w:val="center"/>
          </w:tcPr>
          <w:p>
            <w:pPr>
              <w:pStyle w:val="24"/>
              <w:spacing w:line="240" w:lineRule="auto"/>
              <w:ind w:firstLine="0" w:firstLineChars="0"/>
              <w:jc w:val="left"/>
              <w:rPr>
                <w:b w:val="0"/>
                <w:bCs w:val="0"/>
                <w:vertAlign w:val="baseline"/>
              </w:rPr>
            </w:pP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7788.65</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7788.65</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2120801</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征地和拆迁补偿支出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3430.28</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3430.28</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2120806</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土地出让业务支出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4353.00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4353.00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2121903</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城市建设支出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5.37</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5.37</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bidi w:val="0"/>
              <w:jc w:val="both"/>
              <w:rPr>
                <w:vertAlign w:val="baseline"/>
              </w:rPr>
            </w:pPr>
            <w:r>
              <w:t>注：本报表金额单位转换时可能存在四舍五入尾数误差</w:t>
            </w:r>
          </w:p>
        </w:tc>
      </w:tr>
    </w:tbl>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jc w:val="center"/>
        <w:rPr>
          <w:sz w:val="28"/>
          <w:szCs w:val="28"/>
        </w:rPr>
      </w:pPr>
      <w:r>
        <w:rPr>
          <w:sz w:val="28"/>
          <w:szCs w:val="28"/>
        </w:rPr>
        <w:t>国有资本经营预算支出情况表</w:t>
      </w:r>
    </w:p>
    <w:p>
      <w:pPr>
        <w:pStyle w:val="26"/>
        <w:bidi w:val="0"/>
        <w:jc w:val="center"/>
        <w:rPr>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环江毛南族自治县征地拆迁办公室</w:t>
            </w:r>
            <w:r>
              <w:tab/>
            </w:r>
            <w:r>
              <w:t>单位：万元</w:t>
            </w:r>
          </w:p>
        </w:tc>
        <w:tc>
          <w:tcPr>
            <w:tcW w:w="2163" w:type="dxa"/>
            <w:tcBorders>
              <w:top w:val="nil"/>
              <w:left w:val="nil"/>
              <w:right w:val="nil"/>
            </w:tcBorders>
          </w:tcPr>
          <w:p>
            <w:pPr>
              <w:pStyle w:val="26"/>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tcPr>
          <w:p>
            <w:pPr>
              <w:pStyle w:val="26"/>
              <w:bidi w:val="0"/>
              <w:jc w:val="center"/>
              <w:rPr>
                <w:vertAlign w:val="baseline"/>
              </w:rPr>
            </w:pPr>
            <w:r>
              <w:rPr>
                <w:sz w:val="17"/>
                <w:szCs w:val="17"/>
              </w:rPr>
              <w:t>科目编码</w:t>
            </w:r>
          </w:p>
        </w:tc>
        <w:tc>
          <w:tcPr>
            <w:tcW w:w="2161" w:type="dxa"/>
            <w:vMerge w:val="restart"/>
          </w:tcPr>
          <w:p>
            <w:pPr>
              <w:pStyle w:val="26"/>
              <w:bidi w:val="0"/>
              <w:jc w:val="center"/>
              <w:rPr>
                <w:vertAlign w:val="baseline"/>
              </w:rPr>
            </w:pPr>
            <w:r>
              <w:rPr>
                <w:sz w:val="17"/>
                <w:szCs w:val="17"/>
              </w:rPr>
              <w:t>部门（单位）代码</w:t>
            </w:r>
          </w:p>
        </w:tc>
        <w:tc>
          <w:tcPr>
            <w:tcW w:w="2162" w:type="dxa"/>
            <w:vMerge w:val="restart"/>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tcPr>
          <w:p>
            <w:pPr>
              <w:pStyle w:val="26"/>
              <w:bidi w:val="0"/>
              <w:jc w:val="both"/>
              <w:rPr>
                <w:vertAlign w:val="baseline"/>
              </w:rPr>
            </w:pPr>
          </w:p>
        </w:tc>
        <w:tc>
          <w:tcPr>
            <w:tcW w:w="2161" w:type="dxa"/>
            <w:vMerge w:val="continue"/>
          </w:tcPr>
          <w:p>
            <w:pPr>
              <w:pStyle w:val="26"/>
              <w:bidi w:val="0"/>
              <w:jc w:val="both"/>
              <w:rPr>
                <w:vertAlign w:val="baseline"/>
              </w:rPr>
            </w:pPr>
          </w:p>
        </w:tc>
        <w:tc>
          <w:tcPr>
            <w:tcW w:w="2162" w:type="dxa"/>
            <w:vMerge w:val="continue"/>
          </w:tcPr>
          <w:p>
            <w:pPr>
              <w:pStyle w:val="26"/>
              <w:bidi w:val="0"/>
              <w:jc w:val="both"/>
              <w:rPr>
                <w:vertAlign w:val="baseline"/>
              </w:rPr>
            </w:pPr>
          </w:p>
        </w:tc>
        <w:tc>
          <w:tcPr>
            <w:tcW w:w="2222"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24"/>
              <w:spacing w:line="240" w:lineRule="auto"/>
              <w:ind w:firstLine="0" w:firstLineChars="0"/>
              <w:jc w:val="left"/>
              <w:rPr>
                <w:vertAlign w:val="baseline"/>
              </w:rPr>
            </w:pPr>
            <w:r>
              <w:rPr>
                <w:sz w:val="17"/>
                <w:szCs w:val="17"/>
              </w:rPr>
              <w:t>合计</w:t>
            </w:r>
          </w:p>
        </w:tc>
        <w:tc>
          <w:tcPr>
            <w:tcW w:w="2222" w:type="dxa"/>
            <w:vAlign w:val="center"/>
          </w:tcPr>
          <w:p>
            <w:pPr>
              <w:pStyle w:val="24"/>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26"/>
              <w:bidi w:val="0"/>
              <w:jc w:val="both"/>
              <w:rPr>
                <w:vertAlign w:val="baseline"/>
              </w:rPr>
            </w:pPr>
          </w:p>
        </w:tc>
      </w:tr>
    </w:tbl>
    <w:p>
      <w:pPr>
        <w:pStyle w:val="26"/>
        <w:bidi w:val="0"/>
      </w:pPr>
    </w:p>
    <w:p>
      <w:r>
        <w:br w:type="page"/>
      </w:r>
    </w:p>
    <w:p>
      <w:pPr>
        <w:pStyle w:val="22"/>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4"/>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trHeight w:val="346" w:hRule="exact"/>
        </w:trPr>
        <w:tc>
          <w:tcPr>
            <w:tcW w:w="9263" w:type="dxa"/>
            <w:gridSpan w:val="4"/>
            <w:shd w:val="clear" w:color="auto" w:fill="FFFFFF"/>
          </w:tcPr>
          <w:p>
            <w:pPr>
              <w:pStyle w:val="24"/>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环江毛南族自治县征地拆迁办公室</w:t>
            </w:r>
            <w:r>
              <w:rPr>
                <w:rFonts w:hint="eastAsia" w:cs="宋体"/>
                <w:sz w:val="17"/>
                <w:szCs w:val="17"/>
                <w:lang w:val="en-US" w:eastAsia="zh-CN"/>
              </w:rPr>
              <w:t xml:space="preserve">            </w:t>
            </w:r>
          </w:p>
        </w:tc>
        <w:tc>
          <w:tcPr>
            <w:tcW w:w="6076" w:type="dxa"/>
            <w:shd w:val="clear" w:color="auto" w:fill="FFFFFF"/>
          </w:tcPr>
          <w:p>
            <w:pPr>
              <w:pStyle w:val="24"/>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901009</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环江毛南族自治县征地拆迁办公室</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征地工作活动经费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征地工作经费的按时支付，提高人民群众的生活水平，有利于加强政府对土地的规划利用，促进我县经济发展。</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901009</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环江毛南族自治县征地拆迁办公室</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征地拆迁安置补偿款</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1630.28</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按进度拨付征地拆迁安置补偿款</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901009</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环江毛南族自治县征地拆迁办公室</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偿还拖欠企业账款项目资金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5.37</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偿还拖欠环江县祥盛公司35KV超强刨花板项目电力迁改工程款及环江毛南族自治县征地测绘费用</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901009</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环江毛南族自治县征地拆迁办公室</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征地安置点三通一平项目相关费用</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1800.00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年初设定目标，完成安置点三通一平的工作，为环江发展做贡献，让人民生活更美好</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901009</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环江毛南族自治县征地拆迁办公室</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征地拆迁项目相关费用</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1800.00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有效控制征地拆迁成本，加快土地整理储备，保障项目顺利实施，100％支付工程款。</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901009</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环江毛南族自治县征地拆迁办公室</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征地安置补助费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1800.00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按年初计划按时支付补助费，让社会安宁，人民生活更美好</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901009</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环江毛南族自治县征地拆迁办公室</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征地工作其他交通费用</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51.00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高效做好各类项目征地拆迁工作</w:t>
            </w:r>
          </w:p>
        </w:tc>
      </w:tr>
    </w:tbl>
    <w:p>
      <w:pPr>
        <w:jc w:val="left"/>
        <w:rPr>
          <w:rFonts w:hint="eastAsia"/>
        </w:rPr>
      </w:pPr>
      <w:r>
        <w:t>注：本报表金额单位转换时可能存在四舍五入尾数误差。</w:t>
      </w:r>
    </w:p>
    <w:p>
      <w:pPr>
        <w:jc w:val="left"/>
        <w:rPr>
          <w:rFonts w:hint="eastAsia"/>
          <w:lang w:eastAsia="zh-CN"/>
        </w:rPr>
        <w:sectPr>
          <w:headerReference r:id="rId10" w:type="default"/>
          <w:footerReference r:id="rId11" w:type="default"/>
          <w:pgSz w:w="16840" w:h="11900" w:orient="landscape"/>
          <w:pgMar w:top="2714" w:right="764" w:bottom="2714" w:left="735" w:header="2286" w:footer="3" w:gutter="0"/>
          <w:pgBorders>
            <w:top w:val="none" w:sz="0" w:space="0"/>
            <w:left w:val="none" w:sz="0" w:space="0"/>
            <w:bottom w:val="none" w:sz="0" w:space="0"/>
            <w:right w:val="none" w:sz="0" w:space="0"/>
          </w:pgBorders>
          <w:cols w:space="720" w:num="1"/>
          <w:docGrid w:linePitch="360" w:charSpace="0"/>
        </w:sectPr>
      </w:pPr>
    </w:p>
    <w:p>
      <w:pPr>
        <w:pStyle w:val="12"/>
        <w:keepNext/>
        <w:keepLines/>
        <w:spacing w:before="200" w:after="0"/>
        <w:jc w:val="center"/>
      </w:pPr>
      <w:bookmarkStart w:id="31" w:name="bookmark96"/>
      <w:bookmarkStart w:id="32" w:name="bookmark94"/>
      <w:bookmarkStart w:id="33" w:name="bookmark95"/>
      <w:r>
        <w:t>第四部分名词解释</w:t>
      </w:r>
      <w:bookmarkEnd w:id="31"/>
      <w:bookmarkEnd w:id="32"/>
      <w:bookmarkEnd w:id="33"/>
    </w:p>
    <w:p>
      <w:pPr>
        <w:pStyle w:val="18"/>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18"/>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18"/>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18"/>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18"/>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18"/>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18"/>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18"/>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18"/>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18"/>
        <w:spacing w:line="628" w:lineRule="exact"/>
        <w:ind w:firstLine="640"/>
        <w:jc w:val="left"/>
      </w:pPr>
      <w:r>
        <w:t>十、项目支出：指在基本支出之外为完成特定行政任务和事业发展目标所发生的支出。</w:t>
      </w:r>
    </w:p>
    <w:p>
      <w:pPr>
        <w:pStyle w:val="18"/>
        <w:spacing w:line="628" w:lineRule="exact"/>
        <w:ind w:firstLine="640"/>
        <w:jc w:val="left"/>
      </w:pPr>
      <w:r>
        <w:t>十一、经营支出：指事业单位在专业业务活动及其辅助活动之外开展非独立核算经营活动所发生的支出。</w:t>
      </w:r>
    </w:p>
    <w:p>
      <w:pPr>
        <w:pStyle w:val="18"/>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8"/>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12" w:type="default"/>
      <w:footerReference r:id="rId13" w:type="default"/>
      <w:type w:val="continuous"/>
      <w:pgSz w:w="11900" w:h="16840"/>
      <w:pgMar w:top="1302" w:right="1735" w:bottom="1568" w:left="1793" w:header="874" w:footer="3"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90"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Y&#10;wIsR2wAAAA0BAAAPAAAAAAAAAAEAIAAAACIAAABkcnMvZG93bnJldi54bWxQSwECFAAUAAAACACH&#10;TuJAQthc9+gBAADkAwAADgAAAAAAAAABACAAAAAqAQAAZHJzL2Uyb0RvYy54bWxQSwUGAAAAAAYA&#10;BgBZAQAAhAU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91"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Y&#10;wIsR2wAAAA0BAAAPAAAAAAAAAAEAIAAAACIAAABkcnMvZG93bnJldi54bWxQSwECFAAUAAAACACH&#10;TuJAqS2H8egBAADkAwAADgAAAAAAAAABACAAAAAqAQAAZHJzL2Uyb0RvYy54bWxQSwUGAAAAAAYA&#10;BgBZAQAAhAU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dit="readOnly" w:enforcement="1" w:cryptProviderType="rsaAES" w:cryptAlgorithmClass="hash" w:cryptAlgorithmType="typeAny" w:cryptAlgorithmSid="14" w:cryptSpinCount="100000" w:hash="B70+uzvlsClZimLoyYW/uAvykhnJ7fXphW03YZzmPB9ioUvndCAuPrTfCOzfZP77pYhecHWuEqoDCHGpdvdpUA==" w:salt="lO4jQf80pPxHbRGDp61Xlw=="/>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wZTIwMjA5OTI4N2MwODc2NzEzYWVkMzg3YjQ5NmMifQ=="/>
  </w:docVars>
  <w:rsids>
    <w:rsidRoot w:val="00000000"/>
    <w:rsid w:val="42463D9C"/>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omment Text"/>
    <w:basedOn w:val="1"/>
    <w:autoRedefine/>
    <w:qFormat/>
    <w:uiPriority w:val="0"/>
  </w:style>
  <w:style w:type="character" w:customStyle="1" w:styleId="8">
    <w:name w:val="Comment Reference"/>
    <w:basedOn w:val="6"/>
    <w:autoRedefine/>
    <w:qFormat/>
    <w:uiPriority w:val="0"/>
    <w:rPr>
      <w:sz w:val="21"/>
      <w:szCs w:val="21"/>
    </w:rPr>
  </w:style>
  <w:style w:type="character" w:customStyle="1" w:styleId="9">
    <w:name w:val="Body text|5_"/>
    <w:basedOn w:val="6"/>
    <w:link w:val="10"/>
    <w:autoRedefine/>
    <w:qFormat/>
    <w:uiPriority w:val="0"/>
    <w:rPr>
      <w:rFonts w:ascii="宋体" w:hAnsi="宋体" w:eastAsia="宋体" w:cs="宋体"/>
      <w:sz w:val="54"/>
      <w:szCs w:val="54"/>
      <w:u w:val="none"/>
      <w:shd w:val="clear" w:color="auto" w:fill="auto"/>
      <w:lang w:val="zh-TW" w:eastAsia="zh-TW" w:bidi="zh-TW"/>
    </w:rPr>
  </w:style>
  <w:style w:type="paragraph" w:customStyle="1" w:styleId="10">
    <w:name w:val="Body text|5"/>
    <w:basedOn w:val="1"/>
    <w:link w:val="9"/>
    <w:autoRedefine/>
    <w:qFormat/>
    <w:uiPriority w:val="0"/>
    <w:pPr>
      <w:jc w:val="center"/>
    </w:pPr>
    <w:rPr>
      <w:rFonts w:ascii="宋体" w:hAnsi="宋体" w:eastAsia="宋体" w:cs="宋体"/>
      <w:sz w:val="54"/>
      <w:szCs w:val="54"/>
      <w:lang w:val="zh-TW" w:eastAsia="zh-TW" w:bidi="zh-TW"/>
    </w:rPr>
  </w:style>
  <w:style w:type="character" w:customStyle="1" w:styleId="11">
    <w:name w:val="Heading #1|1_"/>
    <w:basedOn w:val="6"/>
    <w:link w:val="12"/>
    <w:autoRedefine/>
    <w:qFormat/>
    <w:uiPriority w:val="0"/>
    <w:rPr>
      <w:rFonts w:ascii="宋体" w:hAnsi="宋体" w:eastAsia="宋体" w:cs="宋体"/>
      <w:sz w:val="44"/>
      <w:szCs w:val="44"/>
      <w:u w:val="none"/>
      <w:shd w:val="clear" w:color="auto" w:fill="auto"/>
      <w:lang w:val="zh-TW" w:eastAsia="zh-TW" w:bidi="zh-TW"/>
    </w:rPr>
  </w:style>
  <w:style w:type="paragraph" w:customStyle="1" w:styleId="12">
    <w:name w:val="Heading #1|1"/>
    <w:basedOn w:val="1"/>
    <w:link w:val="11"/>
    <w:autoRedefine/>
    <w:qFormat/>
    <w:uiPriority w:val="0"/>
    <w:pPr>
      <w:spacing w:after="400"/>
      <w:jc w:val="center"/>
      <w:outlineLvl w:val="0"/>
    </w:pPr>
    <w:rPr>
      <w:rFonts w:ascii="宋体" w:hAnsi="宋体" w:eastAsia="宋体" w:cs="宋体"/>
      <w:sz w:val="44"/>
      <w:szCs w:val="44"/>
      <w:lang w:val="zh-TW" w:eastAsia="zh-TW" w:bidi="zh-TW"/>
    </w:rPr>
  </w:style>
  <w:style w:type="character" w:customStyle="1" w:styleId="13">
    <w:name w:val="Header or footer|2_"/>
    <w:basedOn w:val="6"/>
    <w:link w:val="14"/>
    <w:autoRedefine/>
    <w:qFormat/>
    <w:uiPriority w:val="0"/>
    <w:rPr>
      <w:sz w:val="20"/>
      <w:szCs w:val="20"/>
      <w:u w:val="none"/>
      <w:shd w:val="clear" w:color="auto" w:fill="auto"/>
      <w:lang w:val="zh-TW" w:eastAsia="zh-TW" w:bidi="zh-TW"/>
    </w:rPr>
  </w:style>
  <w:style w:type="paragraph" w:customStyle="1" w:styleId="14">
    <w:name w:val="Header or footer|2"/>
    <w:basedOn w:val="1"/>
    <w:link w:val="13"/>
    <w:autoRedefine/>
    <w:qFormat/>
    <w:uiPriority w:val="0"/>
    <w:rPr>
      <w:sz w:val="20"/>
      <w:szCs w:val="20"/>
      <w:lang w:val="zh-TW" w:eastAsia="zh-TW" w:bidi="zh-TW"/>
    </w:rPr>
  </w:style>
  <w:style w:type="character" w:customStyle="1" w:styleId="15">
    <w:name w:val="Body text|2_"/>
    <w:basedOn w:val="6"/>
    <w:link w:val="16"/>
    <w:autoRedefine/>
    <w:qFormat/>
    <w:uiPriority w:val="0"/>
    <w:rPr>
      <w:rFonts w:ascii="宋体" w:hAnsi="宋体" w:eastAsia="宋体" w:cs="宋体"/>
      <w:sz w:val="32"/>
      <w:szCs w:val="32"/>
      <w:u w:val="none"/>
      <w:shd w:val="clear" w:color="auto" w:fill="auto"/>
      <w:lang w:val="zh-TW" w:eastAsia="zh-TW" w:bidi="zh-TW"/>
    </w:rPr>
  </w:style>
  <w:style w:type="paragraph" w:customStyle="1" w:styleId="16">
    <w:name w:val="Body text|2"/>
    <w:basedOn w:val="1"/>
    <w:link w:val="15"/>
    <w:autoRedefine/>
    <w:qFormat/>
    <w:uiPriority w:val="0"/>
    <w:pPr>
      <w:spacing w:after="240"/>
      <w:ind w:firstLine="560"/>
    </w:pPr>
    <w:rPr>
      <w:rFonts w:ascii="宋体" w:hAnsi="宋体" w:eastAsia="宋体" w:cs="宋体"/>
      <w:sz w:val="32"/>
      <w:szCs w:val="32"/>
      <w:lang w:val="zh-TW" w:eastAsia="zh-TW" w:bidi="zh-TW"/>
    </w:rPr>
  </w:style>
  <w:style w:type="character" w:customStyle="1" w:styleId="17">
    <w:name w:val="Body text|1_"/>
    <w:basedOn w:val="6"/>
    <w:link w:val="18"/>
    <w:autoRedefine/>
    <w:qFormat/>
    <w:uiPriority w:val="0"/>
    <w:rPr>
      <w:rFonts w:ascii="宋体" w:hAnsi="宋体" w:eastAsia="宋体" w:cs="宋体"/>
      <w:sz w:val="28"/>
      <w:szCs w:val="28"/>
      <w:u w:val="none"/>
      <w:shd w:val="clear" w:color="auto" w:fill="auto"/>
      <w:lang w:val="zh-TW" w:eastAsia="zh-TW" w:bidi="zh-TW"/>
    </w:rPr>
  </w:style>
  <w:style w:type="paragraph" w:customStyle="1" w:styleId="18">
    <w:name w:val="Body text|1"/>
    <w:basedOn w:val="1"/>
    <w:link w:val="17"/>
    <w:autoRedefine/>
    <w:qFormat/>
    <w:uiPriority w:val="0"/>
    <w:pPr>
      <w:spacing w:line="468" w:lineRule="auto"/>
      <w:ind w:firstLine="400"/>
    </w:pPr>
    <w:rPr>
      <w:rFonts w:ascii="宋体" w:hAnsi="宋体" w:eastAsia="宋体" w:cs="宋体"/>
      <w:sz w:val="28"/>
      <w:szCs w:val="28"/>
      <w:lang w:val="zh-TW" w:eastAsia="zh-TW" w:bidi="zh-TW"/>
    </w:rPr>
  </w:style>
  <w:style w:type="character" w:customStyle="1" w:styleId="19">
    <w:name w:val="Header or footer|1_"/>
    <w:basedOn w:val="6"/>
    <w:link w:val="20"/>
    <w:autoRedefine/>
    <w:qFormat/>
    <w:uiPriority w:val="0"/>
    <w:rPr>
      <w:b/>
      <w:bCs/>
      <w:sz w:val="17"/>
      <w:szCs w:val="17"/>
      <w:u w:val="none"/>
      <w:shd w:val="clear" w:color="auto" w:fill="auto"/>
      <w:lang w:val="zh-TW" w:eastAsia="zh-TW" w:bidi="zh-TW"/>
    </w:rPr>
  </w:style>
  <w:style w:type="paragraph" w:customStyle="1" w:styleId="20">
    <w:name w:val="Header or footer|1"/>
    <w:basedOn w:val="1"/>
    <w:link w:val="19"/>
    <w:autoRedefine/>
    <w:qFormat/>
    <w:uiPriority w:val="0"/>
    <w:rPr>
      <w:b/>
      <w:bCs/>
      <w:sz w:val="17"/>
      <w:szCs w:val="17"/>
      <w:lang w:val="zh-TW" w:eastAsia="zh-TW" w:bidi="zh-TW"/>
    </w:rPr>
  </w:style>
  <w:style w:type="character" w:customStyle="1" w:styleId="21">
    <w:name w:val="Heading #2|1_"/>
    <w:basedOn w:val="6"/>
    <w:link w:val="22"/>
    <w:autoRedefine/>
    <w:qFormat/>
    <w:uiPriority w:val="0"/>
    <w:rPr>
      <w:rFonts w:ascii="宋体" w:hAnsi="宋体" w:eastAsia="宋体" w:cs="宋体"/>
      <w:sz w:val="26"/>
      <w:szCs w:val="26"/>
      <w:u w:val="none"/>
      <w:shd w:val="clear" w:color="auto" w:fill="auto"/>
      <w:lang w:val="zh-TW" w:eastAsia="zh-TW" w:bidi="zh-TW"/>
    </w:rPr>
  </w:style>
  <w:style w:type="paragraph" w:customStyle="1" w:styleId="22">
    <w:name w:val="Heading #2|1"/>
    <w:basedOn w:val="1"/>
    <w:link w:val="21"/>
    <w:autoRedefine/>
    <w:qFormat/>
    <w:uiPriority w:val="0"/>
    <w:pPr>
      <w:spacing w:after="230"/>
      <w:jc w:val="center"/>
      <w:outlineLvl w:val="1"/>
    </w:pPr>
    <w:rPr>
      <w:rFonts w:ascii="宋体" w:hAnsi="宋体" w:eastAsia="宋体" w:cs="宋体"/>
      <w:sz w:val="26"/>
      <w:szCs w:val="26"/>
      <w:lang w:val="zh-TW" w:eastAsia="zh-TW" w:bidi="zh-TW"/>
    </w:rPr>
  </w:style>
  <w:style w:type="character" w:customStyle="1" w:styleId="23">
    <w:name w:val="Other|1_"/>
    <w:basedOn w:val="6"/>
    <w:link w:val="24"/>
    <w:autoRedefine/>
    <w:qFormat/>
    <w:uiPriority w:val="0"/>
    <w:rPr>
      <w:rFonts w:ascii="宋体" w:hAnsi="宋体" w:eastAsia="宋体" w:cs="宋体"/>
      <w:sz w:val="28"/>
      <w:szCs w:val="28"/>
      <w:u w:val="none"/>
      <w:shd w:val="clear" w:color="auto" w:fill="auto"/>
      <w:lang w:val="zh-TW" w:eastAsia="zh-TW" w:bidi="zh-TW"/>
    </w:rPr>
  </w:style>
  <w:style w:type="paragraph" w:customStyle="1" w:styleId="24">
    <w:name w:val="Other|1"/>
    <w:basedOn w:val="1"/>
    <w:link w:val="23"/>
    <w:autoRedefine/>
    <w:qFormat/>
    <w:uiPriority w:val="0"/>
    <w:pPr>
      <w:spacing w:line="468" w:lineRule="auto"/>
      <w:ind w:firstLine="400"/>
    </w:pPr>
    <w:rPr>
      <w:rFonts w:ascii="宋体" w:hAnsi="宋体" w:eastAsia="宋体" w:cs="宋体"/>
      <w:sz w:val="28"/>
      <w:szCs w:val="28"/>
      <w:lang w:val="zh-TW" w:eastAsia="zh-TW" w:bidi="zh-TW"/>
    </w:rPr>
  </w:style>
  <w:style w:type="character" w:customStyle="1" w:styleId="25">
    <w:name w:val="Table caption|1_"/>
    <w:basedOn w:val="6"/>
    <w:link w:val="26"/>
    <w:autoRedefine/>
    <w:qFormat/>
    <w:uiPriority w:val="0"/>
    <w:rPr>
      <w:rFonts w:ascii="宋体" w:hAnsi="宋体" w:eastAsia="宋体" w:cs="宋体"/>
      <w:sz w:val="17"/>
      <w:szCs w:val="17"/>
      <w:u w:val="none"/>
      <w:shd w:val="clear" w:color="auto" w:fill="auto"/>
      <w:lang w:val="zh-TW" w:eastAsia="zh-TW" w:bidi="zh-TW"/>
    </w:rPr>
  </w:style>
  <w:style w:type="paragraph" w:customStyle="1" w:styleId="26">
    <w:name w:val="Table caption|1"/>
    <w:basedOn w:val="1"/>
    <w:link w:val="25"/>
    <w:autoRedefine/>
    <w:qFormat/>
    <w:uiPriority w:val="0"/>
    <w:rPr>
      <w:rFonts w:ascii="宋体" w:hAnsi="宋体" w:eastAsia="宋体" w:cs="宋体"/>
      <w:sz w:val="17"/>
      <w:szCs w:val="17"/>
      <w:lang w:val="zh-TW" w:eastAsia="zh-TW" w:bidi="zh-TW"/>
    </w:rPr>
  </w:style>
  <w:style w:type="character" w:customStyle="1" w:styleId="27">
    <w:name w:val="Body text|4_"/>
    <w:basedOn w:val="6"/>
    <w:link w:val="28"/>
    <w:autoRedefine/>
    <w:qFormat/>
    <w:uiPriority w:val="0"/>
    <w:rPr>
      <w:rFonts w:ascii="宋体" w:hAnsi="宋体" w:eastAsia="宋体" w:cs="宋体"/>
      <w:sz w:val="17"/>
      <w:szCs w:val="17"/>
      <w:u w:val="none"/>
      <w:shd w:val="clear" w:color="auto" w:fill="auto"/>
      <w:lang w:val="zh-TW" w:eastAsia="zh-TW" w:bidi="zh-TW"/>
    </w:rPr>
  </w:style>
  <w:style w:type="paragraph" w:customStyle="1" w:styleId="28">
    <w:name w:val="Body text|4"/>
    <w:basedOn w:val="1"/>
    <w:link w:val="27"/>
    <w:autoRedefine/>
    <w:qFormat/>
    <w:uiPriority w:val="0"/>
    <w:pPr>
      <w:ind w:firstLine="680"/>
    </w:pPr>
    <w:rPr>
      <w:rFonts w:ascii="宋体" w:hAnsi="宋体" w:eastAsia="宋体" w:cs="宋体"/>
      <w:sz w:val="17"/>
      <w:szCs w:val="17"/>
      <w:lang w:val="zh-TW" w:eastAsia="zh-TW" w:bidi="zh-TW"/>
    </w:rPr>
  </w:style>
  <w:style w:type="character" w:customStyle="1" w:styleId="29">
    <w:name w:val="Body text|3_"/>
    <w:basedOn w:val="6"/>
    <w:link w:val="30"/>
    <w:autoRedefine/>
    <w:qFormat/>
    <w:uiPriority w:val="0"/>
    <w:rPr>
      <w:sz w:val="30"/>
      <w:szCs w:val="30"/>
      <w:u w:val="none"/>
      <w:shd w:val="clear" w:color="auto" w:fill="auto"/>
      <w:lang w:val="zh-TW" w:eastAsia="zh-TW" w:bidi="zh-TW"/>
    </w:rPr>
  </w:style>
  <w:style w:type="paragraph" w:customStyle="1" w:styleId="30">
    <w:name w:val="Body text|3"/>
    <w:basedOn w:val="1"/>
    <w:link w:val="29"/>
    <w:autoRedefine/>
    <w:qFormat/>
    <w:uiPriority w:val="0"/>
    <w:pPr>
      <w:spacing w:after="140" w:line="336" w:lineRule="auto"/>
      <w:ind w:firstLine="370"/>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4.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一般公共预算拨款</c:v>
                </c:pt>
                <c:pt idx="1">
                  <c:v>政府性基金预算拨款</c:v>
                </c:pt>
              </c:strCache>
            </c:strRef>
          </c:cat>
          <c:val>
            <c:numRef>
              <c:f>Sheet1!$B$2:$B$3</c:f>
              <c:numCache>
                <c:formatCode>General</c:formatCode>
                <c:ptCount val="2"/>
                <c:pt idx="0">
                  <c:v>62.77</c:v>
                </c:pt>
                <c:pt idx="1">
                  <c:v>7788.65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城乡社区支出</c:v>
                </c:pt>
                <c:pt idx="1">
                  <c:v>自然资源海洋气象等支出</c:v>
                </c:pt>
              </c:strCache>
            </c:strRef>
          </c:cat>
          <c:val>
            <c:numRef>
              <c:f>Sheet1!$B$2:$B$3</c:f>
              <c:numCache>
                <c:formatCode>General</c:formatCode>
                <c:ptCount val="2"/>
                <c:pt idx="0">
                  <c:v>7783.28</c:v>
                </c:pt>
                <c:pt idx="1">
                  <c:v>62.77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0</c:v>
                </c:pt>
                <c:pt idx="1">
                  <c:v>0</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7846.05</c:v>
                </c:pt>
                <c:pt idx="1">
                  <c:v>7846.05</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62.77</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上年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上年</c:v>
                </c:pt>
              </c:strCache>
            </c:strRef>
          </c:cat>
          <c:val>
            <c:numRef>
              <c:f>Sheet1!$D$2</c:f>
              <c:numCache>
                <c:formatCode>General</c:formatCode>
                <c:ptCount val="1"/>
                <c:pt idx="0">
                  <c:v>0</c:v>
                </c:pt>
              </c:numCache>
            </c:numRef>
          </c:val>
        </c:ser>
        <c:ser>
          <c:idx val="3"/>
          <c:order val="3"/>
          <c:tx>
            <c:strRef>
              <c:f>Sheet1!$E$1</c:f>
              <c:strCache>
                <c:ptCount val="1"/>
                <c:pt idx="0">
                  <c:v>公用经费</c:v>
                </c:pt>
              </c:strCache>
            </c:strRef>
          </c:tx>
          <c:invertIfNegative val="0"/>
          <c:dLbls>
            <c:delete val="1"/>
          </c:dLbls>
          <c:cat>
            <c:strRef>
              <c:f>Sheet1!$A$2</c:f>
              <c:strCache>
                <c:ptCount val="1"/>
                <c:pt idx="0">
                  <c:v>上年</c:v>
                </c:pt>
              </c:strCache>
            </c:strRef>
          </c:cat>
          <c:val>
            <c:numRef>
              <c:f>Sheet1!$E$2</c:f>
              <c:numCache>
                <c:formatCode>General</c:formatCode>
                <c:ptCount val="1"/>
                <c:pt idx="0">
                  <c:v>0</c:v>
                </c:pt>
              </c:numCache>
            </c:numRef>
          </c:val>
        </c:ser>
        <c:ser>
          <c:idx val="4"/>
          <c:order val="4"/>
          <c:tx>
            <c:strRef>
              <c:f>Sheet1!$F$1</c:f>
              <c:strCache>
                <c:ptCount val="1"/>
                <c:pt idx="0">
                  <c:v>人员经费</c:v>
                </c:pt>
              </c:strCache>
            </c:strRef>
          </c:tx>
          <c:invertIfNegative val="0"/>
          <c:dLbls>
            <c:delete val="1"/>
          </c:dLbls>
          <c:cat>
            <c:strRef>
              <c:f>Sheet1!$A$2</c:f>
              <c:strCache>
                <c:ptCount val="1"/>
                <c:pt idx="0">
                  <c:v>上年</c:v>
                </c:pt>
              </c:strCache>
            </c:strRef>
          </c:cat>
          <c:val>
            <c:numRef>
              <c:f>Sheet1!$F$2</c:f>
              <c:numCache>
                <c:formatCode>General</c:formatCode>
                <c:ptCount val="1"/>
                <c:pt idx="0">
                  <c:v>62.77</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人员经费</c:v>
                </c:pt>
              </c:strCache>
            </c:strRef>
          </c:cat>
          <c:val>
            <c:numRef>
              <c:f>Sheet1!$B$2</c:f>
              <c:numCache>
                <c:formatCode>General</c:formatCode>
                <c:ptCount val="1"/>
                <c:pt idx="0">
                  <c:v>125.54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公务接待费预算</c:v>
                </c:pt>
                <c:pt idx="1">
                  <c:v>公务用车购置及运行费预算</c:v>
                </c:pt>
                <c:pt idx="2">
                  <c:v>因公出国（境）经费预算</c:v>
                </c:pt>
              </c:strCache>
            </c:strRef>
          </c:cat>
          <c:val>
            <c:numRef>
              <c:f>Sheet1!$B$2:$B$4</c:f>
              <c:numCache>
                <c:formatCode>General</c:formatCode>
                <c:ptCount val="3"/>
                <c:pt idx="0">
                  <c:v>20</c:v>
                </c:pt>
                <c:pt idx="1">
                  <c:v>46</c:v>
                </c:pt>
                <c:pt idx="2">
                  <c:v>0</c:v>
                </c:pt>
              </c:numCache>
            </c:numRef>
          </c:val>
        </c:ser>
        <c:ser>
          <c:idx val="1"/>
          <c:order val="1"/>
          <c:tx>
            <c:strRef>
              <c:f>Sheet1!$C$1</c:f>
              <c:strCache>
                <c:ptCount val="1"/>
                <c:pt idx="0">
                  <c:v>当年</c:v>
                </c:pt>
              </c:strCache>
            </c:strRef>
          </c:tx>
          <c:invertIfNegative val="0"/>
          <c:dLbls>
            <c:delete val="1"/>
          </c:dLbls>
          <c:cat>
            <c:strRef>
              <c:f>Sheet1!$A$2:$A$4</c:f>
              <c:strCache>
                <c:ptCount val="3"/>
                <c:pt idx="0">
                  <c:v>公务接待费预算</c:v>
                </c:pt>
                <c:pt idx="1">
                  <c:v>公务用车购置及运行费预算</c:v>
                </c:pt>
                <c:pt idx="2">
                  <c:v>因公出国（境）经费预算</c:v>
                </c:pt>
              </c:strCache>
            </c:strRef>
          </c:cat>
          <c:val>
            <c:numRef>
              <c:f>Sheet1!$C$2:$C$4</c:f>
              <c:numCache>
                <c:formatCode>General</c:formatCode>
                <c:ptCount val="3"/>
                <c:pt idx="0">
                  <c:v>18</c:v>
                </c:pt>
                <c:pt idx="1">
                  <c:v>0</c:v>
                </c:pt>
                <c:pt idx="2">
                  <c:v>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FE193AB58C2A4C168D34CB3A6F7CE640_13</vt:lpwstr>
  </property>
</Properties>
</file>

<file path=customXml/item3.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Office_12.1.0.16388_F1E327BC-269C-435d-A152-05C5408002CA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向左走</cp:lastModifiedBy>
  <dcterms:modified xsi:type="dcterms:W3CDTF">2024-02-26T10:01:48Z</dcterms:modified>
  <cp:revision>3</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4db221-3644-4ad6-8de5-1af730016ec5}">
  <ds:schemaRefs/>
</ds:datastoreItem>
</file>

<file path=customXml/itemProps3.xml><?xml version="1.0" encoding="utf-8"?>
<ds:datastoreItem xmlns:ds="http://schemas.openxmlformats.org/officeDocument/2006/customXml" ds:itemID="{eaea52b4-1d12-491a-8a33-a6e425bb5b30}">
  <ds:schemaRefs/>
</ds:datastoreItem>
</file>

<file path=customXml/itemProps4.xml><?xml version="1.0" encoding="utf-8"?>
<ds:datastoreItem xmlns:ds="http://schemas.openxmlformats.org/officeDocument/2006/customXml" ds:itemID="{95255da3-9ec9-436a-9ce5-c3bf51e67c27}">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2023-02-07T06:11:00Z</dcterms:created>
  <dc:creator>蔡冬冬</dc:creator>
  <cp:lastModifiedBy>Administrator</cp:lastModifiedBy>
  <dcterms:modified xsi:type="dcterms:W3CDTF">2024-02-28T01:14:34Z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F020EE7744714E9C918C2ECAA0F32939_13</vt:lpwstr>
  </property>
</Properties>
</file>