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环江毛南族自治县卫生健康局</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环江毛南族自治县卫生健康局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环江毛南族自治县卫生健康局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环江毛南族自治县卫生健康局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2"/>
      <w:bookmarkStart w:id="4" w:name="bookmark13"/>
      <w:bookmarkStart w:id="5" w:name="bookmark14"/>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环江毛南族自治县卫生健康局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根据自治县委员办公室自治县人民政府办公室关于印发《环江毛南族自治县卫生他康局职能配置、内设机构和人员编制规定》的通知，（环办发[2019]30号）文件规定，本部门主要职责是：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第一条根据《环江毛南族自治县机构改革方案》和自治县机构改革实施意见精神，制定本规定。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第二条自治县卫生健康局是自治县人民政府工作部门，为正科级。加挂自治县中医药管理局牌子。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第三条自治县卫生健康局贯彻落实党中央、自治区、河池市和自治县党委关于卫生健康工作的方针政策和决策部署，在履行职责过程中坚持和加强党对卫生健康工作的集中统一领导。主要职责是：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落实上级关于卫生健康事业发展法律、法规和规章，组织拟订全县全民健康、卫生健康政策和规划，配合上级主管部门制定卫生健康地方标准并组织实施。统筹规划全县卫生健康资源配置，指导区域卫生健康规划的编制和实施。制定并组织实施推进卫生健康基本公共服务均等化、普惠化、便捷化和公共资源向基层延伸等政策措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协调推进深化医药卫生体制改革，研究提出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（三）制定并组织实施疾病预防控制规划、免疫规划以及严重危害人民健康公共卫生问题的于预措施。负责卫生应急工作，组织指导突发公共卫生事件的预防控制和各类突发公共事件的医疗卫生救援。</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（四）组织实施应对人口老龄化政策措施，负责推进老年健康服务体系建设和医养结合工作。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（五）贯彻落实国家药物政策和国家基本药物制度，开展药品使用监测、临床综合评价和短缺药品预警，提出基本药物价格政策的建议。组织开展食品安全风险监测评估。</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职责范围内的职业卫生、放射卫生、环境卫生、学校卫生、公共场所卫生、饮用水卫生等公共卫生的监督管理，负责传染病防治监督，健全卫生健康综合监督体系。依法负责职业卫生和放射卫生安全监督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监督实施医疗机构、医疗服务行业管理办法，建立医疗服务评价和监督管理体系。会同有关部门组织实施卫生健康专业技术人员资格准入。组织实施医疗服务规范、标准和卫生健康专业技术人员执业规则、服务规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（八）负责计划生育管理和服务工作，开展人口监测预警，研究提出人口与家庭发展相关政策建议，完善和组织实施计划生育政策。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（九）指导乡镇卫生健康工作，指导全县医疗卫生机构开展医疗卫生、妇幼健康服务体系和全科医生队伍建设。推进卫生健康科技创新发展。配合上级开展卫生健康领域对外交流合作与援外工作。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（十）负责自治县重要会议与重大活动的医疗卫生保障工作。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（十一）协调有关部门对全县艾滋病实施防控和于预，控制艾滋病的发生和蔓延。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（十二）负责自治县中医药管理局日常业务，指导自治县计划生育协会的业务工作。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（十三）承担自治县爱国卫生运动委员会、自治县防治艾滋病工作委员会、自治县初级卫生保健委员会、自治县老龄工作委员会的日常工作。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（十四）完成自治县党委、自治县人民政府交办的其他任务。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五）职能转变。自治县卫生健康局应当牢固树立大卫生、大健康理念，推动实施健康环江建设，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（十六）有关职责分工。</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与自治县发展和改革局的有关职责分工。自治县卫生健康局负责开展人口监测预警工作，贯彻落实生育政策，研兖提出与生育相关的人口数量、素质、结构、分布方面的政策建议，促进生育政策和相关经济社会政策配套衔接，参与制定人口发展规划和政策，落实全县人口发展规划中的有关任务。自治县发展和改革局负责组织监测和评估人口变动情况及趋势影响，建立人口预测预报制度，开展重大决策人口影响评估，完善重大人口政策咨询机制，研究提出全县人口发展战略，拟订人口发展规划和人口政策，研究提出人口与经济、社会、资源、环境协调可持续发展，以及统筹促进人口长期均衡发展的政策建议。</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与自治县民政局的有关职责分工。自治县卫生健康局负责拟订应对人口老龄化、医养结合政策措施，综合协调、督促指导、组织推进老龄事业发展，承担老年疾病防治、老年人医疗照护、老年人心理健康与关怀服务等老年健康工作。自治县民政局负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统筹推进、督促指导、监督管理养老服务工作，拟订养老服务体系建设规划、政策等并组织实施，承担老年人福利和特殊困难老年人救助工作。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与自治县市场监督管理局的有关职责分工。自治县卫生健康局会同自治县市场监督管理局等部门制定、实施食品安全风险监测计划。自治县卫生健康局对通过食品安全风险监测或者接到举报发现食品可能存在安全隐患的，应当立即组织进行检验和食品安全风险评估，并及时向自治县市场监督管理局部门通报食品安全风险评估结果，对于得出不安全结论的食品，自治县市场监督管理局应当立即采取措施。自治县市场监督管理局在监督管理工作中发现需要进行食品安全风险评估的，应当及时向自治县卫生健康局提出建议。自治县市场监督管理局会同自治县卫生健康局建立重大药品不良反应和医疗器械不良事件相互通报机制和联合处置机制。</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与自治县医疗保障局的有关职责分工。自治县卫生健康局、自治县医疗保障局等部门在医疗、医保、医药等方面加强制度、政策衔接，建立沟通协商机制，协同推进改革，提高医疗资源使用效率和医疗保障水平。</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办公室（卫生应急办公室）。负责机关日常运转工作，承担重大问题调研、重要文稿起草、安全、保密、信访、政务公开等工作。负责自治县卫生健康党工委日常事务和机关党群、党风廉政建设工作。指导直属事业单位党建和党风廉政建设工作。承担卫生应急和紧急医学救援工作，组织编制专项预案，承担预案演练的组织实施和指导监督工作。指导卫生应急体系和能力建设。负责自治县重要会议与重大活动的医疗卫生保障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人事股。拟订全县卫生健康人才发展政策，承担机关和直属单位的人事管理、机构编制和队伍建设等工作，负责卫生健康专业技术人员资格管理。组织开展助理全科医师、住院医师、专科医师培训等毕业后医学教育和继续教育工作。协助上级开展卫生健康工作领域的对外交流与合作、对外宣传、援外工作。承担机关和直属单位外事管理工作。负责机关离退休人员工作，指导直属单位的离退休人员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（三）财务股。承担机关和预算管理单位预决算、财务、资产管理和内部审计工作。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法制监督和职业健康股（行政审批办公室）。协助上级部门起草卫生健康规章草案和制定卫生健康地方标准并组织实施，承担规范性文件的合法性审查工作，承担普法宣传、行政复议、行政应诉等工作。组织推进依法行政工作，负责行政审批制度改革，承担行政审批工作。组织开展医疗卫生、学校卫生、公共场所卫生、饮用水卫生、传染病防治监督工作，查处医疗服务市场违法行为。完善综合监督体系，加强队伍和能力建设，指导规范执法行为。组织实施职业卫生、放射卫生相关政策、标准。开展重点职业病监测、专项调查、职业健康风险评估和职业人群健康管理工作。协调开展职业病防治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疾病预防控制股（老龄健康保健股）。拟订重大疾病防治规划、免疫规划、严重危害人民健康公共卫生问题的于预措施并组织实施，完善疾病预防控制体系。开展食品安全风险监测、评估和交流，配合做好新食品原料、食品添加剂新品种、食品相关产品新品种的安全性审查。协调、组织全县开展艾滋病防治工作。组织实施艾滋病防治政策、技术规范，组织开展艾滋病防治宣传教育、综合防控和救治工作，完善艾滋病防治体系建设，动员和指导社会组织及志愿者参与防治工作，组织开展艾滋病防治督查指导、考核评估工作。组织拟订并协调落实应对老龄化的政</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策措施。组织实施医养结合的政策、标准和规范，建立和完善老年健康服务体系。承担自治县老龄工作委员会的具体工作。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医政医管股（中医药管理股）。组织实施医疗机构及医务人员、医疗技术应用、医疗质量和安全、医疗服务、采供血机构管理以及行风建设等行业管理政策规范、标准并进行监督，承担推进护理、康复事业发展工作。拟订公立医院运行监管、绩效评价和考核制度。监督大型医用设备配置和使用。组织实施国家基本药物制度。开展药品使用监测、临床综合评价和短缺药品预警。提出药品价格政策和基本药物目录内药品生产鼓励扶持政策的建议。配合有关部门拟订医疗服务价格政策。贯彻落实国冢、自治区和河池市有关中医药事业发展的法律、法规、规章和政策，拟订和实施全县中医药事业发展的规划。承担中医医疗、预防、保健、康复及临床用药等的监督管理责任，监督中医医疗、保健等机构管理规范和技术标准的执行。负责中医医疗质量监测与管理。继承和发展中医药民族医药文化，推动中医药防病治病知识普及，承担保护濒临消亡的中医诊疗技术和中药生产加工技术的责任，组织开展对中医古籍的整理研究，负责指导民族医药的理论。配合上级开展中药资源普查，促进中药资源的保护、开发和合理利用。组织实施中医药科学研究、技术开发规划，指导中医药科研条件和能力建设。组织实施中医药人才发展规划，组织开展中医药师传承教育、毕业后教育、继续教育和相关人才培训工作。指导并组织实施基层医疗机构开展中医药服务工作。配合上级开展中医药对外交流与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基层卫生和妇幼健康股。组织实施基层卫生健康政策、标准和规范，指导基层卫生健康服务体系建设和乡村医生相关管理工作。负责基本公共卫生服务、全县健康扶贫管理工作。组织实施初级卫生保健工作。组织实施妇幼卫生健康政策、标准和规范，推进妇幼健康服务体系建设，指导妇幼卫生、出生缺陷防治、婴幼儿早期发展、人类辅助生殖技术管理和生育技术服务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体改宣教信息股（生育服务股）。承担深化医药卫生体制改革具体工作，研究提出深化医药卫生体制改革方针、政策、措施的建议，承担组织推进公立医院综合改革工作。承担人口监测预警工作并提出人口与家庭发展相关政策建议，执行上级生育政策。负责计划生育管理和服务工作。建立和完善计划生育特殊家庭扶助制度。组织开展卫生健康宣传、健康教育、健康促进活动，承担卫生健康科学普及、新闻、信息报道和报送工作。负责卫生健康绩效考核工作，负责组织实施各类综合性督查督导工作。承担健康环江建设协调推进工作，组织拟订我县卫生健康事业发展中长期规划，指导卫生健康服务体系、信息化建设，组织开展爱国卫生运动和卫生健康统计工作。报订卫生健康科技发展规划及相关政策并组织实施。负责本局网站维护和信息发布工作。组织实施相关科研项目，重点学科建设，指导全县医疗卫生适宜技术推广工作。承担实验室生物安全监督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第五条自治县卫生健康局机关行政编制12名。设局长（自治县中医药管理局局长）1名，副局长3名。</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暂保留机关后勤服务聘用人员控制数2名，待现有人员退出后自然消失。</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第六条自治县卫生健康局所属事业单位的设置、职责和编制事项另行规定。</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第七条本规定由自治县党委机构编制委员会办公室负责解释，其调整由自治县党委机构编制委员会办公室按规定程序办理。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第八条本规定自2019年3月25日起施行。</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环江毛南族自治县卫生健康局</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1792.51</w:t>
      </w:r>
      <w:r>
        <w:rPr>
          <w:rFonts w:hint="eastAsia"/>
          <w:b w:val="0"/>
          <w:bCs w:val="0"/>
          <w:sz w:val="28"/>
          <w:szCs w:val="28"/>
        </w:rPr>
        <w:t xml:space="preserve">万元，总支出</w:t>
      </w:r>
      <w:r>
        <w:rPr>
          <w:rFonts w:hint="eastAsia"/>
          <w:sz w:val="28"/>
          <w:szCs w:val="28"/>
          <w:lang w:val="en-US" w:eastAsia="zh-CN"/>
        </w:rPr>
        <w:t xml:space="preserve">1792.51</w:t>
      </w:r>
      <w:r>
        <w:rPr>
          <w:rFonts w:hint="eastAsia"/>
          <w:b w:val="0"/>
          <w:bCs w:val="0"/>
          <w:sz w:val="28"/>
          <w:szCs w:val="28"/>
        </w:rPr>
        <w:t xml:space="preserve">万元。总收入较2023年度预算数</w:t>
      </w:r>
      <w:r>
        <w:rPr>
          <w:rFonts w:hint="eastAsia"/>
          <w:sz w:val="28"/>
          <w:szCs w:val="28"/>
          <w:lang w:val="en-US" w:eastAsia="zh-CN"/>
        </w:rPr>
        <w:t xml:space="preserve">1841.13</w:t>
      </w:r>
      <w:r>
        <w:rPr>
          <w:rFonts w:hint="eastAsia"/>
          <w:b w:val="0"/>
          <w:bCs w:val="0"/>
          <w:sz w:val="28"/>
          <w:szCs w:val="28"/>
        </w:rPr>
        <w:t xml:space="preserve">万元，</w:t>
      </w:r>
      <w:r>
        <w:rPr>
          <w:rFonts w:hint="eastAsia"/>
          <w:sz w:val="28"/>
          <w:szCs w:val="28"/>
        </w:rPr>
        <w:t xml:space="preserve">减少48.62</w:t>
      </w:r>
      <w:r>
        <w:rPr>
          <w:rFonts w:hint="eastAsia"/>
          <w:b w:val="0"/>
          <w:bCs w:val="0"/>
          <w:sz w:val="28"/>
          <w:szCs w:val="28"/>
        </w:rPr>
        <w:t xml:space="preserve">万元，</w:t>
      </w:r>
      <w:r>
        <w:rPr>
          <w:rFonts w:hint="eastAsia"/>
          <w:sz w:val="28"/>
          <w:szCs w:val="28"/>
        </w:rPr>
        <w:t xml:space="preserve">下降2.64%</w:t>
      </w:r>
      <w:r>
        <w:rPr>
          <w:rFonts w:hint="eastAsia"/>
          <w:b w:val="0"/>
          <w:bCs w:val="0"/>
          <w:sz w:val="28"/>
          <w:szCs w:val="28"/>
        </w:rPr>
        <w:t xml:space="preserve">，主要原因是</w:t>
      </w:r>
      <w:r>
        <w:rPr>
          <w:rFonts w:hint="eastAsia"/>
          <w:highlight w:val="none"/>
          <w:lang w:val="en-US" w:eastAsia="zh-CN"/>
        </w:rPr>
        <w:t xml:space="preserve">项目减少</w:t>
      </w:r>
      <w:r>
        <w:rPr>
          <w:rFonts w:hint="eastAsia"/>
          <w:b w:val="0"/>
          <w:bCs w:val="0"/>
          <w:sz w:val="28"/>
          <w:szCs w:val="28"/>
        </w:rPr>
        <w:t xml:space="preserve">。总支出较2023年度预算数</w:t>
      </w:r>
      <w:r>
        <w:rPr>
          <w:rFonts w:hint="eastAsia"/>
          <w:sz w:val="28"/>
          <w:szCs w:val="28"/>
          <w:lang w:val="en-US" w:eastAsia="zh-CN"/>
        </w:rPr>
        <w:t xml:space="preserve">1841.13</w:t>
      </w:r>
      <w:r>
        <w:rPr>
          <w:rFonts w:hint="eastAsia"/>
          <w:b w:val="0"/>
          <w:bCs w:val="0"/>
          <w:sz w:val="28"/>
          <w:szCs w:val="28"/>
        </w:rPr>
        <w:t xml:space="preserve">万元，</w:t>
      </w:r>
      <w:r>
        <w:rPr>
          <w:rFonts w:hint="eastAsia"/>
          <w:sz w:val="28"/>
          <w:szCs w:val="28"/>
        </w:rPr>
        <w:t xml:space="preserve">减少48.62</w:t>
      </w:r>
      <w:r>
        <w:rPr>
          <w:rFonts w:hint="eastAsia"/>
          <w:b w:val="0"/>
          <w:bCs w:val="0"/>
          <w:sz w:val="28"/>
          <w:szCs w:val="28"/>
        </w:rPr>
        <w:t xml:space="preserve">万元，</w:t>
      </w:r>
      <w:r>
        <w:rPr>
          <w:rFonts w:hint="eastAsia"/>
          <w:sz w:val="28"/>
          <w:szCs w:val="28"/>
        </w:rPr>
        <w:t xml:space="preserve">下降2.64%</w:t>
      </w:r>
      <w:r>
        <w:rPr>
          <w:rFonts w:hint="eastAsia"/>
          <w:b w:val="0"/>
          <w:bCs w:val="0"/>
          <w:sz w:val="28"/>
          <w:szCs w:val="28"/>
        </w:rPr>
        <w:t xml:space="preserve">，主要原因是</w:t>
      </w:r>
      <w:r>
        <w:rPr>
          <w:rFonts w:hint="eastAsia"/>
          <w:highlight w:val="none"/>
          <w:lang w:val="en-US" w:eastAsia="zh-CN"/>
        </w:rPr>
        <w:t xml:space="preserve">项目减少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bookmarkStart w:id="14" w:name="_GoBack"/>
      <w:bookmarkEnd w:id="14"/>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193"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1792.51</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1841.13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减少48.62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下降2.64%</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2024年项目较2023年减少2个</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194"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1792.51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1841.13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减少48.62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下降2.64%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2024年项目较2023年减少2个</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2023年年初预算结转251.3万元，2024年上年结转93.52万元，且2024年项目减少2个，故预算较上年下降</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1648.74</w:t>
      </w:r>
      <w:r>
        <w:rPr>
          <w:rFonts w:hint="eastAsia"/>
        </w:rPr>
        <w:t xml:space="preserve">万元，占支出总预算</w:t>
      </w:r>
      <w:r>
        <w:rPr>
          <w:rFonts w:hint="eastAsia"/>
          <w:lang w:val="en-US" w:eastAsia="zh-CN"/>
        </w:rPr>
        <w:t xml:space="preserve">91.98%</w:t>
      </w:r>
      <w:r>
        <w:rPr>
          <w:rFonts w:hint="eastAsia"/>
        </w:rPr>
        <w:t xml:space="preserve">,比上年</w:t>
      </w:r>
      <w:r>
        <w:rPr>
          <w:rFonts w:hint="eastAsia"/>
          <w:lang w:val="en-US" w:eastAsia="zh-CN"/>
        </w:rPr>
        <w:t xml:space="preserve">减少56.34</w:t>
      </w:r>
      <w:r>
        <w:rPr>
          <w:rFonts w:hint="eastAsia"/>
        </w:rPr>
        <w:t xml:space="preserve">万元，</w:t>
      </w:r>
      <w:r>
        <w:rPr>
          <w:rFonts w:hint="eastAsia"/>
          <w:lang w:val="en-US" w:eastAsia="zh-CN"/>
        </w:rPr>
        <w:t xml:space="preserve">减少3.30%</w:t>
      </w:r>
      <w:r>
        <w:rPr>
          <w:rFonts w:hint="eastAsia"/>
        </w:rPr>
        <w:t xml:space="preserve">,</w:t>
      </w:r>
      <w:r>
        <w:rPr>
          <w:rFonts w:hint="eastAsia"/>
          <w:highlight w:val="none"/>
        </w:rPr>
        <w:t xml:space="preserve">主要原因是：</w:t>
      </w:r>
      <w:r>
        <w:rPr>
          <w:rFonts w:hint="eastAsia"/>
          <w:highlight w:val="none"/>
          <w:lang w:val="en-US" w:eastAsia="zh-CN"/>
        </w:rPr>
        <w:t xml:space="preserve">2024年项目减少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74.88</w:t>
      </w:r>
      <w:r>
        <w:rPr>
          <w:rFonts w:hint="eastAsia"/>
        </w:rPr>
        <w:t xml:space="preserve">万元，占支出总预算</w:t>
      </w:r>
      <w:r>
        <w:rPr>
          <w:rFonts w:hint="eastAsia"/>
          <w:lang w:val="en-US" w:eastAsia="zh-CN"/>
        </w:rPr>
        <w:t xml:space="preserve">4.18%</w:t>
      </w:r>
      <w:r>
        <w:rPr>
          <w:rFonts w:hint="eastAsia"/>
        </w:rPr>
        <w:t xml:space="preserve">,比上年</w:t>
      </w:r>
      <w:r>
        <w:rPr>
          <w:rFonts w:hint="eastAsia"/>
          <w:lang w:val="en-US" w:eastAsia="zh-CN"/>
        </w:rPr>
        <w:t xml:space="preserve">增长1.39</w:t>
      </w:r>
      <w:r>
        <w:rPr>
          <w:rFonts w:hint="eastAsia"/>
        </w:rPr>
        <w:t xml:space="preserve">万元，</w:t>
      </w:r>
      <w:r>
        <w:rPr>
          <w:rFonts w:hint="eastAsia"/>
          <w:lang w:val="en-US" w:eastAsia="zh-CN"/>
        </w:rPr>
        <w:t xml:space="preserve">增长1.89%</w:t>
      </w:r>
      <w:r>
        <w:rPr>
          <w:rFonts w:hint="eastAsia"/>
        </w:rPr>
        <w:t xml:space="preserve">,</w:t>
      </w:r>
      <w:r>
        <w:rPr>
          <w:rFonts w:hint="eastAsia"/>
          <w:highlight w:val="none"/>
        </w:rPr>
        <w:t xml:space="preserve">主要原因是：</w:t>
      </w:r>
      <w:r>
        <w:rPr>
          <w:rFonts w:hint="eastAsia"/>
          <w:highlight w:val="none"/>
          <w:lang w:val="en-US" w:eastAsia="zh-CN"/>
        </w:rPr>
        <w:t xml:space="preserve">人员各项保险基数调整增加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62.59</w:t>
      </w:r>
      <w:r>
        <w:rPr>
          <w:rFonts w:hint="eastAsia"/>
        </w:rPr>
        <w:t xml:space="preserve">万元，占支出总预算</w:t>
      </w:r>
      <w:r>
        <w:rPr>
          <w:rFonts w:hint="eastAsia"/>
          <w:lang w:val="en-US" w:eastAsia="zh-CN"/>
        </w:rPr>
        <w:t xml:space="preserve">3.49%</w:t>
      </w:r>
      <w:r>
        <w:rPr>
          <w:rFonts w:hint="eastAsia"/>
        </w:rPr>
        <w:t xml:space="preserve">,比上年</w:t>
      </w:r>
      <w:r>
        <w:rPr>
          <w:rFonts w:hint="eastAsia"/>
          <w:lang w:val="en-US" w:eastAsia="zh-CN"/>
        </w:rPr>
        <w:t xml:space="preserve">增长8.97</w:t>
      </w:r>
      <w:r>
        <w:rPr>
          <w:rFonts w:hint="eastAsia"/>
        </w:rPr>
        <w:t xml:space="preserve">万元，</w:t>
      </w:r>
      <w:r>
        <w:rPr>
          <w:rFonts w:hint="eastAsia"/>
          <w:lang w:val="en-US" w:eastAsia="zh-CN"/>
        </w:rPr>
        <w:t xml:space="preserve">增长16.73%</w:t>
      </w:r>
      <w:r>
        <w:rPr>
          <w:rFonts w:hint="eastAsia"/>
        </w:rPr>
        <w:t xml:space="preserve">,</w:t>
      </w:r>
      <w:r>
        <w:rPr>
          <w:rFonts w:hint="eastAsia"/>
          <w:highlight w:val="none"/>
        </w:rPr>
        <w:t xml:space="preserve">主要原因是：</w:t>
      </w:r>
      <w:r>
        <w:rPr>
          <w:rFonts w:hint="eastAsia"/>
          <w:highlight w:val="none"/>
          <w:lang w:val="en-US" w:eastAsia="zh-CN"/>
        </w:rPr>
        <w:t xml:space="preserve">人员调入，支出增加</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6.31</w:t>
      </w:r>
      <w:r>
        <w:rPr>
          <w:rFonts w:hint="eastAsia"/>
        </w:rPr>
        <w:t xml:space="preserve">万元，占支出总预算</w:t>
      </w:r>
      <w:r>
        <w:rPr>
          <w:rFonts w:hint="eastAsia"/>
          <w:lang w:val="en-US" w:eastAsia="zh-CN"/>
        </w:rPr>
        <w:t xml:space="preserve">0.35%</w:t>
      </w:r>
      <w:r>
        <w:rPr>
          <w:rFonts w:hint="eastAsia"/>
        </w:rPr>
        <w:t xml:space="preserve">,比上年</w:t>
      </w:r>
      <w:r>
        <w:rPr>
          <w:rFonts w:hint="eastAsia"/>
          <w:lang w:val="en-US" w:eastAsia="zh-CN"/>
        </w:rPr>
        <w:t xml:space="preserve">减少2.63</w:t>
      </w:r>
      <w:r>
        <w:rPr>
          <w:rFonts w:hint="eastAsia"/>
        </w:rPr>
        <w:t xml:space="preserve">万元，</w:t>
      </w:r>
      <w:r>
        <w:rPr>
          <w:rFonts w:hint="eastAsia"/>
          <w:lang w:val="en-US" w:eastAsia="zh-CN"/>
        </w:rPr>
        <w:t xml:space="preserve">减少29.42%</w:t>
      </w:r>
      <w:r>
        <w:rPr>
          <w:rFonts w:hint="eastAsia"/>
        </w:rPr>
        <w:t xml:space="preserve">,</w:t>
      </w:r>
      <w:r>
        <w:rPr>
          <w:rFonts w:hint="eastAsia"/>
          <w:highlight w:val="none"/>
        </w:rPr>
        <w:t xml:space="preserve">主要原因是：</w:t>
      </w:r>
      <w:r>
        <w:rPr>
          <w:rFonts w:hint="eastAsia"/>
          <w:highlight w:val="none"/>
          <w:lang w:val="en-US" w:eastAsia="zh-CN"/>
        </w:rPr>
        <w:t xml:space="preserve">工会经费预算基数减少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680.20</w:t>
      </w:r>
      <w:r>
        <w:rPr>
          <w:rFonts w:hint="eastAsia"/>
        </w:rPr>
        <w:t xml:space="preserve">万元，占支出预算</w:t>
      </w:r>
      <w:r>
        <w:rPr>
          <w:u w:color="auto"/>
        </w:rPr>
        <w:t xml:space="preserve">37.95%</w:t>
      </w:r>
      <w:r>
        <w:rPr>
          <w:u w:color="auto"/>
        </w:rPr>
        <w:t xml:space="preserve">,比上年</w:t>
      </w:r>
      <w:r>
        <w:rPr>
          <w:u w:color="auto"/>
        </w:rPr>
        <w:t xml:space="preserve">增长90.42</w:t>
      </w:r>
      <w:r>
        <w:rPr>
          <w:u w:color="auto"/>
        </w:rPr>
        <w:t xml:space="preserve">万元，</w:t>
      </w:r>
      <w:r>
        <w:rPr>
          <w:u w:color="auto"/>
        </w:rPr>
        <w:t xml:space="preserve">增长15.33%</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584.41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85.92%</w:t>
      </w:r>
      <w:r>
        <w:rPr>
          <w:rFonts w:ascii="宋体" w:eastAsia="宋体" w:hAnsi="宋体" w:cs="宋体" w:hint="eastAsia"/>
          <w:sz w:val="28"/>
          <w:szCs w:val="28"/>
        </w:rPr>
        <w:t xml:space="preserve">,比上年</w:t>
      </w:r>
      <w:r>
        <w:rPr>
          <w:rFonts w:ascii="宋体" w:eastAsia="宋体" w:hAnsi="宋体" w:cs="宋体"/>
          <w:sz w:val="28"/>
          <w:u w:color="auto"/>
        </w:rPr>
        <w:t xml:space="preserve">增长71.77</w:t>
      </w:r>
      <w:r>
        <w:rPr>
          <w:rFonts w:ascii="宋体" w:eastAsia="宋体" w:hAnsi="宋体" w:cs="宋体"/>
          <w:sz w:val="28"/>
          <w:u w:color="auto"/>
        </w:rPr>
        <w:t xml:space="preserve">万元，</w:t>
      </w:r>
      <w:r>
        <w:rPr>
          <w:rFonts w:ascii="宋体" w:eastAsia="宋体" w:hAnsi="宋体" w:cs="宋体"/>
          <w:sz w:val="28"/>
          <w:u w:color="auto"/>
        </w:rPr>
        <w:t xml:space="preserve">增长14.00%</w:t>
      </w:r>
      <w:r>
        <w:rPr>
          <w:rFonts w:ascii="宋体" w:eastAsia="宋体" w:hAnsi="宋体" w:cs="宋体"/>
          <w:sz w:val="28"/>
          <w:u w:color="auto"/>
        </w:rPr>
        <w:t xml:space="preserve">,主要原因是：人员增加，工资福利相应增加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50.28</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7.39%</w:t>
      </w:r>
      <w:r>
        <w:rPr>
          <w:rFonts w:ascii="宋体" w:eastAsia="宋体" w:hAnsi="宋体" w:cs="宋体" w:hint="eastAsia"/>
          <w:sz w:val="28"/>
          <w:szCs w:val="28"/>
        </w:rPr>
        <w:t xml:space="preserve">,比上年</w:t>
      </w:r>
      <w:r>
        <w:rPr>
          <w:rFonts w:ascii="宋体" w:eastAsia="宋体" w:hAnsi="宋体" w:cs="宋体"/>
          <w:sz w:val="28"/>
          <w:u w:color="auto"/>
        </w:rPr>
        <w:t xml:space="preserve">增长0.96</w:t>
      </w:r>
      <w:r>
        <w:rPr>
          <w:rFonts w:ascii="宋体" w:eastAsia="宋体" w:hAnsi="宋体" w:cs="宋体"/>
          <w:sz w:val="28"/>
          <w:u w:color="auto"/>
        </w:rPr>
        <w:t xml:space="preserve">万元，</w:t>
      </w:r>
      <w:r>
        <w:rPr>
          <w:rFonts w:ascii="宋体" w:eastAsia="宋体" w:hAnsi="宋体" w:cs="宋体"/>
          <w:sz w:val="28"/>
          <w:u w:color="auto"/>
        </w:rPr>
        <w:t xml:space="preserve">增长1.95%</w:t>
      </w:r>
      <w:r>
        <w:rPr>
          <w:rFonts w:ascii="宋体" w:eastAsia="宋体" w:hAnsi="宋体" w:cs="宋体"/>
          <w:sz w:val="28"/>
          <w:u w:color="auto"/>
        </w:rPr>
        <w:t xml:space="preserve">,主要原因是：公用经费支出正常增加</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45.51</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6.69%</w:t>
      </w:r>
      <w:r>
        <w:rPr>
          <w:rFonts w:ascii="宋体" w:eastAsia="宋体" w:hAnsi="宋体" w:cs="宋体" w:hint="eastAsia"/>
          <w:sz w:val="28"/>
          <w:szCs w:val="28"/>
        </w:rPr>
        <w:t xml:space="preserve">,比上年</w:t>
      </w:r>
      <w:r>
        <w:rPr>
          <w:rFonts w:ascii="宋体" w:eastAsia="宋体" w:hAnsi="宋体" w:cs="宋体"/>
          <w:sz w:val="28"/>
          <w:u w:color="auto"/>
        </w:rPr>
        <w:t xml:space="preserve">增长17.69</w:t>
      </w:r>
      <w:r>
        <w:rPr>
          <w:rFonts w:ascii="宋体" w:eastAsia="宋体" w:hAnsi="宋体" w:cs="宋体"/>
          <w:sz w:val="28"/>
          <w:u w:color="auto"/>
        </w:rPr>
        <w:t xml:space="preserve">万元，</w:t>
      </w:r>
      <w:r>
        <w:rPr>
          <w:rFonts w:ascii="宋体" w:eastAsia="宋体" w:hAnsi="宋体" w:cs="宋体"/>
          <w:sz w:val="28"/>
          <w:u w:color="auto"/>
        </w:rPr>
        <w:t xml:space="preserve">增长63.59%</w:t>
      </w:r>
      <w:r>
        <w:rPr>
          <w:rFonts w:ascii="宋体" w:eastAsia="宋体" w:hAnsi="宋体" w:cs="宋体"/>
          <w:sz w:val="28"/>
          <w:u w:color="auto"/>
        </w:rPr>
        <w:t xml:space="preserve">,主要原因是：退休人员待遇由原来的月500元增加到833元，2024年新增遗属人员1人</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1112.31</w:t>
      </w:r>
      <w:r>
        <w:rPr>
          <w:rFonts w:hint="eastAsia"/>
        </w:rPr>
        <w:t xml:space="preserve">万元，占支出预算</w:t>
      </w:r>
      <w:r>
        <w:rPr>
          <w:u w:color="auto"/>
        </w:rPr>
        <w:t xml:space="preserve">62.05%</w:t>
      </w:r>
      <w:r>
        <w:rPr>
          <w:rFonts w:hint="eastAsia"/>
        </w:rPr>
        <w:t xml:space="preserve">,比上年</w:t>
      </w:r>
      <w:r>
        <w:rPr>
          <w:u w:color="auto"/>
        </w:rPr>
        <w:t xml:space="preserve">减少139.04</w:t>
      </w:r>
      <w:r>
        <w:rPr>
          <w:rFonts w:hint="eastAsia"/>
        </w:rPr>
        <w:t xml:space="preserve">万元，</w:t>
      </w:r>
      <w:r>
        <w:rPr>
          <w:u w:color="auto"/>
        </w:rPr>
        <w:t xml:space="preserve">减少11.11%</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10.00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0.90%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减少38.28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减少79.29%</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2024年减少2个项目预算，其余项目较上年预算有减少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291.70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26.22%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减少101.98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减少25.90%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2024年较2023年项目减少2个</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810.61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72.88%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增长1.22</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增长0.15%</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2024年对个人和家庭的补助增加</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4195"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1792.51</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1792.51</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1841.13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减少48.62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下降2.64%</w:t>
      </w:r>
      <w:r>
        <w:rPr>
          <w:rFonts w:ascii="宋体" w:eastAsia="宋体" w:hAnsi="宋体" w:cs="宋体" w:hint="eastAsia"/>
          <w:sz w:val="28"/>
          <w:szCs w:val="28"/>
        </w:rPr>
        <w:t xml:space="preserve">，主要原因是</w:t>
      </w:r>
      <w:r>
        <w:rPr>
          <w:rFonts w:hint="eastAsia"/>
          <w:highlight w:val="none"/>
          <w:lang w:val="en-US" w:eastAsia="zh-CN"/>
        </w:rPr>
        <w:t xml:space="preserve">项目减少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1841.13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减少48.62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下降2.64%</w:t>
      </w:r>
      <w:r>
        <w:rPr>
          <w:rFonts w:ascii="宋体" w:eastAsia="宋体" w:hAnsi="宋体" w:cs="宋体" w:hint="eastAsia"/>
          <w:sz w:val="28"/>
          <w:szCs w:val="28"/>
        </w:rPr>
        <w:t xml:space="preserve">，主要原因是</w:t>
      </w:r>
      <w:r>
        <w:rPr>
          <w:rFonts w:hint="eastAsia"/>
          <w:highlight w:val="none"/>
          <w:lang w:val="en-US" w:eastAsia="zh-CN"/>
        </w:rPr>
        <w:t xml:space="preserve">项目减少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196"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1792.51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1841.13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减少48.62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下降2.64%</w:t>
      </w:r>
      <w:r>
        <w:rPr>
          <w:rFonts w:ascii="宋体" w:eastAsia="宋体" w:hAnsi="宋体" w:cs="宋体" w:hint="eastAsia"/>
          <w:sz w:val="28"/>
          <w:szCs w:val="28"/>
        </w:rPr>
        <w:t xml:space="preserve">，主要原因是</w:t>
      </w:r>
      <w:r>
        <w:rPr>
          <w:rFonts w:hint="eastAsia"/>
          <w:highlight w:val="none"/>
          <w:lang w:val="en-US" w:eastAsia="zh-CN"/>
        </w:rPr>
        <w:t xml:space="preserve">项目减少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6.31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8.94</w:t>
      </w:r>
      <w:r>
        <w:rPr>
          <w:rFonts w:ascii="宋体" w:eastAsia="宋体" w:hAnsi="宋体" w:cs="宋体" w:hint="eastAsia"/>
          <w:sz w:val="28"/>
          <w:szCs w:val="28"/>
        </w:rPr>
        <w:t xml:space="preserve">万元，</w:t>
      </w:r>
      <w:r>
        <w:rPr>
          <w:rFonts w:ascii="宋体" w:eastAsia="宋体" w:hAnsi="宋体" w:cs="宋体"/>
          <w:sz w:val="28"/>
          <w:u w:color="auto"/>
        </w:rPr>
        <w:t xml:space="preserve">减少2.63</w:t>
      </w:r>
      <w:r>
        <w:rPr>
          <w:rFonts w:ascii="宋体" w:eastAsia="宋体" w:hAnsi="宋体" w:cs="宋体" w:hint="eastAsia"/>
          <w:sz w:val="28"/>
          <w:szCs w:val="28"/>
        </w:rPr>
        <w:t xml:space="preserve">万元，</w:t>
      </w:r>
      <w:r>
        <w:rPr>
          <w:rFonts w:ascii="宋体" w:eastAsia="宋体" w:hAnsi="宋体" w:cs="宋体"/>
          <w:sz w:val="28"/>
          <w:u w:color="auto"/>
        </w:rPr>
        <w:t xml:space="preserve">减少29.42%</w:t>
      </w:r>
      <w:r>
        <w:rPr>
          <w:rFonts w:ascii="宋体" w:eastAsia="宋体" w:hAnsi="宋体" w:cs="宋体" w:hint="eastAsia"/>
          <w:sz w:val="28"/>
          <w:szCs w:val="28"/>
        </w:rPr>
        <w:t xml:space="preserve">，主要原因是：</w:t>
      </w:r>
      <w:r>
        <w:rPr>
          <w:rFonts w:hint="eastAsia"/>
          <w:highlight w:val="none"/>
        </w:rPr>
        <w:t xml:space="preserve">项目减少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62.59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3.49%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53.62</w:t>
      </w:r>
      <w:r>
        <w:rPr>
          <w:rFonts w:ascii="宋体" w:eastAsia="宋体" w:hAnsi="宋体" w:cs="宋体" w:hint="eastAsia"/>
          <w:sz w:val="28"/>
          <w:szCs w:val="28"/>
        </w:rPr>
        <w:t xml:space="preserve">万元，</w:t>
      </w:r>
      <w:r>
        <w:rPr>
          <w:rFonts w:ascii="宋体" w:eastAsia="宋体" w:hAnsi="宋体" w:cs="宋体"/>
          <w:sz w:val="28"/>
          <w:u w:color="auto"/>
        </w:rPr>
        <w:t xml:space="preserve">增长8.97</w:t>
      </w:r>
      <w:r>
        <w:rPr>
          <w:rFonts w:ascii="宋体" w:eastAsia="宋体" w:hAnsi="宋体" w:cs="宋体" w:hint="eastAsia"/>
          <w:sz w:val="28"/>
          <w:szCs w:val="28"/>
        </w:rPr>
        <w:t xml:space="preserve">万元，</w:t>
      </w:r>
      <w:r>
        <w:rPr>
          <w:rFonts w:ascii="宋体" w:eastAsia="宋体" w:hAnsi="宋体" w:cs="宋体"/>
          <w:sz w:val="28"/>
          <w:u w:color="auto"/>
        </w:rPr>
        <w:t xml:space="preserve">增长16.73%</w:t>
      </w:r>
      <w:r>
        <w:rPr>
          <w:rFonts w:ascii="宋体" w:eastAsia="宋体" w:hAnsi="宋体" w:cs="宋体" w:hint="eastAsia"/>
          <w:sz w:val="28"/>
          <w:szCs w:val="28"/>
        </w:rPr>
        <w:t xml:space="preserve">，主要原因是：</w:t>
      </w:r>
      <w:r>
        <w:rPr>
          <w:rFonts w:hint="eastAsia"/>
          <w:highlight w:val="none"/>
        </w:rPr>
        <w:t xml:space="preserve">人员增加，公积金基数调整增加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1648.74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91.98%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1705.08</w:t>
      </w:r>
      <w:r>
        <w:rPr>
          <w:rFonts w:ascii="宋体" w:eastAsia="宋体" w:hAnsi="宋体" w:cs="宋体" w:hint="eastAsia"/>
          <w:sz w:val="28"/>
          <w:szCs w:val="28"/>
        </w:rPr>
        <w:t xml:space="preserve">万元，</w:t>
      </w:r>
      <w:r>
        <w:rPr>
          <w:rFonts w:ascii="宋体" w:eastAsia="宋体" w:hAnsi="宋体" w:cs="宋体"/>
          <w:sz w:val="28"/>
          <w:u w:color="auto"/>
        </w:rPr>
        <w:t xml:space="preserve">减少56.34</w:t>
      </w:r>
      <w:r>
        <w:rPr>
          <w:rFonts w:ascii="宋体" w:eastAsia="宋体" w:hAnsi="宋体" w:cs="宋体" w:hint="eastAsia"/>
          <w:sz w:val="28"/>
          <w:szCs w:val="28"/>
        </w:rPr>
        <w:t xml:space="preserve">万元，</w:t>
      </w:r>
      <w:r>
        <w:rPr>
          <w:rFonts w:ascii="宋体" w:eastAsia="宋体" w:hAnsi="宋体" w:cs="宋体"/>
          <w:sz w:val="28"/>
          <w:u w:color="auto"/>
        </w:rPr>
        <w:t xml:space="preserve">减少3.30%</w:t>
      </w:r>
      <w:r>
        <w:rPr>
          <w:rFonts w:ascii="宋体" w:eastAsia="宋体" w:hAnsi="宋体" w:cs="宋体" w:hint="eastAsia"/>
          <w:sz w:val="28"/>
          <w:szCs w:val="28"/>
        </w:rPr>
        <w:t xml:space="preserve">，主要原因是：</w:t>
      </w:r>
      <w:r>
        <w:rPr>
          <w:rFonts w:hint="eastAsia"/>
          <w:highlight w:val="none"/>
        </w:rPr>
        <w:t xml:space="preserve">项目减少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74.88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4.18%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73.49</w:t>
      </w:r>
      <w:r>
        <w:rPr>
          <w:rFonts w:ascii="宋体" w:eastAsia="宋体" w:hAnsi="宋体" w:cs="宋体" w:hint="eastAsia"/>
          <w:sz w:val="28"/>
          <w:szCs w:val="28"/>
        </w:rPr>
        <w:t xml:space="preserve">万元，</w:t>
      </w:r>
      <w:r>
        <w:rPr>
          <w:rFonts w:ascii="宋体" w:eastAsia="宋体" w:hAnsi="宋体" w:cs="宋体"/>
          <w:sz w:val="28"/>
          <w:u w:color="auto"/>
        </w:rPr>
        <w:t xml:space="preserve">增长1.39</w:t>
      </w:r>
      <w:r>
        <w:rPr>
          <w:rFonts w:ascii="宋体" w:eastAsia="宋体" w:hAnsi="宋体" w:cs="宋体" w:hint="eastAsia"/>
          <w:sz w:val="28"/>
          <w:szCs w:val="28"/>
        </w:rPr>
        <w:t xml:space="preserve">万元，</w:t>
      </w:r>
      <w:r>
        <w:rPr>
          <w:rFonts w:ascii="宋体" w:eastAsia="宋体" w:hAnsi="宋体" w:cs="宋体"/>
          <w:sz w:val="28"/>
          <w:u w:color="auto"/>
        </w:rPr>
        <w:t xml:space="preserve">增长1.89%</w:t>
      </w:r>
      <w:r>
        <w:rPr>
          <w:rFonts w:ascii="宋体" w:eastAsia="宋体" w:hAnsi="宋体" w:cs="宋体" w:hint="eastAsia"/>
          <w:sz w:val="28"/>
          <w:szCs w:val="28"/>
        </w:rPr>
        <w:t xml:space="preserve">，主要原因是：</w:t>
      </w:r>
      <w:r>
        <w:rPr>
          <w:rFonts w:hint="eastAsia"/>
          <w:highlight w:val="none"/>
        </w:rPr>
        <w:t xml:space="preserve">各项保险基数调整</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197"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680.20</w:t>
      </w:r>
      <w:r>
        <w:rPr>
          <w:rFonts w:hint="eastAsia"/>
        </w:rPr>
        <w:t xml:space="preserve">万元，较2023年度预算数</w:t>
      </w:r>
      <w:r>
        <w:rPr>
          <w:rFonts w:hint="eastAsia"/>
          <w:lang w:val="en-US" w:eastAsia="zh-CN"/>
        </w:rPr>
        <w:t xml:space="preserve">589.78</w:t>
      </w:r>
      <w:r>
        <w:rPr>
          <w:rFonts w:hint="eastAsia"/>
        </w:rPr>
        <w:t xml:space="preserve">万元</w:t>
      </w:r>
      <w:r>
        <w:rPr>
          <w:rFonts w:hint="eastAsia"/>
          <w:lang w:val="en-US" w:eastAsia="zh-CN"/>
        </w:rPr>
        <w:t xml:space="preserve">,</w:t>
      </w:r>
      <w:r>
        <w:rPr>
          <w:u w:color="auto"/>
        </w:rPr>
        <w:t xml:space="preserve">增加90.42</w:t>
      </w:r>
      <w:r>
        <w:rPr>
          <w:rFonts w:hint="eastAsia"/>
        </w:rPr>
        <w:t xml:space="preserve">万元，</w:t>
      </w:r>
      <w:r>
        <w:rPr>
          <w:rFonts w:hint="eastAsia"/>
          <w:lang w:val="en-US" w:eastAsia="zh-CN"/>
        </w:rPr>
        <w:t xml:space="preserve">增长15.33%</w:t>
      </w:r>
      <w:r>
        <w:rPr>
          <w:rFonts w:hint="eastAsia"/>
        </w:rPr>
        <w:t xml:space="preserve">，主要原因是</w:t>
      </w:r>
      <w:r>
        <w:rPr>
          <w:rFonts w:hint="eastAsia"/>
          <w:highlight w:val="none"/>
          <w:lang w:val="en-US" w:eastAsia="zh-CN"/>
        </w:rPr>
        <w:t xml:space="preserve">基本支出增加</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584.41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85.92%</w:t>
      </w:r>
      <w:r>
        <w:rPr>
          <w:rFonts w:hint="eastAsia"/>
        </w:rPr>
        <w:t xml:space="preserve">，较2023年度预算数</w:t>
      </w:r>
      <w:r>
        <w:rPr>
          <w:rFonts w:hint="eastAsia"/>
          <w:lang w:val="en-US" w:eastAsia="zh-CN"/>
        </w:rPr>
        <w:t xml:space="preserve">512.64</w:t>
      </w:r>
      <w:r>
        <w:rPr>
          <w:rFonts w:hint="eastAsia"/>
        </w:rPr>
        <w:t xml:space="preserve">万元，</w:t>
      </w:r>
      <w:r>
        <w:rPr>
          <w:rFonts w:hint="eastAsia"/>
          <w:lang w:val="en-US" w:eastAsia="zh-CN"/>
        </w:rPr>
        <w:t xml:space="preserve">增长71.77</w:t>
      </w:r>
      <w:r>
        <w:rPr>
          <w:rFonts w:hint="eastAsia"/>
        </w:rPr>
        <w:t xml:space="preserve">万元，</w:t>
      </w:r>
      <w:r>
        <w:rPr>
          <w:rFonts w:hint="eastAsia"/>
          <w:lang w:val="en-US" w:eastAsia="zh-CN"/>
        </w:rPr>
        <w:t xml:space="preserve">增长14.00%</w:t>
      </w:r>
      <w:r>
        <w:rPr>
          <w:rFonts w:hint="eastAsia"/>
        </w:rPr>
        <w:t xml:space="preserve">，主要原因是：</w:t>
      </w:r>
      <w:r>
        <w:rPr>
          <w:rFonts w:hint="eastAsia"/>
          <w:highlight w:val="none"/>
        </w:rPr>
        <w:t xml:space="preserve">人员增加，工资结构调整</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50.28</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7.39%</w:t>
      </w:r>
      <w:r>
        <w:rPr>
          <w:rFonts w:hint="eastAsia"/>
        </w:rPr>
        <w:t xml:space="preserve">，较2023年度预算数</w:t>
      </w:r>
      <w:r>
        <w:rPr>
          <w:rFonts w:hint="eastAsia"/>
          <w:lang w:val="en-US" w:eastAsia="zh-CN"/>
        </w:rPr>
        <w:t xml:space="preserve">49.32</w:t>
      </w:r>
      <w:r>
        <w:rPr>
          <w:rFonts w:hint="eastAsia"/>
        </w:rPr>
        <w:t xml:space="preserve">万元，</w:t>
      </w:r>
      <w:r>
        <w:rPr>
          <w:rFonts w:hint="eastAsia"/>
          <w:lang w:val="en-US" w:eastAsia="zh-CN"/>
        </w:rPr>
        <w:t xml:space="preserve">增长0.96</w:t>
      </w:r>
      <w:r>
        <w:rPr>
          <w:rFonts w:hint="eastAsia"/>
        </w:rPr>
        <w:t xml:space="preserve">万元，</w:t>
      </w:r>
      <w:r>
        <w:rPr>
          <w:rFonts w:hint="eastAsia"/>
          <w:lang w:val="en-US" w:eastAsia="zh-CN"/>
        </w:rPr>
        <w:t xml:space="preserve">增长1.95%</w:t>
      </w:r>
      <w:r>
        <w:rPr>
          <w:rFonts w:hint="eastAsia"/>
        </w:rPr>
        <w:t xml:space="preserve">，主要原因是：</w:t>
      </w:r>
      <w:r>
        <w:rPr>
          <w:rFonts w:hint="eastAsia"/>
          <w:highlight w:val="none"/>
        </w:rPr>
        <w:t xml:space="preserve">正常增长</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45.51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6.69%</w:t>
      </w:r>
      <w:r>
        <w:rPr>
          <w:rFonts w:hint="eastAsia"/>
        </w:rPr>
        <w:t xml:space="preserve">，较2023年度预算数</w:t>
      </w:r>
      <w:r>
        <w:rPr>
          <w:rFonts w:hint="eastAsia"/>
          <w:lang w:val="en-US" w:eastAsia="zh-CN"/>
        </w:rPr>
        <w:t xml:space="preserve">27.82</w:t>
      </w:r>
      <w:r>
        <w:rPr>
          <w:rFonts w:hint="eastAsia"/>
        </w:rPr>
        <w:t xml:space="preserve">万元，</w:t>
      </w:r>
      <w:r>
        <w:rPr>
          <w:rFonts w:hint="eastAsia"/>
          <w:lang w:val="en-US" w:eastAsia="zh-CN"/>
        </w:rPr>
        <w:t xml:space="preserve">增长17.69</w:t>
      </w:r>
      <w:r>
        <w:rPr>
          <w:rFonts w:hint="eastAsia"/>
        </w:rPr>
        <w:t xml:space="preserve">万元，</w:t>
      </w:r>
      <w:r>
        <w:rPr>
          <w:rFonts w:hint="eastAsia"/>
          <w:lang w:val="en-US" w:eastAsia="zh-CN"/>
        </w:rPr>
        <w:t xml:space="preserve">增长63.59%</w:t>
      </w:r>
      <w:r>
        <w:rPr>
          <w:rFonts w:hint="eastAsia"/>
        </w:rPr>
        <w:t xml:space="preserve">，主要原因是：</w:t>
      </w:r>
      <w:r>
        <w:rPr>
          <w:rFonts w:hint="eastAsia"/>
          <w:highlight w:val="none"/>
        </w:rPr>
        <w:t xml:space="preserve">对个人和家庭的补助支出增加</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198"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15.71</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2.31</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13.40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13.40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15.71</w:t>
      </w:r>
      <w:r>
        <w:rPr>
          <w:rFonts w:hint="eastAsia"/>
          <w:b w:val="0"/>
          <w:bCs w:val="0"/>
          <w:sz w:val="28"/>
          <w:szCs w:val="28"/>
        </w:rPr>
        <w:t xml:space="preserve">万元，同口径较2023年度预算数</w:t>
      </w:r>
      <w:r>
        <w:rPr>
          <w:rFonts w:hint="eastAsia"/>
          <w:b w:val="0"/>
          <w:bCs w:val="0"/>
          <w:sz w:val="28"/>
          <w:szCs w:val="28"/>
          <w:lang w:val="en-US" w:eastAsia="zh-CN"/>
        </w:rPr>
        <w:t xml:space="preserve">14.00</w:t>
      </w:r>
      <w:r>
        <w:rPr>
          <w:rFonts w:hint="eastAsia"/>
          <w:b w:val="0"/>
          <w:bCs w:val="0"/>
          <w:sz w:val="28"/>
          <w:szCs w:val="28"/>
        </w:rPr>
        <w:t xml:space="preserve">万元，</w:t>
      </w:r>
      <w:r>
        <w:rPr>
          <w:rFonts w:hint="eastAsia"/>
          <w:b w:val="0"/>
          <w:bCs w:val="0"/>
          <w:sz w:val="28"/>
          <w:szCs w:val="28"/>
          <w:lang w:val="en-US" w:eastAsia="zh-CN"/>
        </w:rPr>
        <w:t xml:space="preserve">增长1.71</w:t>
      </w:r>
      <w:r>
        <w:rPr>
          <w:rFonts w:hint="eastAsia"/>
          <w:b w:val="0"/>
          <w:bCs w:val="0"/>
          <w:sz w:val="28"/>
          <w:szCs w:val="28"/>
        </w:rPr>
        <w:t xml:space="preserve">万元，</w:t>
      </w:r>
      <w:r>
        <w:rPr>
          <w:rFonts w:hint="eastAsia"/>
          <w:b w:val="0"/>
          <w:bCs w:val="0"/>
          <w:sz w:val="28"/>
          <w:szCs w:val="28"/>
          <w:lang w:val="en-US" w:eastAsia="zh-CN"/>
        </w:rPr>
        <w:t xml:space="preserve">增长12.21%</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我部门无因公出国（境）情况</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2.31</w:t>
      </w:r>
      <w:r>
        <w:rPr>
          <w:rFonts w:hint="eastAsia"/>
          <w:b w:val="0"/>
          <w:bCs w:val="0"/>
          <w:sz w:val="28"/>
          <w:szCs w:val="28"/>
        </w:rPr>
        <w:t xml:space="preserve">万元，较2023年度预算数</w:t>
      </w:r>
      <w:r>
        <w:rPr>
          <w:sz w:val="28"/>
          <w:u w:color="auto"/>
        </w:rPr>
        <w:t xml:space="preserve">2.00</w:t>
      </w:r>
      <w:r>
        <w:rPr>
          <w:rFonts w:hint="eastAsia"/>
          <w:b w:val="0"/>
          <w:bCs w:val="0"/>
          <w:sz w:val="28"/>
          <w:szCs w:val="28"/>
        </w:rPr>
        <w:t xml:space="preserve">万元，</w:t>
      </w:r>
      <w:r>
        <w:rPr>
          <w:sz w:val="28"/>
          <w:u w:color="auto"/>
        </w:rPr>
        <w:t xml:space="preserve">增长0.31</w:t>
      </w:r>
      <w:r>
        <w:rPr>
          <w:rFonts w:hint="eastAsia"/>
          <w:b w:val="0"/>
          <w:bCs w:val="0"/>
          <w:sz w:val="28"/>
          <w:szCs w:val="28"/>
        </w:rPr>
        <w:t xml:space="preserve">万元，</w:t>
      </w:r>
      <w:r>
        <w:rPr>
          <w:sz w:val="28"/>
          <w:u w:color="auto"/>
        </w:rPr>
        <w:t xml:space="preserve">增长15.50%</w:t>
      </w:r>
      <w:r>
        <w:rPr>
          <w:rFonts w:hint="eastAsia"/>
          <w:b w:val="0"/>
          <w:bCs w:val="0"/>
          <w:sz w:val="28"/>
          <w:szCs w:val="28"/>
        </w:rPr>
        <w:t xml:space="preserve">，主要原因是</w:t>
      </w:r>
      <w:r>
        <w:rPr>
          <w:rFonts w:hint="eastAsia"/>
          <w:highlight w:val="none"/>
          <w:lang w:val="en-US" w:eastAsia="zh-CN"/>
        </w:rPr>
        <w:t xml:space="preserve">预算增加</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13.40</w:t>
      </w:r>
      <w:r>
        <w:rPr>
          <w:rFonts w:hint="eastAsia"/>
          <w:b w:val="0"/>
          <w:bCs w:val="0"/>
          <w:sz w:val="28"/>
          <w:szCs w:val="28"/>
        </w:rPr>
        <w:t xml:space="preserve">万元，较2023年度预算数</w:t>
      </w:r>
      <w:r>
        <w:rPr>
          <w:sz w:val="28"/>
          <w:u w:color="auto"/>
        </w:rPr>
        <w:t xml:space="preserve">12.00</w:t>
      </w:r>
      <w:r>
        <w:rPr>
          <w:rFonts w:hint="eastAsia"/>
          <w:b w:val="0"/>
          <w:bCs w:val="0"/>
          <w:sz w:val="28"/>
          <w:szCs w:val="28"/>
        </w:rPr>
        <w:t xml:space="preserve">万元，</w:t>
      </w:r>
      <w:r>
        <w:rPr>
          <w:sz w:val="28"/>
          <w:u w:color="auto"/>
        </w:rPr>
        <w:t xml:space="preserve">增长1.40</w:t>
      </w:r>
      <w:r>
        <w:rPr>
          <w:rFonts w:hint="eastAsia"/>
          <w:b w:val="0"/>
          <w:bCs w:val="0"/>
          <w:sz w:val="28"/>
          <w:szCs w:val="28"/>
        </w:rPr>
        <w:t xml:space="preserve">万元，</w:t>
      </w:r>
      <w:r>
        <w:rPr>
          <w:sz w:val="28"/>
          <w:u w:color="auto"/>
        </w:rPr>
        <w:t xml:space="preserve">增长11.67%</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我单位2024年无公务用车购置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13.40</w:t>
      </w:r>
      <w:r>
        <w:rPr>
          <w:rFonts w:hint="eastAsia"/>
          <w:b w:val="0"/>
          <w:bCs w:val="0"/>
          <w:sz w:val="28"/>
          <w:szCs w:val="28"/>
        </w:rPr>
        <w:t xml:space="preserve">万元，较2023年度预算数</w:t>
      </w:r>
      <w:r>
        <w:rPr>
          <w:sz w:val="28"/>
          <w:u w:color="auto"/>
        </w:rPr>
        <w:t xml:space="preserve">12.00</w:t>
      </w:r>
      <w:r>
        <w:rPr>
          <w:rFonts w:hint="eastAsia"/>
          <w:b w:val="0"/>
          <w:bCs w:val="0"/>
          <w:sz w:val="28"/>
          <w:szCs w:val="28"/>
        </w:rPr>
        <w:t xml:space="preserve">万元，</w:t>
      </w:r>
      <w:r>
        <w:rPr>
          <w:sz w:val="28"/>
          <w:u w:color="auto"/>
        </w:rPr>
        <w:t xml:space="preserve">增长1.40</w:t>
      </w:r>
      <w:r>
        <w:rPr>
          <w:rFonts w:hint="eastAsia"/>
          <w:b w:val="0"/>
          <w:bCs w:val="0"/>
          <w:sz w:val="28"/>
          <w:szCs w:val="28"/>
        </w:rPr>
        <w:t xml:space="preserve">万元，</w:t>
      </w:r>
      <w:r>
        <w:rPr>
          <w:sz w:val="28"/>
          <w:u w:color="auto"/>
        </w:rPr>
        <w:t xml:space="preserve">增长11.67%</w:t>
      </w:r>
      <w:r>
        <w:rPr>
          <w:rFonts w:hint="eastAsia"/>
          <w:b w:val="0"/>
          <w:bCs w:val="0"/>
          <w:sz w:val="28"/>
          <w:szCs w:val="28"/>
        </w:rPr>
        <w:t xml:space="preserve">，主要原因是</w:t>
      </w:r>
      <w:r>
        <w:rPr>
          <w:rFonts w:hint="eastAsia"/>
          <w:highlight w:val="none"/>
          <w:lang w:val="en-US" w:eastAsia="zh-CN"/>
        </w:rPr>
        <w:t xml:space="preserve">公务用车运行维护费预算合理增长</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我部门2024年无政府性基金预算</w:t>
      </w:r>
      <w:r>
        <w:rPr>
          <w:rFonts w:hint="eastAsia"/>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我部门2024年无国有资本经营预算</w:t>
      </w:r>
      <w:r>
        <w:rPr>
          <w:rFonts w:hint="eastAsia"/>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50.28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49.32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增加0.96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增长1.95%</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2024年本部门机关运行经费预算正常增长</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29</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14</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主要用于：除四害药品消杀服务</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5</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2</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3</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38</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1112.31</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highlight w:val="none"/>
          <w:lang w:val="en-US" w:eastAsia="zh-CN"/>
        </w:rPr>
      </w:pPr>
      <w:r>
        <w:rPr>
          <w:rFonts w:hint="eastAsia"/>
          <w:highlight w:val="none"/>
          <w:lang w:val="en-US" w:eastAsia="zh-CN"/>
        </w:rPr>
        <w:t xml:space="preserve">项目名称：非财政拨款企业退休人员独生子女待遇，预算资金128万元，2024年度绩效目标为：全面完成全区优化营商环境大行动实施确定的目标任务，进一步推进政府采购建设。设1条数量指标：以年度实际核定人数为准＝以年人社核定为准；设1条质量指标：系非财政拨款企业退休人员独生子女待遇标准＝按标准提高；设1条时效指标：项目时间=2024年12月31日前；设1条成本指标：按标准发放≤以实际结算金额为准；设1条社会效益指标：有效改善非财政拨款企业退休人员生活定性逐步提高；设1条满意度指标：服务对象满意度≥85%</w:t>
      </w:r>
    </w:p>
    <w:p>
      <w:pPr>
        <w:pStyle w:val="Bodytext|1"/>
        <w:spacing w:line="624" w:lineRule="exact"/>
        <w:ind w:firstLine="600"/>
        <w:jc w:val="left"/>
        <w:rPr>
          <w:rFonts w:hint="eastAsia"/>
          <w:highlight w:val="none"/>
          <w:lang w:val="en-US" w:eastAsia="zh-CN"/>
        </w:rPr>
      </w:pPr>
    </w:p>
    <w:p>
      <w:pPr>
        <w:pStyle w:val="Bodytext|1"/>
        <w:spacing w:line="624" w:lineRule="exact"/>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环江毛南族自治县卫生健康局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环江毛南族自治县卫生健康局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1698.99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1698.99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74.88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1648.74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62.59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1698.99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1792.51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93.52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1792.51</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1792.51</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环江毛南族自治县卫生健康局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1792.51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1792.51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1792.51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1792.51</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1792.51</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1792.51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环江毛南族自治县卫生健康局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1792.51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1112.31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1792.51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680.20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1112.31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6.31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72.88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72.88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2081699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其他红十字事业支出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595.91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538.43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57.48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2100199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其他卫生健康管理事务支出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2100399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其他基层医疗卫生机构支出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56.54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56.54</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卫生监督机构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2100408</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基本公共卫生服务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148.98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重大公共卫生服务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86.11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86.11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2100717</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计划生育服务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73.21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73.21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2100799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其他计划生育事务支出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655.69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655.69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62.59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5"/>
      <w:bookmarkStart w:id="24" w:name="bookmark46"/>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环江毛南族自治县卫生健康局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1698.99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1698.99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74.88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1648.74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62.59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1698.99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1792.51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93.52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1792.51</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1792.51</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环江毛南族自治县卫生健康局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1792.51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680.20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629.92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50.28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1112.31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6.31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6.31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72.88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72.88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72.88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2081699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其他红十字事业支出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595.91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538.43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494.45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43.98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57.48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2100199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其他卫生健康管理事务支出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21.00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2100399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其他基层医疗卫生机构支出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56.54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56.54</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卫生监督机构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2100408</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基本公共卫生服务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148.98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148.98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重大公共卫生服务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86.11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86.11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2100717</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计划生育服务</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73.21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73.21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2100799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其他计划生育事务支出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655.69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655.69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62.59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62.59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8"/>
      <w:bookmarkStart w:id="27" w:name="bookmark56"/>
      <w:bookmarkStart w:id="28" w:name="bookmark57"/>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环江毛南族自治县卫生健康局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680.20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629.92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584.41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584.41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184.57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125.23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47.84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47.84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72.88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29.15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29.15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62.59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0.81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20.26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20.26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30240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税金及附加费用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45.51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45.51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44.75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5"/>
      <w:bookmarkStart w:id="31"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环江毛南族自治县卫生健康局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15.71</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13.40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13.40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2.31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环江毛南族自治县卫生健康局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2081699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其他红十字事业支出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2100199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其他卫生健康管理事务支出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2100399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其他基层医疗卫生机构支出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卫生监督机构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2100408</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基本公共卫生服务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重大公共卫生服务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2100717</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计划生育服务</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2100799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其他计划生育事务支出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环江毛南族自治县卫生健康局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环江毛南族自治县卫生健康局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卫生健康业务一般工作经费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卫生健康业务一般工作经费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卫生应急工作经费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6.00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卫生应急工作经费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村卫生室基本药物制度补助资金县级配套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村卫生室基本药物制度补助资金县级配套</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乡村医生养老生活补助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乡村医生养老生活补助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基本公共卫生服务项目县级配套资金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122.82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开展全县基本公共卫生服务项目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计划生育特殊家庭扶助金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计划生育特殊家庭扶助金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广西城镇居民独生子女父母年老奖励金县级配套</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广西城镇居民独生子女父母年老奖励金县级配套</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工人编制所长享受副科工资待遇补助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工人编制所长享受副科工资待遇补助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计生家庭关爱保险补助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计生家庭关爱保险补助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非财政拨款企业退休人员独生子女待遇</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非财政拨款企业退休人员独生子女待遇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严重精神障碍患者以奖代补工作经费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57.36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严重精神障碍患者以奖代补工作经费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广西农村计划生育家庭奖励扶(救)助项目县级配套资金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广西农村计划生育家庭奖励扶（救）助项目县级配套资金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创建自治区卫生县项目工作经费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开展创建自治区卫生县项目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志愿者服务工作经费及应急救护培训经费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志愿者服务工作经费及应急救护培训经费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桂财社〔2020〕185号2021年中央和自治区财政基本公共卫生服务项目补助资金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4.55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2021年中央和自治区财政基本公共卫生服务项目补助资金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重大公共卫生项目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14.06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目标1：继续为0-6岁适龄儿童常规接种；</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目标2：进一步减少结核感染、患病和死亡，切实降低结核病疾病负担，提高人民群众健康水平。</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3：开展重大慢性病早期筛查干预项目，落实慢性病及其相关危险因素监测。加强严重精神障碍患者筛查、登记报告和随访服务，开展社会心理服务体系建设试点，开展农村地区癫痫患者筛查登记和随访管理。</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目标4：分别完成以新冠肺炎为主的病毒性传染病监测、基于国家致病菌识别网的细菌性传染病监测、重点区域病媒生物监测。</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t xml:space="preserve">目标5：持续推进艾滋病防治工作，落实各项防治措施，全区艾滋病疫情继续控制在低流行水平。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重大传染病防控补助资金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重大传染病防控补助资金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自治区补助市县基本公共卫生服务项目经费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0.78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免费向居民提供基本公共卫生服务</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中央财政基本公共卫生服务项目补助资金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免费向居民提供基本公共卫生服务2.开展对重点疾病及危害因素监测，有效控制疾病流行，为制定相关政策提供科学依据。保持重点地方病防治措施全面落实。开展职业病监测，最大限度的保护放射工作人员、患者和公众的健康权益。同时推进妇幼卫生、健康素养促进、医养结合和老年健康服务、卫生应急、计划生育等方面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补助市县国家、自治区计划生育家庭“三项制度”配套和提标经费项目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补助市县国家、自治区计划生育家庭“三项制度”配套和提标经费项目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中央财政计划生育转移支付资金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中央财政计划生育转移支付资金.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乡饮用水监测项目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乡饮用水监测项目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补助市县国家自治区计划生育家庭三项制度配套和提标经费项目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补助市县国家自治区计划生育家庭三项制度配套和提标经费项目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村级妇幼保健员家庭接生员养老生活补助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足额发放村级妇幼保健员家庭接生员养老生活补助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中央财政重大传染病防控项目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13.56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中央财政重大传染病防控项目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全国农村部分计划生育家庭奖励</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0.29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全国农村部分计划生育家庭奖励</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广西农村扩扶奖励补助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广西农村扩扶奖励补助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县乡村卫生人才能力提升培训</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2.94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县乡村卫生人才能力提升培训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中央财政基本公共卫生服务项目资金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12.83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中央财政基本公共卫生服务项目补助资金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基本公共卫生服务项目补助资金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基本公共卫生服务项目补助资金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自治县红十字会工作经费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红十字会工作经费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人口计生协会工作经费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人口计生协会工作经费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原一次性乡村医生养老生活补助经费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8.52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按时发放补助</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业务工作经费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卫生健康业务一般工作经费（保运转）</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农村独生子女户、双女结扎户新农合补助项目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486.40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农村独生子女户、双女结扎户新农合补助项目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农村、破产企业、城镇无业人员独生子女保健费项目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农村、破产企业、城镇无业人员独生子女保健费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环江毛南族自治县卫生健康局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除“四害”项目经费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除“四害”项目经费</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92"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765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4200"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765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4202"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766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3"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766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4"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766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05"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766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99"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65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20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66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NNInaAW8CExs9+pcAl2+dw==" w:hash="/dIhcf+rqwRm1RQogvYcEyXlm9tACWDNojs9nijhoGH3yTeu+kgcaJ+pFyOsG7m2xjoANqdkbtNKQTjC/B53b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1792.51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6.31</c:v>
                </c:pt>
                <c:pt idx="1">
                  <c:v>74.88</c:v>
                </c:pt>
                <c:pt idx="2">
                  <c:v>1559.77</c:v>
                </c:pt>
                <c:pt idx="3">
                  <c:v>62.59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1589.82</c:v>
                </c:pt>
                <c:pt idx="1">
                  <c:v>1589.82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1698.99</c:v>
                </c:pt>
                <c:pt idx="1">
                  <c:v>1698.99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680.2</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1018.79</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50.28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629.92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629.92</c:v>
                </c:pt>
                <c:pt idx="1">
                  <c:v>50.28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2.0</c:v>
                </c:pt>
                <c:pt idx="1">
                  <c:v>0.0</c:v>
                </c:pt>
                <c:pt idx="2">
                  <c:v>12.0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2.31</c:v>
                </c:pt>
                <c:pt idx="1">
                  <c:v>0.0</c:v>
                </c:pt>
                <c:pt idx="2">
                  <c:v>13.4</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2024-02-28T09:06:10Z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19</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DC93C90D53BE4108B92996B0242E3918_13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2024-03-01T08:11:17Z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DC93C90D53BE4108B92996B0242E3918_13</vt:lpstr>
  </property>
</Properties>
</file>