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环江毛南族自治县人民医院</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环江毛南族自治县人民医院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环江毛南族自治县人民医院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环江毛南族自治县人民医院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环江毛南族自治县人民医院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主要职能。广西环江毛南族自治县人民医院始建于1951年，是河池市环江县唯一一所集医疗、教学、科研、保健、康复为一体的国家二级甲等综合性医院，是全县的医疗指导中心、急症创伤救治中心和孕产妇急救中心和危重新生儿急救中心、爱婴医院。医院承担自治县域常见病、多发病、地方病和一般疑难疾病诊疗；危急重症病人救治，重大疑难疾病的救治或转诊；适宜医疗技术的推广应用；承担基层医疗卫生机构、各类卫生技术人员的进修和培训，卫生院校临床教学和实习任务；指导乡镇卫生院做好医疗、预防、保健、康复、精神卫生等技术工作；承担部分公共卫生服务以及自然灾害和突发公共卫生事件医疗救治等工作；承办上级卫生行政部门交办的其它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本部门无下属单位，部门预算为县本级预算。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环江毛南族自治县人民医院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17924.16</w:t>
      </w:r>
      <w:r>
        <w:rPr>
          <w:rFonts w:hint="eastAsia"/>
          <w:b w:val="0"/>
          <w:bCs w:val="0"/>
          <w:sz w:val="28"/>
          <w:szCs w:val="28"/>
        </w:rPr>
        <w:t xml:space="preserve">万元，总支出</w:t>
      </w:r>
      <w:r>
        <w:rPr>
          <w:rFonts w:hint="eastAsia"/>
          <w:sz w:val="28"/>
          <w:szCs w:val="28"/>
          <w:lang w:val="en-US" w:eastAsia="zh-CN"/>
        </w:rPr>
        <w:t xml:space="preserve">17924.16</w:t>
      </w:r>
      <w:r>
        <w:rPr>
          <w:rFonts w:hint="eastAsia"/>
          <w:b w:val="0"/>
          <w:bCs w:val="0"/>
          <w:sz w:val="28"/>
          <w:szCs w:val="28"/>
        </w:rPr>
        <w:t xml:space="preserve">万元。总收入较2023年度预算数</w:t>
      </w:r>
      <w:r>
        <w:rPr>
          <w:rFonts w:hint="eastAsia"/>
          <w:sz w:val="28"/>
          <w:szCs w:val="28"/>
          <w:lang w:val="en-US" w:eastAsia="zh-CN"/>
        </w:rPr>
        <w:t xml:space="preserve">21368.80</w:t>
      </w:r>
      <w:r>
        <w:rPr>
          <w:rFonts w:hint="eastAsia"/>
          <w:b w:val="0"/>
          <w:bCs w:val="0"/>
          <w:sz w:val="28"/>
          <w:szCs w:val="28"/>
        </w:rPr>
        <w:t xml:space="preserve">万元，</w:t>
      </w:r>
      <w:r>
        <w:rPr>
          <w:rFonts w:hint="eastAsia"/>
          <w:sz w:val="28"/>
          <w:szCs w:val="28"/>
        </w:rPr>
        <w:t xml:space="preserve">减少3444.64</w:t>
      </w:r>
      <w:r>
        <w:rPr>
          <w:rFonts w:hint="eastAsia"/>
          <w:b w:val="0"/>
          <w:bCs w:val="0"/>
          <w:sz w:val="28"/>
          <w:szCs w:val="28"/>
        </w:rPr>
        <w:t xml:space="preserve">万元，</w:t>
      </w:r>
      <w:r>
        <w:rPr>
          <w:rFonts w:hint="eastAsia"/>
          <w:sz w:val="28"/>
          <w:szCs w:val="28"/>
        </w:rPr>
        <w:t xml:space="preserve">下降16.12%</w:t>
      </w:r>
      <w:r>
        <w:rPr>
          <w:rFonts w:hint="eastAsia"/>
          <w:b w:val="0"/>
          <w:bCs w:val="0"/>
          <w:sz w:val="28"/>
          <w:szCs w:val="28"/>
        </w:rPr>
        <w:t xml:space="preserve">，主要原因是</w:t>
      </w:r>
      <w:r>
        <w:rPr>
          <w:rFonts w:hint="eastAsia"/>
          <w:highlight w:val="none"/>
          <w:lang w:val="en-US" w:eastAsia="zh-CN"/>
        </w:rPr>
        <w:t xml:space="preserve">1.其他收入较上年减少。2.2024年上年结转结余较2023年上年结转结余增加</w:t>
      </w:r>
      <w:r>
        <w:rPr>
          <w:rFonts w:hint="eastAsia"/>
          <w:b w:val="0"/>
          <w:bCs w:val="0"/>
          <w:sz w:val="28"/>
          <w:szCs w:val="28"/>
        </w:rPr>
        <w:t xml:space="preserve">。总支出较2023年度预算数</w:t>
      </w:r>
      <w:r>
        <w:rPr>
          <w:rFonts w:hint="eastAsia"/>
          <w:sz w:val="28"/>
          <w:szCs w:val="28"/>
          <w:lang w:val="en-US" w:eastAsia="zh-CN"/>
        </w:rPr>
        <w:t xml:space="preserve">21368.80</w:t>
      </w:r>
      <w:r>
        <w:rPr>
          <w:rFonts w:hint="eastAsia"/>
          <w:b w:val="0"/>
          <w:bCs w:val="0"/>
          <w:sz w:val="28"/>
          <w:szCs w:val="28"/>
        </w:rPr>
        <w:t xml:space="preserve">万元，</w:t>
      </w:r>
      <w:r>
        <w:rPr>
          <w:rFonts w:hint="eastAsia"/>
          <w:sz w:val="28"/>
          <w:szCs w:val="28"/>
        </w:rPr>
        <w:t xml:space="preserve">减少3444.64</w:t>
      </w:r>
      <w:r>
        <w:rPr>
          <w:rFonts w:hint="eastAsia"/>
          <w:b w:val="0"/>
          <w:bCs w:val="0"/>
          <w:sz w:val="28"/>
          <w:szCs w:val="28"/>
        </w:rPr>
        <w:t xml:space="preserve">万元，</w:t>
      </w:r>
      <w:r>
        <w:rPr>
          <w:rFonts w:hint="eastAsia"/>
          <w:sz w:val="28"/>
          <w:szCs w:val="28"/>
        </w:rPr>
        <w:t xml:space="preserve">下降16.12%</w:t>
      </w:r>
      <w:r>
        <w:rPr>
          <w:rFonts w:hint="eastAsia"/>
          <w:b w:val="0"/>
          <w:bCs w:val="0"/>
          <w:sz w:val="28"/>
          <w:szCs w:val="28"/>
        </w:rPr>
        <w:t xml:space="preserve">，主要原因是</w:t>
      </w:r>
      <w:r>
        <w:rPr>
          <w:rFonts w:hint="eastAsia"/>
          <w:highlight w:val="none"/>
          <w:lang w:val="en-US" w:eastAsia="zh-CN"/>
        </w:rPr>
        <w:t xml:space="preserve">2024年设备购置费预算数较上年减少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2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17924.16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21368.80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减少3444.64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下降16.12%</w:t>
      </w:r>
      <w:r>
        <w:rPr>
          <w:rFonts w:ascii="宋体" w:eastAsia="宋体" w:hAnsi="宋体" w:cs="宋体" w:hint="eastAsia"/>
          <w:sz w:val="28"/>
          <w:szCs w:val="28"/>
          <w:u w:color="auto"/>
        </w:rPr>
        <w:t xml:space="preserve">，主要原因是</w:t>
      </w:r>
      <w:r>
        <w:rPr>
          <w:rFonts w:hint="eastAsia"/>
          <w:highlight w:val="none"/>
          <w:lang w:val="en-US" w:eastAsia="zh-CN"/>
        </w:rPr>
        <w:t xml:space="preserve">1.其他收入较上年减少。2.2024年上年结转结余较2023年上年结转结余增加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2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17924.16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21368.80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减少3444.64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下降16.12%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2024年设备购置费预算数较上年减少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2024年设备购置费预算数较上年减少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17648.74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98.46%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减少3447.81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减少16.34%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2024年设备购置费预算数较上年减少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14.76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减少16.28%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工会经费较上年有所下降</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143.16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社会保障费基数调整，支出较上年增加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117.51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0.66%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住房公积金基数调整，支出较上年增加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1285.99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7.17%</w:t>
      </w:r>
      <w:r>
        <w:rPr>
          <w:rFonts w:ascii="宋体" w:eastAsia="宋体" w:hAnsi="宋体" w:cs="宋体"/>
          <w:sz w:val="28"/>
          <w:u w:color="auto"/>
        </w:rPr>
        <w:t xml:space="preserve">,比上年</w:t>
      </w:r>
      <w:r>
        <w:rPr>
          <w:rFonts w:ascii="宋体" w:eastAsia="宋体" w:hAnsi="宋体" w:cs="宋体"/>
          <w:sz w:val="28"/>
          <w:u w:color="auto"/>
        </w:rPr>
        <w:t xml:space="preserve">增长178.15</w:t>
      </w:r>
      <w:r>
        <w:rPr>
          <w:rFonts w:ascii="宋体" w:eastAsia="宋体" w:hAnsi="宋体" w:cs="宋体"/>
          <w:sz w:val="28"/>
          <w:u w:color="auto"/>
        </w:rPr>
        <w:t xml:space="preserve">万元，</w:t>
      </w:r>
      <w:r>
        <w:rPr>
          <w:rFonts w:ascii="宋体" w:eastAsia="宋体" w:hAnsi="宋体" w:cs="宋体"/>
          <w:sz w:val="28"/>
          <w:u w:color="auto"/>
        </w:rPr>
        <w:t xml:space="preserve">增长16.08%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1115.14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86.71%</w:t>
      </w:r>
      <w:r>
        <w:rPr>
          <w:rFonts w:ascii="宋体" w:eastAsia="宋体" w:hAnsi="宋体" w:cs="宋体" w:hint="eastAsia"/>
          <w:sz w:val="28"/>
          <w:szCs w:val="28"/>
        </w:rPr>
        <w:t xml:space="preserve">,比上年</w:t>
      </w:r>
      <w:r>
        <w:rPr>
          <w:rFonts w:ascii="宋体" w:eastAsia="宋体" w:hAnsi="宋体" w:cs="宋体"/>
          <w:sz w:val="28"/>
          <w:u w:color="auto"/>
        </w:rPr>
        <w:t xml:space="preserve">增长86.18</w:t>
      </w:r>
      <w:r>
        <w:rPr>
          <w:rFonts w:ascii="宋体" w:eastAsia="宋体" w:hAnsi="宋体" w:cs="宋体"/>
          <w:sz w:val="28"/>
          <w:u w:color="auto"/>
        </w:rPr>
        <w:t xml:space="preserve">万元，</w:t>
      </w:r>
      <w:r>
        <w:rPr>
          <w:rFonts w:ascii="宋体" w:eastAsia="宋体" w:hAnsi="宋体" w:cs="宋体"/>
          <w:sz w:val="28"/>
          <w:u w:color="auto"/>
        </w:rPr>
        <w:t xml:space="preserve">增长8.38%</w:t>
      </w:r>
      <w:r>
        <w:rPr>
          <w:rFonts w:ascii="宋体" w:eastAsia="宋体" w:hAnsi="宋体" w:cs="宋体"/>
          <w:sz w:val="28"/>
          <w:u w:color="auto"/>
        </w:rPr>
        <w:t xml:space="preserve">,主要原因是：在职人员工资正常变动</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147.11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11.44%</w:t>
      </w:r>
      <w:r>
        <w:rPr>
          <w:rFonts w:ascii="宋体" w:eastAsia="宋体" w:hAnsi="宋体" w:cs="宋体" w:hint="eastAsia"/>
          <w:sz w:val="28"/>
          <w:szCs w:val="28"/>
        </w:rPr>
        <w:t xml:space="preserve">,比上年</w:t>
      </w:r>
      <w:r>
        <w:rPr>
          <w:rFonts w:ascii="宋体" w:eastAsia="宋体" w:hAnsi="宋体" w:cs="宋体"/>
          <w:sz w:val="28"/>
          <w:u w:color="auto"/>
        </w:rPr>
        <w:t xml:space="preserve">增长92.84</w:t>
      </w:r>
      <w:r>
        <w:rPr>
          <w:rFonts w:ascii="宋体" w:eastAsia="宋体" w:hAnsi="宋体" w:cs="宋体"/>
          <w:sz w:val="28"/>
          <w:u w:color="auto"/>
        </w:rPr>
        <w:t xml:space="preserve">万元，</w:t>
      </w:r>
      <w:r>
        <w:rPr>
          <w:rFonts w:ascii="宋体" w:eastAsia="宋体" w:hAnsi="宋体" w:cs="宋体"/>
          <w:sz w:val="28"/>
          <w:u w:color="auto"/>
        </w:rPr>
        <w:t xml:space="preserve">增长171.07%</w:t>
      </w:r>
      <w:r>
        <w:rPr>
          <w:rFonts w:ascii="宋体" w:eastAsia="宋体" w:hAnsi="宋体" w:cs="宋体"/>
          <w:sz w:val="28"/>
          <w:u w:color="auto"/>
        </w:rPr>
        <w:t xml:space="preserve">,主要原因是：退休人员生活补助标准较上年提高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23.73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1.85%</w:t>
      </w:r>
      <w:r>
        <w:rPr>
          <w:rFonts w:ascii="宋体" w:eastAsia="宋体" w:hAnsi="宋体" w:cs="宋体" w:hint="eastAsia"/>
          <w:sz w:val="28"/>
          <w:szCs w:val="28"/>
        </w:rPr>
        <w:t xml:space="preserve">,比上年</w:t>
      </w:r>
      <w:r>
        <w:rPr>
          <w:rFonts w:ascii="宋体" w:eastAsia="宋体" w:hAnsi="宋体" w:cs="宋体"/>
          <w:sz w:val="28"/>
          <w:u w:color="auto"/>
        </w:rPr>
        <w:t xml:space="preserve">减少0.88</w:t>
      </w:r>
      <w:r>
        <w:rPr>
          <w:rFonts w:ascii="宋体" w:eastAsia="宋体" w:hAnsi="宋体" w:cs="宋体"/>
          <w:sz w:val="28"/>
          <w:u w:color="auto"/>
        </w:rPr>
        <w:t xml:space="preserve">万元，</w:t>
      </w:r>
      <w:r>
        <w:rPr>
          <w:rFonts w:ascii="宋体" w:eastAsia="宋体" w:hAnsi="宋体" w:cs="宋体"/>
          <w:sz w:val="28"/>
          <w:u w:color="auto"/>
        </w:rPr>
        <w:t xml:space="preserve">减少3.58%</w:t>
      </w:r>
      <w:r>
        <w:rPr>
          <w:rFonts w:ascii="宋体" w:eastAsia="宋体" w:hAnsi="宋体" w:cs="宋体"/>
          <w:sz w:val="28"/>
          <w:u w:color="auto"/>
        </w:rPr>
        <w:t xml:space="preserve">,主要原因是：工会经费较上年减少2.88万元，公务用车运行维护费较上年增加2万元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16638.17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92.83%</w:t>
      </w:r>
      <w:r>
        <w:rPr>
          <w:rFonts w:ascii="宋体" w:eastAsia="宋体" w:hAnsi="宋体" w:cs="宋体" w:hint="eastAsia"/>
          <w:sz w:val="28"/>
          <w:szCs w:val="28"/>
        </w:rPr>
        <w:t xml:space="preserve">,比上年</w:t>
      </w:r>
      <w:r>
        <w:rPr>
          <w:rFonts w:ascii="宋体" w:eastAsia="宋体" w:hAnsi="宋体" w:cs="宋体"/>
          <w:sz w:val="28"/>
          <w:u w:color="auto"/>
        </w:rPr>
        <w:t xml:space="preserve">减少3622.79</w:t>
      </w:r>
      <w:r>
        <w:rPr>
          <w:rFonts w:ascii="宋体" w:eastAsia="宋体" w:hAnsi="宋体" w:cs="宋体" w:hint="eastAsia"/>
          <w:sz w:val="28"/>
          <w:szCs w:val="28"/>
        </w:rPr>
        <w:t xml:space="preserve">万元，</w:t>
      </w:r>
      <w:r>
        <w:rPr>
          <w:rFonts w:ascii="宋体" w:eastAsia="宋体" w:hAnsi="宋体" w:cs="宋体"/>
          <w:sz w:val="28"/>
          <w:u w:color="auto"/>
        </w:rPr>
        <w:t xml:space="preserve">减少17.88%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10588.85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63.64%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增长714.39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增长7.23%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2024年增加医疗卫生机构能力建设方面的支出及科教项目支出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5984.33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35.97%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减少81.47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减少1.34%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部门效益原因，减少工资福利支出预算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减少4282.60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2024年设备购置放在商品和服务支出核算、2023年设备购置费放在资本性支出核算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65.00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0.39%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增长26.90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增长70.60%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退休人员生活补助标准较上年提高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2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1839.18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1839.18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1183.49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增加655.69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增长55.40%</w:t>
      </w:r>
      <w:r>
        <w:rPr>
          <w:rFonts w:ascii="宋体" w:eastAsia="宋体" w:hAnsi="宋体" w:cs="宋体" w:hint="eastAsia"/>
          <w:sz w:val="28"/>
          <w:szCs w:val="28"/>
        </w:rPr>
        <w:t xml:space="preserve">，主要原因是</w:t>
      </w:r>
      <w:r>
        <w:rPr>
          <w:rFonts w:hint="eastAsia"/>
          <w:highlight w:val="none"/>
          <w:lang w:val="en-US" w:eastAsia="zh-CN"/>
        </w:rPr>
        <w:t xml:space="preserve">2024年上年结转结余资金502.75万元，2023年上年结转结余资金0万元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1183.49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增加655.69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增长55.40%</w:t>
      </w:r>
      <w:r>
        <w:rPr>
          <w:rFonts w:ascii="宋体" w:eastAsia="宋体" w:hAnsi="宋体" w:cs="宋体" w:hint="eastAsia"/>
          <w:sz w:val="28"/>
          <w:szCs w:val="28"/>
        </w:rPr>
        <w:t xml:space="preserve">，主要原因是</w:t>
      </w:r>
      <w:r>
        <w:rPr>
          <w:rFonts w:hint="eastAsia"/>
          <w:highlight w:val="none"/>
          <w:lang w:val="en-US" w:eastAsia="zh-CN"/>
        </w:rPr>
        <w:t xml:space="preserve">2024年增加医疗卫生机构能力建设方面的支出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2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1839.18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1183.49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增加655.69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增长55.40%</w:t>
      </w:r>
      <w:r>
        <w:rPr>
          <w:rFonts w:ascii="宋体" w:eastAsia="宋体" w:hAnsi="宋体" w:cs="宋体" w:hint="eastAsia"/>
          <w:sz w:val="28"/>
          <w:szCs w:val="28"/>
        </w:rPr>
        <w:t xml:space="preserve">，主要原因是</w:t>
      </w:r>
      <w:r>
        <w:rPr>
          <w:rFonts w:hint="eastAsia"/>
          <w:highlight w:val="none"/>
          <w:lang w:val="en-US" w:eastAsia="zh-CN"/>
        </w:rPr>
        <w:t xml:space="preserve">2024年增加医疗卫生机构能力建设方面的支出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14.76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17.63</w:t>
      </w:r>
      <w:r>
        <w:rPr>
          <w:rFonts w:ascii="宋体" w:eastAsia="宋体" w:hAnsi="宋体" w:cs="宋体" w:hint="eastAsia"/>
          <w:sz w:val="28"/>
          <w:szCs w:val="28"/>
        </w:rPr>
        <w:t xml:space="preserve">万元，</w:t>
      </w:r>
      <w:r>
        <w:rPr>
          <w:rFonts w:ascii="宋体" w:eastAsia="宋体" w:hAnsi="宋体" w:cs="宋体"/>
          <w:sz w:val="28"/>
          <w:u w:color="auto"/>
        </w:rPr>
        <w:t xml:space="preserve">减少2.87</w:t>
      </w:r>
      <w:r>
        <w:rPr>
          <w:rFonts w:ascii="宋体" w:eastAsia="宋体" w:hAnsi="宋体" w:cs="宋体" w:hint="eastAsia"/>
          <w:sz w:val="28"/>
          <w:szCs w:val="28"/>
        </w:rPr>
        <w:t xml:space="preserve">万元，</w:t>
      </w:r>
      <w:r>
        <w:rPr>
          <w:rFonts w:ascii="宋体" w:eastAsia="宋体" w:hAnsi="宋体" w:cs="宋体"/>
          <w:sz w:val="28"/>
          <w:u w:color="auto"/>
        </w:rPr>
        <w:t xml:space="preserve">减少16.28%</w:t>
      </w:r>
      <w:r>
        <w:rPr>
          <w:rFonts w:ascii="宋体" w:eastAsia="宋体" w:hAnsi="宋体" w:cs="宋体" w:hint="eastAsia"/>
          <w:sz w:val="28"/>
          <w:szCs w:val="28"/>
        </w:rPr>
        <w:t xml:space="preserve">，主要原因是：</w:t>
      </w:r>
      <w:r>
        <w:rPr>
          <w:rFonts w:hint="eastAsia"/>
          <w:highlight w:val="none"/>
        </w:rPr>
        <w:t xml:space="preserve">工会经费较上年减少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117.51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113.61</w:t>
      </w:r>
      <w:r>
        <w:rPr>
          <w:rFonts w:ascii="宋体" w:eastAsia="宋体" w:hAnsi="宋体" w:cs="宋体" w:hint="eastAsia"/>
          <w:sz w:val="28"/>
          <w:szCs w:val="28"/>
        </w:rPr>
        <w:t xml:space="preserve">万元，</w:t>
      </w:r>
      <w:r>
        <w:rPr>
          <w:rFonts w:ascii="宋体" w:eastAsia="宋体" w:hAnsi="宋体" w:cs="宋体"/>
          <w:sz w:val="28"/>
          <w:u w:color="auto"/>
        </w:rPr>
        <w:t xml:space="preserve">增长3.90</w:t>
      </w:r>
      <w:r>
        <w:rPr>
          <w:rFonts w:ascii="宋体" w:eastAsia="宋体" w:hAnsi="宋体" w:cs="宋体" w:hint="eastAsia"/>
          <w:sz w:val="28"/>
          <w:szCs w:val="28"/>
        </w:rPr>
        <w:t xml:space="preserve">万元，</w:t>
      </w:r>
      <w:r>
        <w:rPr>
          <w:rFonts w:ascii="宋体" w:eastAsia="宋体" w:hAnsi="宋体" w:cs="宋体"/>
          <w:sz w:val="28"/>
          <w:u w:color="auto"/>
        </w:rPr>
        <w:t xml:space="preserve">增长3.43%</w:t>
      </w:r>
      <w:r>
        <w:rPr>
          <w:rFonts w:ascii="宋体" w:eastAsia="宋体" w:hAnsi="宋体" w:cs="宋体" w:hint="eastAsia"/>
          <w:sz w:val="28"/>
          <w:szCs w:val="28"/>
        </w:rPr>
        <w:t xml:space="preserve">，主要原因是：</w:t>
      </w:r>
      <w:r>
        <w:rPr>
          <w:rFonts w:hint="eastAsia"/>
          <w:highlight w:val="none"/>
        </w:rPr>
        <w:t xml:space="preserve">住房公积金基数调整，支出较上年增加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1563.76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911.23</w:t>
      </w:r>
      <w:r>
        <w:rPr>
          <w:rFonts w:ascii="宋体" w:eastAsia="宋体" w:hAnsi="宋体" w:cs="宋体" w:hint="eastAsia"/>
          <w:sz w:val="28"/>
          <w:szCs w:val="28"/>
        </w:rPr>
        <w:t xml:space="preserve">万元，</w:t>
      </w:r>
      <w:r>
        <w:rPr>
          <w:rFonts w:ascii="宋体" w:eastAsia="宋体" w:hAnsi="宋体" w:cs="宋体"/>
          <w:sz w:val="28"/>
          <w:u w:color="auto"/>
        </w:rPr>
        <w:t xml:space="preserve">增长652.53</w:t>
      </w:r>
      <w:r>
        <w:rPr>
          <w:rFonts w:ascii="宋体" w:eastAsia="宋体" w:hAnsi="宋体" w:cs="宋体" w:hint="eastAsia"/>
          <w:sz w:val="28"/>
          <w:szCs w:val="28"/>
        </w:rPr>
        <w:t xml:space="preserve">万元，</w:t>
      </w:r>
      <w:r>
        <w:rPr>
          <w:rFonts w:ascii="宋体" w:eastAsia="宋体" w:hAnsi="宋体" w:cs="宋体"/>
          <w:sz w:val="28"/>
          <w:u w:color="auto"/>
        </w:rPr>
        <w:t xml:space="preserve">增长71.61%</w:t>
      </w:r>
      <w:r>
        <w:rPr>
          <w:rFonts w:ascii="宋体" w:eastAsia="宋体" w:hAnsi="宋体" w:cs="宋体" w:hint="eastAsia"/>
          <w:sz w:val="28"/>
          <w:szCs w:val="28"/>
        </w:rPr>
        <w:t xml:space="preserve">，主要原因是：</w:t>
      </w:r>
      <w:r>
        <w:rPr>
          <w:rFonts w:hint="eastAsia"/>
          <w:highlight w:val="none"/>
        </w:rPr>
        <w:t xml:space="preserve">2024年增加医疗卫生机构能力建设方面的支出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143.16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141.01</w:t>
      </w:r>
      <w:r>
        <w:rPr>
          <w:rFonts w:ascii="宋体" w:eastAsia="宋体" w:hAnsi="宋体" w:cs="宋体" w:hint="eastAsia"/>
          <w:sz w:val="28"/>
          <w:szCs w:val="28"/>
        </w:rPr>
        <w:t xml:space="preserve">万元，</w:t>
      </w:r>
      <w:r>
        <w:rPr>
          <w:rFonts w:ascii="宋体" w:eastAsia="宋体" w:hAnsi="宋体" w:cs="宋体"/>
          <w:sz w:val="28"/>
          <w:u w:color="auto"/>
        </w:rPr>
        <w:t xml:space="preserve">增长2.15</w:t>
      </w:r>
      <w:r>
        <w:rPr>
          <w:rFonts w:ascii="宋体" w:eastAsia="宋体" w:hAnsi="宋体" w:cs="宋体" w:hint="eastAsia"/>
          <w:sz w:val="28"/>
          <w:szCs w:val="28"/>
        </w:rPr>
        <w:t xml:space="preserve">万元，</w:t>
      </w:r>
      <w:r>
        <w:rPr>
          <w:rFonts w:ascii="宋体" w:eastAsia="宋体" w:hAnsi="宋体" w:cs="宋体"/>
          <w:sz w:val="28"/>
          <w:u w:color="auto"/>
        </w:rPr>
        <w:t xml:space="preserve">增长1.52%</w:t>
      </w:r>
      <w:r>
        <w:rPr>
          <w:rFonts w:ascii="宋体" w:eastAsia="宋体" w:hAnsi="宋体" w:cs="宋体" w:hint="eastAsia"/>
          <w:sz w:val="28"/>
          <w:szCs w:val="28"/>
        </w:rPr>
        <w:t xml:space="preserve">，主要原因是：</w:t>
      </w:r>
      <w:r>
        <w:rPr>
          <w:rFonts w:hint="eastAsia"/>
          <w:highlight w:val="none"/>
        </w:rPr>
        <w:t xml:space="preserve">社会保障费基数调整，支出较上年增加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2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1277.01</w:t>
      </w:r>
      <w:r>
        <w:rPr>
          <w:rFonts w:hint="eastAsia"/>
        </w:rPr>
        <w:t xml:space="preserve">万元，较2023年度预算数</w:t>
      </w:r>
      <w:r>
        <w:rPr>
          <w:rFonts w:hint="eastAsia"/>
          <w:lang w:val="en-US" w:eastAsia="zh-CN"/>
        </w:rPr>
        <w:t xml:space="preserve">1100.86</w:t>
      </w:r>
      <w:r>
        <w:rPr>
          <w:rFonts w:hint="eastAsia"/>
        </w:rPr>
        <w:t xml:space="preserve">万元</w:t>
      </w:r>
      <w:r>
        <w:rPr>
          <w:rFonts w:hint="eastAsia"/>
          <w:lang w:val="en-US" w:eastAsia="zh-CN"/>
        </w:rPr>
        <w:t xml:space="preserve">,</w:t>
      </w:r>
      <w:r>
        <w:rPr>
          <w:u w:color="auto"/>
        </w:rPr>
        <w:t xml:space="preserve">增加176.15</w:t>
      </w:r>
      <w:r>
        <w:rPr>
          <w:rFonts w:hint="eastAsia"/>
        </w:rPr>
        <w:t xml:space="preserve">万元，</w:t>
      </w:r>
      <w:r>
        <w:rPr>
          <w:rFonts w:hint="eastAsia"/>
          <w:lang w:val="en-US" w:eastAsia="zh-CN"/>
        </w:rPr>
        <w:t xml:space="preserve">增长16.00%</w:t>
      </w:r>
      <w:r>
        <w:rPr>
          <w:rFonts w:hint="eastAsia"/>
        </w:rPr>
        <w:t xml:space="preserve">，主要原因是</w:t>
      </w:r>
      <w:r>
        <w:rPr>
          <w:rFonts w:hint="eastAsia"/>
          <w:highlight w:val="none"/>
          <w:lang w:val="en-US" w:eastAsia="zh-CN"/>
        </w:rPr>
        <w:t xml:space="preserve">在职在编人员工资正常变动增加、住房公积金基数调整，社会保障缴费增加，退休人员生活补助标准提高等</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1115.14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86.71%</w:t>
      </w:r>
      <w:r>
        <w:rPr>
          <w:rFonts w:hint="eastAsia"/>
        </w:rPr>
        <w:t xml:space="preserve">，较2023年度预算数</w:t>
      </w:r>
      <w:r>
        <w:rPr>
          <w:rFonts w:hint="eastAsia"/>
          <w:lang w:val="en-US" w:eastAsia="zh-CN"/>
        </w:rPr>
        <w:t xml:space="preserve">1028.96</w:t>
      </w:r>
      <w:r>
        <w:rPr>
          <w:rFonts w:hint="eastAsia"/>
        </w:rPr>
        <w:t xml:space="preserve">万元，</w:t>
      </w:r>
      <w:r>
        <w:rPr>
          <w:rFonts w:hint="eastAsia"/>
          <w:lang w:val="en-US" w:eastAsia="zh-CN"/>
        </w:rPr>
        <w:t xml:space="preserve">增长86.18</w:t>
      </w:r>
      <w:r>
        <w:rPr>
          <w:rFonts w:hint="eastAsia"/>
        </w:rPr>
        <w:t xml:space="preserve">万元，</w:t>
      </w:r>
      <w:r>
        <w:rPr>
          <w:rFonts w:hint="eastAsia"/>
          <w:lang w:val="en-US" w:eastAsia="zh-CN"/>
        </w:rPr>
        <w:t xml:space="preserve">增长8.38%</w:t>
      </w:r>
      <w:r>
        <w:rPr>
          <w:rFonts w:hint="eastAsia"/>
        </w:rPr>
        <w:t xml:space="preserve">，主要原因是：</w:t>
      </w:r>
      <w:r>
        <w:rPr>
          <w:rFonts w:hint="eastAsia"/>
          <w:highlight w:val="none"/>
        </w:rPr>
        <w:t xml:space="preserve">在职在编人员工资正常变动增加、住房公积金基数调整，社会保障缴费增加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147.11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11.44%</w:t>
      </w:r>
      <w:r>
        <w:rPr>
          <w:rFonts w:hint="eastAsia"/>
        </w:rPr>
        <w:t xml:space="preserve">，较2023年度预算数</w:t>
      </w:r>
      <w:r>
        <w:rPr>
          <w:rFonts w:hint="eastAsia"/>
          <w:lang w:val="en-US" w:eastAsia="zh-CN"/>
        </w:rPr>
        <w:t xml:space="preserve">54.27</w:t>
      </w:r>
      <w:r>
        <w:rPr>
          <w:rFonts w:hint="eastAsia"/>
        </w:rPr>
        <w:t xml:space="preserve">万元，</w:t>
      </w:r>
      <w:r>
        <w:rPr>
          <w:rFonts w:hint="eastAsia"/>
          <w:lang w:val="en-US" w:eastAsia="zh-CN"/>
        </w:rPr>
        <w:t xml:space="preserve">增长92.84</w:t>
      </w:r>
      <w:r>
        <w:rPr>
          <w:rFonts w:hint="eastAsia"/>
        </w:rPr>
        <w:t xml:space="preserve">万元，</w:t>
      </w:r>
      <w:r>
        <w:rPr>
          <w:rFonts w:hint="eastAsia"/>
          <w:lang w:val="en-US" w:eastAsia="zh-CN"/>
        </w:rPr>
        <w:t xml:space="preserve">增长171.07%</w:t>
      </w:r>
      <w:r>
        <w:rPr>
          <w:rFonts w:hint="eastAsia"/>
        </w:rPr>
        <w:t xml:space="preserve">，主要原因是：</w:t>
      </w:r>
      <w:r>
        <w:rPr>
          <w:rFonts w:hint="eastAsia"/>
          <w:highlight w:val="none"/>
        </w:rPr>
        <w:t xml:space="preserve">退休人员生活补助标准提高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23.73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1.85%</w:t>
      </w:r>
      <w:r>
        <w:rPr>
          <w:rFonts w:hint="eastAsia"/>
        </w:rPr>
        <w:t xml:space="preserve">，较2023年度预算数</w:t>
      </w:r>
      <w:r>
        <w:rPr>
          <w:rFonts w:hint="eastAsia"/>
          <w:lang w:val="en-US" w:eastAsia="zh-CN"/>
        </w:rPr>
        <w:t xml:space="preserve">24.61</w:t>
      </w:r>
      <w:r>
        <w:rPr>
          <w:rFonts w:hint="eastAsia"/>
        </w:rPr>
        <w:t xml:space="preserve">万元，</w:t>
      </w:r>
      <w:r>
        <w:rPr>
          <w:rFonts w:hint="eastAsia"/>
          <w:lang w:val="en-US" w:eastAsia="zh-CN"/>
        </w:rPr>
        <w:t xml:space="preserve">减少0.88</w:t>
      </w:r>
      <w:r>
        <w:rPr>
          <w:rFonts w:hint="eastAsia"/>
        </w:rPr>
        <w:t xml:space="preserve">万元，</w:t>
      </w:r>
      <w:r>
        <w:rPr>
          <w:rFonts w:hint="eastAsia"/>
          <w:lang w:val="en-US" w:eastAsia="zh-CN"/>
        </w:rPr>
        <w:t xml:space="preserve">减少3.58%</w:t>
      </w:r>
      <w:r>
        <w:rPr>
          <w:rFonts w:hint="eastAsia"/>
        </w:rPr>
        <w:t xml:space="preserve">，主要原因是：</w:t>
      </w:r>
      <w:r>
        <w:rPr>
          <w:rFonts w:hint="eastAsia"/>
          <w:highlight w:val="none"/>
        </w:rPr>
        <w:t xml:space="preserve">工会经费较上年减少2.88万元，公务用车运行维护费较上年增加2万元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2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41.49</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2.51</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38.98</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38.98</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2024年我部门因公出国（境）预算安排0万元，与上年持平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2024年我部门公务接待费2024年预算安排0.00万元，与上年持平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2024年我部门公务用车购置费2024年预算安排0.00万元，与上年持平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2024年我部门公务用车运行维护费预算安排0.00万元，与上年持平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2024年我部门政府性基金预算支出共0.00万元，与上年持平</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2024年我部门国有资本经营预算支出共0.00万元，与上年持平</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23.73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24.61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减少0.88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下降3.58%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工会经费较上年减少2.88万元，公务用车运行维护费较上年增加2万元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1443.9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1443.9</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主要用于：医疗设备购置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9</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9</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16638.17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免费预防性体检，预算资金52万元，2024年度绩效目标为：为群众及从业人员提供健康的生活环境及工作环境，促进社会和谐健康发展。设1条数量指标：完成辖区餐饮、公共卫生从业人员体检人数＞5500人。设1条质量指标：体检的合格、合规率=100%；设1条时效指标：项目完成时限在2024年年12月3日前完成此项目；设1条成本指标：项目成本=52万元；设1条社会效益指标：从业人员免费预防性体检覆盖率达98%以上,产生良好的社会效益；设1条满意度指标：餐饮、公共卫生从业人员满意度=100%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环江毛南族自治县人民医院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环江毛南族自治县人民医院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1336.43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1336.43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143.16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17648.74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16084.98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17421.41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17924.16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502.75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17924.16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17924.16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环江毛南族自治县人民医院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402006</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环江毛南族自治县人民医院</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17924.16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17421.41</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1336.43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16084.98</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502.75</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502.75</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环江毛南族自治县人民医院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17924.16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1285.99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16638.17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17924.16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1285.99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16638.17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143.16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143.16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综合医院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17145.99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1010.56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16135.42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其他公立医院支出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其他卫生健康支出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452.75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452.75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环江毛南族自治县人民医院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1336.43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1336.43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143.16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1563.76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1336.43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1839.18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502.75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1839.18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1839.18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环江毛南族自治县人民医院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1839.18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1277.01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1262.25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14.76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562.17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14.76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14.76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143.16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143.16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143.16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综合医院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1061.01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1001.59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1001.59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59.42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其他公立医院支出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其他卫生健康支出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452.75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452.75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117.51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117.51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117.51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环江毛南族自治县人民医院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1277.01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1262.25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1115.14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1115.14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471.45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471.45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环江毛南族自治县人民医院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41.49</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38.98</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38.98</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2.51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环江毛南族自治县人民医院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综合医院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其他公立医院支出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其他卫生健康支出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环江毛南族自治县人民医院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环江毛南族自治县人民医院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党支部组织生活经费（单位资金）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56.14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设备购置费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1443.90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免费预防性体检</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年内按计划安排</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医疗支出费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14098.87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药品零差率县级补助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药品零差率县级补助，12月31日前安排</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中央财政医疗服务与保障能力提升(医疗卫生机构能力建设)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452.75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中央财政医疗服务与保障能力提升(医疗卫生机构能力建设)</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补助市县公立医院取消药品加成补偿经费项目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补助市县公立医院取消药品加成补偿经费项目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事业单位工作人员考核和定期奖励（聘用人员））</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安全生产</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环江毛南族自治县人民医院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科教项目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3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2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38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3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38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3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38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3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38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3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jVOGLeSR8Zz/ix49+4LDaQ==" w:hash="MJHMdmn2tnWKNNmdPHTNR4fue8fa4Vq/t66pA5+G4i2aSVcBtuxd44VBh1jesPo1F8T3lri+z6whG+EoT/6cV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1839.18</c:v>
                </c:pt>
                <c:pt idx="1">
                  <c:v>16084.98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14.76</c:v>
                </c:pt>
                <c:pt idx="1">
                  <c:v>143.16</c:v>
                </c:pt>
                <c:pt idx="2">
                  <c:v>17145.99</c:v>
                </c:pt>
                <c:pt idx="3">
                  <c:v>117.51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1183.49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1839.18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1277.01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59.42</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14.76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1262.25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1262.25</c:v>
                </c:pt>
                <c:pt idx="1">
                  <c:v>23.73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2.0</c:v>
                </c:pt>
                <c:pt idx="2">
                  <c:v>16.19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2.51</c:v>
                </c:pt>
                <c:pt idx="2">
                  <c:v>38.98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2024-03-01T08:53:46Z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