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sz w:val="56"/>
          <w:szCs w:val="56"/>
        </w:rPr>
        <w:sectPr>
          <w:pgSz w:w="11900" w:h="16840"/>
          <w:pgMar w:top="4713" w:right="1913" w:bottom="4713" w:left="2020" w:header="4285" w:footer="2381" w:gutter="0"/>
          <w:pgBorders>
            <w:top w:val="none" w:sz="0" w:space="0"/>
            <w:left w:val="none" w:sz="0" w:space="0"/>
            <w:bottom w:val="none" w:sz="0" w:space="0"/>
            <w:right w:val="none" w:sz="0" w:space="0"/>
          </w:pgBorders>
          <w:pgNumType w:fmt="decimal" w:start="1"/>
          <w:cols w:space="720" w:num="1"/>
          <w:docGrid w:linePitch="360" w:charSpace="0"/>
        </w:sectPr>
      </w:pPr>
      <w:r>
        <w:rPr>
          <w:rFonts w:hint="eastAsia"/>
          <w:sz w:val="56"/>
          <w:szCs w:val="56"/>
          <w:lang w:eastAsia="zh-CN"/>
        </w:rPr>
        <w:t>环江毛南族自治县思恩镇人民政府2024</w:t>
      </w:r>
      <w:r>
        <w:rPr>
          <w:rFonts w:hint="eastAsia" w:asciiTheme="majorEastAsia" w:hAnsiTheme="majorEastAsia" w:eastAsiaTheme="majorEastAsia" w:cstheme="majorEastAsia"/>
          <w:sz w:val="56"/>
          <w:szCs w:val="56"/>
          <w:u w:color="auto"/>
        </w:rPr>
        <w:t>年</w:t>
      </w:r>
      <w:r>
        <w:rPr>
          <w:rFonts w:hint="eastAsia" w:asciiTheme="majorEastAsia" w:hAnsiTheme="majorEastAsia" w:eastAsiaTheme="majorEastAsia" w:cstheme="majorEastAsia"/>
          <w:sz w:val="56"/>
          <w:szCs w:val="56"/>
        </w:rPr>
        <w:t>度部门预算</w:t>
      </w:r>
    </w:p>
    <w:p>
      <w:pPr>
        <w:pStyle w:val="7"/>
        <w:keepNext/>
        <w:keepLines/>
        <w:spacing w:after="240"/>
        <w:jc w:val="center"/>
        <w:rPr>
          <w:b/>
          <w:bCs/>
        </w:rPr>
      </w:pPr>
      <w:bookmarkStart w:id="0" w:name="bookmark0"/>
      <w:bookmarkStart w:id="1" w:name="bookmark2"/>
      <w:bookmarkStart w:id="2" w:name="bookmark1"/>
      <w:r>
        <w:rPr>
          <w:b/>
          <w:bCs/>
        </w:rPr>
        <w:t>目</w:t>
      </w:r>
      <w:r>
        <w:rPr>
          <w:rFonts w:hint="eastAsia"/>
          <w:b/>
          <w:bCs/>
          <w:lang w:val="en-US" w:eastAsia="zh-CN"/>
        </w:rPr>
        <w:t xml:space="preserve"> </w:t>
      </w:r>
      <w:r>
        <w:rPr>
          <w:b/>
          <w:bCs/>
        </w:rPr>
        <w:t>录</w:t>
      </w:r>
      <w:bookmarkEnd w:id="0"/>
      <w:bookmarkEnd w:id="1"/>
      <w:bookmarkEnd w:id="2"/>
    </w:p>
    <w:p>
      <w:pPr>
        <w:pStyle w:val="8"/>
        <w:ind w:left="0" w:leftChars="0" w:firstLine="321" w:firstLineChars="100"/>
        <w:jc w:val="left"/>
        <w:rPr>
          <w:b/>
          <w:bCs/>
        </w:rPr>
      </w:pPr>
      <w:r>
        <w:rPr>
          <w:b/>
          <w:bCs/>
        </w:rPr>
        <w:t>第一部分</w:t>
      </w:r>
      <w:r>
        <w:rPr>
          <w:rFonts w:hint="eastAsia"/>
          <w:b/>
          <w:bCs/>
          <w:lang w:eastAsia="zh-CN"/>
        </w:rPr>
        <w:t>：</w:t>
      </w:r>
      <w:r>
        <w:rPr>
          <w:b/>
          <w:bCs/>
          <w:u w:color="auto"/>
        </w:rPr>
        <w:t>环江毛南族自治县思恩镇人民政府单位</w:t>
      </w:r>
      <w:r>
        <w:rPr>
          <w:b/>
          <w:bCs/>
        </w:rPr>
        <w:t>概况</w:t>
      </w:r>
    </w:p>
    <w:p>
      <w:pPr>
        <w:pStyle w:val="8"/>
        <w:jc w:val="left"/>
      </w:pPr>
      <w:r>
        <w:rPr>
          <w:lang w:val="en-US" w:eastAsia="zh-CN" w:bidi="en-US"/>
        </w:rPr>
        <w:t>—</w:t>
      </w:r>
      <w:r>
        <w:t>、主要职责</w:t>
      </w:r>
    </w:p>
    <w:p>
      <w:pPr>
        <w:pStyle w:val="8"/>
        <w:jc w:val="left"/>
        <w:rPr>
          <w:rFonts w:hint="eastAsia"/>
        </w:rPr>
      </w:pPr>
      <w:r>
        <w:rPr>
          <w:rFonts w:hint="eastAsia"/>
          <w:lang w:val="en-US" w:eastAsia="zh-CN"/>
        </w:rPr>
        <w:t>二、</w:t>
      </w:r>
      <w:r>
        <w:rPr>
          <w:rFonts w:hint="eastAsia"/>
        </w:rPr>
        <w:t>机构设置情况</w:t>
      </w:r>
    </w:p>
    <w:p>
      <w:pPr>
        <w:pStyle w:val="8"/>
        <w:ind w:left="0" w:leftChars="0" w:firstLine="321" w:firstLineChars="100"/>
        <w:jc w:val="left"/>
        <w:rPr>
          <w:b/>
          <w:bCs/>
        </w:rPr>
      </w:pPr>
      <w:r>
        <w:rPr>
          <w:b/>
          <w:bCs/>
        </w:rPr>
        <w:t>第二部分</w:t>
      </w:r>
      <w:r>
        <w:rPr>
          <w:rFonts w:hint="eastAsia"/>
          <w:b/>
          <w:bCs/>
          <w:lang w:eastAsia="zh-CN"/>
        </w:rPr>
        <w:t>：</w:t>
      </w:r>
      <w:r>
        <w:rPr>
          <w:b/>
          <w:bCs/>
          <w:u w:color="auto"/>
        </w:rPr>
        <w:t>环江毛南族自治县思恩镇人民政府2024</w:t>
      </w:r>
      <w:r>
        <w:rPr>
          <w:b/>
          <w:bCs/>
        </w:rPr>
        <w:t>部门预算情况说明</w:t>
      </w:r>
    </w:p>
    <w:p>
      <w:pPr>
        <w:pStyle w:val="8"/>
        <w:numPr>
          <w:ilvl w:val="0"/>
          <w:numId w:val="0"/>
        </w:numPr>
        <w:ind w:firstLine="640" w:firstLineChars="200"/>
        <w:jc w:val="left"/>
        <w:rPr>
          <w:rFonts w:hint="eastAsia"/>
        </w:rPr>
      </w:pPr>
      <w:r>
        <w:rPr>
          <w:rFonts w:hint="eastAsia"/>
        </w:rPr>
        <w:t>一、部门收支总体情况说明</w:t>
      </w:r>
    </w:p>
    <w:p>
      <w:pPr>
        <w:pStyle w:val="8"/>
        <w:numPr>
          <w:ilvl w:val="0"/>
          <w:numId w:val="0"/>
        </w:numPr>
        <w:ind w:firstLine="640" w:firstLineChars="200"/>
        <w:jc w:val="left"/>
        <w:rPr>
          <w:rFonts w:hint="eastAsia"/>
        </w:rPr>
      </w:pPr>
      <w:r>
        <w:rPr>
          <w:rFonts w:hint="eastAsia"/>
        </w:rPr>
        <w:t>二、部门收入总体情况说明</w:t>
      </w:r>
    </w:p>
    <w:p>
      <w:pPr>
        <w:pStyle w:val="8"/>
        <w:numPr>
          <w:ilvl w:val="0"/>
          <w:numId w:val="0"/>
        </w:numPr>
        <w:ind w:firstLine="640" w:firstLineChars="200"/>
        <w:jc w:val="left"/>
        <w:rPr>
          <w:rFonts w:hint="eastAsia"/>
        </w:rPr>
      </w:pPr>
      <w:r>
        <w:rPr>
          <w:rFonts w:hint="eastAsia"/>
        </w:rPr>
        <w:t>三、部门支出总体情况说明</w:t>
      </w:r>
    </w:p>
    <w:p>
      <w:pPr>
        <w:pStyle w:val="8"/>
        <w:numPr>
          <w:ilvl w:val="0"/>
          <w:numId w:val="0"/>
        </w:numPr>
        <w:ind w:firstLine="640" w:firstLineChars="200"/>
        <w:jc w:val="left"/>
        <w:rPr>
          <w:rFonts w:hint="eastAsia"/>
        </w:rPr>
      </w:pPr>
      <w:r>
        <w:rPr>
          <w:rFonts w:hint="eastAsia"/>
        </w:rPr>
        <w:t>四、财政拨款收支总体情况说明</w:t>
      </w:r>
    </w:p>
    <w:p>
      <w:pPr>
        <w:pStyle w:val="8"/>
        <w:numPr>
          <w:ilvl w:val="0"/>
          <w:numId w:val="0"/>
        </w:numPr>
        <w:ind w:firstLine="640" w:firstLineChars="200"/>
        <w:jc w:val="left"/>
        <w:rPr>
          <w:rFonts w:hint="eastAsia"/>
        </w:rPr>
      </w:pPr>
      <w:r>
        <w:rPr>
          <w:rFonts w:hint="eastAsia"/>
        </w:rPr>
        <w:t>五、一般公共预算支出情况说明</w:t>
      </w:r>
    </w:p>
    <w:p>
      <w:pPr>
        <w:pStyle w:val="8"/>
        <w:numPr>
          <w:ilvl w:val="0"/>
          <w:numId w:val="0"/>
        </w:numPr>
        <w:ind w:firstLine="640" w:firstLineChars="200"/>
        <w:jc w:val="left"/>
        <w:rPr>
          <w:rFonts w:hint="eastAsia"/>
        </w:rPr>
      </w:pPr>
      <w:r>
        <w:rPr>
          <w:rFonts w:hint="eastAsia"/>
        </w:rPr>
        <w:t>六、一般公共预算基本支出情况说明</w:t>
      </w:r>
    </w:p>
    <w:p>
      <w:pPr>
        <w:pStyle w:val="8"/>
        <w:numPr>
          <w:ilvl w:val="0"/>
          <w:numId w:val="0"/>
        </w:numPr>
        <w:ind w:firstLine="640" w:firstLineChars="200"/>
        <w:jc w:val="left"/>
        <w:rPr>
          <w:rFonts w:hint="eastAsia"/>
        </w:rPr>
      </w:pPr>
      <w:r>
        <w:rPr>
          <w:rFonts w:hint="eastAsia"/>
        </w:rPr>
        <w:t>七、一般公共预算“三公”经费支出情况说明</w:t>
      </w:r>
    </w:p>
    <w:p>
      <w:pPr>
        <w:pStyle w:val="8"/>
        <w:numPr>
          <w:ilvl w:val="0"/>
          <w:numId w:val="0"/>
        </w:numPr>
        <w:ind w:firstLine="640" w:firstLineChars="200"/>
        <w:jc w:val="left"/>
        <w:rPr>
          <w:rFonts w:hint="eastAsia"/>
        </w:rPr>
      </w:pPr>
      <w:r>
        <w:rPr>
          <w:rFonts w:hint="eastAsia"/>
        </w:rPr>
        <w:t>八、政府性基金预算支出情况说明</w:t>
      </w:r>
    </w:p>
    <w:p>
      <w:pPr>
        <w:pStyle w:val="8"/>
        <w:numPr>
          <w:ilvl w:val="0"/>
          <w:numId w:val="0"/>
        </w:numPr>
        <w:ind w:firstLine="640" w:firstLineChars="200"/>
        <w:jc w:val="left"/>
        <w:rPr>
          <w:rFonts w:hint="eastAsia"/>
        </w:rPr>
      </w:pPr>
      <w:r>
        <w:rPr>
          <w:rFonts w:hint="eastAsia"/>
        </w:rPr>
        <w:t>九、国有资本经营预算支出情况说明</w:t>
      </w:r>
    </w:p>
    <w:p>
      <w:pPr>
        <w:pStyle w:val="8"/>
        <w:numPr>
          <w:ilvl w:val="0"/>
          <w:numId w:val="0"/>
        </w:numPr>
        <w:ind w:firstLine="640" w:firstLineChars="200"/>
        <w:jc w:val="left"/>
      </w:pPr>
      <w:r>
        <w:rPr>
          <w:rFonts w:hint="eastAsia"/>
        </w:rPr>
        <w:t>十、其他重要事项情况说明</w:t>
      </w:r>
    </w:p>
    <w:p>
      <w:pPr>
        <w:pStyle w:val="8"/>
        <w:ind w:left="0" w:leftChars="0" w:firstLine="321" w:firstLineChars="100"/>
        <w:jc w:val="left"/>
        <w:rPr>
          <w:b/>
          <w:bCs/>
        </w:rPr>
      </w:pPr>
      <w:r>
        <w:rPr>
          <w:b/>
          <w:bCs/>
        </w:rPr>
        <w:t>第三部分</w:t>
      </w:r>
      <w:r>
        <w:rPr>
          <w:rFonts w:hint="eastAsia"/>
          <w:b/>
          <w:bCs/>
          <w:lang w:eastAsia="zh-CN"/>
        </w:rPr>
        <w:t>：</w:t>
      </w:r>
      <w:r>
        <w:rPr>
          <w:b/>
          <w:bCs/>
          <w:u w:color="auto"/>
        </w:rPr>
        <w:t>环江毛南族自治县思恩镇人民政府2024</w:t>
      </w:r>
      <w:r>
        <w:rPr>
          <w:rFonts w:ascii="Times New Roman" w:hAnsi="Times New Roman" w:cs="Times New Roman"/>
          <w:b/>
          <w:bCs/>
          <w:u w:color="auto"/>
        </w:rPr>
        <w:t>年</w:t>
      </w:r>
      <w:r>
        <w:rPr>
          <w:b/>
          <w:bCs/>
        </w:rPr>
        <w:t>部门预算</w:t>
      </w:r>
      <w:r>
        <w:rPr>
          <w:rFonts w:hint="eastAsia"/>
          <w:b/>
          <w:bCs/>
          <w:lang w:val="en-US" w:eastAsia="zh-CN"/>
        </w:rPr>
        <w:t>相关报</w:t>
      </w:r>
      <w:r>
        <w:rPr>
          <w:b/>
          <w:bCs/>
        </w:rPr>
        <w:t>表</w:t>
      </w:r>
    </w:p>
    <w:p>
      <w:pPr>
        <w:pStyle w:val="8"/>
        <w:jc w:val="left"/>
        <w:rPr>
          <w:rFonts w:hint="eastAsia"/>
        </w:rPr>
      </w:pPr>
      <w:r>
        <w:rPr>
          <w:rFonts w:hint="eastAsia"/>
        </w:rPr>
        <w:t>一、部门收支总体情况表</w:t>
      </w:r>
    </w:p>
    <w:p>
      <w:pPr>
        <w:pStyle w:val="8"/>
        <w:jc w:val="left"/>
        <w:rPr>
          <w:rFonts w:hint="eastAsia"/>
        </w:rPr>
      </w:pPr>
      <w:r>
        <w:rPr>
          <w:rFonts w:hint="eastAsia"/>
        </w:rPr>
        <w:t>二、部门收入总体情况表</w:t>
      </w:r>
    </w:p>
    <w:p>
      <w:pPr>
        <w:pStyle w:val="8"/>
        <w:jc w:val="left"/>
        <w:rPr>
          <w:rFonts w:hint="eastAsia"/>
        </w:rPr>
      </w:pPr>
      <w:r>
        <w:rPr>
          <w:rFonts w:hint="eastAsia"/>
        </w:rPr>
        <w:t>三、部门支出总体情况表</w:t>
      </w:r>
    </w:p>
    <w:p>
      <w:pPr>
        <w:pStyle w:val="8"/>
        <w:jc w:val="left"/>
        <w:rPr>
          <w:rFonts w:hint="eastAsia"/>
        </w:rPr>
      </w:pPr>
      <w:r>
        <w:rPr>
          <w:rFonts w:hint="eastAsia"/>
        </w:rPr>
        <w:t>四、财政拨款收支总体情况表</w:t>
      </w:r>
    </w:p>
    <w:p>
      <w:pPr>
        <w:pStyle w:val="8"/>
        <w:jc w:val="left"/>
        <w:rPr>
          <w:rFonts w:hint="eastAsia"/>
        </w:rPr>
      </w:pPr>
      <w:r>
        <w:rPr>
          <w:rFonts w:hint="eastAsia"/>
        </w:rPr>
        <w:t>五、一般公共预算支出情况表</w:t>
      </w:r>
    </w:p>
    <w:p>
      <w:pPr>
        <w:pStyle w:val="8"/>
        <w:jc w:val="left"/>
        <w:rPr>
          <w:rFonts w:hint="eastAsia"/>
        </w:rPr>
      </w:pPr>
      <w:r>
        <w:rPr>
          <w:rFonts w:hint="eastAsia"/>
        </w:rPr>
        <w:t>六、一般公共预算基本支出情况表</w:t>
      </w:r>
    </w:p>
    <w:p>
      <w:pPr>
        <w:pStyle w:val="8"/>
        <w:jc w:val="left"/>
        <w:rPr>
          <w:rFonts w:hint="eastAsia"/>
        </w:rPr>
      </w:pPr>
      <w:r>
        <w:rPr>
          <w:rFonts w:hint="eastAsia"/>
        </w:rPr>
        <w:t>七、一般公开预算“三公”经费支出情况表</w:t>
      </w:r>
    </w:p>
    <w:p>
      <w:pPr>
        <w:pStyle w:val="8"/>
        <w:jc w:val="left"/>
        <w:rPr>
          <w:rFonts w:hint="eastAsia"/>
        </w:rPr>
      </w:pPr>
      <w:r>
        <w:rPr>
          <w:rFonts w:hint="eastAsia"/>
        </w:rPr>
        <w:t>八、政府性基金预算支出情况表</w:t>
      </w:r>
    </w:p>
    <w:p>
      <w:pPr>
        <w:pStyle w:val="8"/>
        <w:jc w:val="left"/>
        <w:rPr>
          <w:rFonts w:hint="eastAsia"/>
        </w:rPr>
      </w:pPr>
      <w:r>
        <w:rPr>
          <w:rFonts w:hint="eastAsia"/>
        </w:rPr>
        <w:t>九、国有资本经营预算支出情况表</w:t>
      </w:r>
    </w:p>
    <w:p>
      <w:pPr>
        <w:pStyle w:val="8"/>
        <w:jc w:val="left"/>
        <w:rPr>
          <w:rFonts w:hint="eastAsia" w:eastAsia="宋体"/>
          <w:lang w:eastAsia="zh-CN"/>
        </w:rPr>
      </w:pPr>
      <w:r>
        <w:rPr>
          <w:rFonts w:hint="eastAsia"/>
        </w:rPr>
        <w:t>十、2024年度预算项目绩效目标公开表</w:t>
      </w:r>
    </w:p>
    <w:p>
      <w:pPr>
        <w:pStyle w:val="8"/>
        <w:ind w:left="0" w:leftChars="0" w:firstLine="321" w:firstLineChars="100"/>
        <w:jc w:val="left"/>
        <w:rPr>
          <w:rFonts w:hint="eastAsia" w:eastAsia="宋体"/>
          <w:b/>
          <w:bCs/>
          <w:lang w:eastAsia="zh-CN"/>
        </w:rPr>
        <w:sectPr>
          <w:footerReference r:id="rId3" w:type="default"/>
          <w:pgSz w:w="11900" w:h="16840"/>
          <w:pgMar w:top="1508" w:right="1674" w:bottom="1508" w:left="1851" w:header="0" w:footer="1077" w:gutter="0"/>
          <w:pgBorders>
            <w:top w:val="none" w:sz="0" w:space="0"/>
            <w:left w:val="none" w:sz="0" w:space="0"/>
            <w:bottom w:val="none" w:sz="0" w:space="0"/>
            <w:right w:val="none" w:sz="0" w:space="0"/>
          </w:pgBorders>
          <w:pgNumType w:fmt="decimal"/>
          <w:cols w:space="720" w:num="1"/>
          <w:docGrid w:linePitch="360" w:charSpace="0"/>
        </w:sectPr>
      </w:pPr>
      <w:r>
        <w:rPr>
          <w:b/>
          <w:bCs/>
        </w:rPr>
        <w:t>第四部分</w:t>
      </w:r>
      <w:r>
        <w:rPr>
          <w:rFonts w:hint="eastAsia"/>
          <w:b/>
          <w:bCs/>
          <w:lang w:eastAsia="zh-CN"/>
        </w:rPr>
        <w:t>：</w:t>
      </w:r>
      <w:r>
        <w:rPr>
          <w:b/>
          <w:bCs/>
        </w:rPr>
        <w:t>名词</w:t>
      </w:r>
      <w:r>
        <w:rPr>
          <w:rFonts w:hint="eastAsia"/>
          <w:b/>
          <w:bCs/>
          <w:lang w:val="en-US" w:eastAsia="zh-CN"/>
        </w:rPr>
        <w:t>解释</w:t>
      </w:r>
    </w:p>
    <w:p>
      <w:pPr>
        <w:pStyle w:val="7"/>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第一部分</w:t>
      </w:r>
      <w:r>
        <w:rPr>
          <w:rFonts w:hint="eastAsia"/>
          <w:b/>
          <w:bCs/>
          <w:sz w:val="40"/>
          <w:szCs w:val="40"/>
          <w:lang w:eastAsia="zh-CN"/>
        </w:rPr>
        <w:t>：</w:t>
      </w:r>
      <w:r>
        <w:rPr>
          <w:b/>
          <w:sz w:val="40"/>
          <w:u w:color="auto"/>
        </w:rPr>
        <w:t>环江毛南族自治县思恩镇人民政府</w:t>
      </w:r>
      <w:r>
        <w:rPr>
          <w:b/>
          <w:bCs/>
          <w:sz w:val="40"/>
          <w:szCs w:val="40"/>
        </w:rPr>
        <w:t>概况</w:t>
      </w:r>
      <w:bookmarkEnd w:id="3"/>
      <w:bookmarkEnd w:id="4"/>
      <w:bookmarkEnd w:id="5"/>
    </w:p>
    <w:p>
      <w:pPr>
        <w:pStyle w:val="8"/>
        <w:spacing w:after="0" w:line="619" w:lineRule="exact"/>
        <w:ind w:firstLine="620"/>
        <w:jc w:val="left"/>
        <w:rPr>
          <w:b/>
          <w:bCs/>
        </w:rPr>
      </w:pPr>
      <w:r>
        <w:rPr>
          <w:rFonts w:hint="eastAsia"/>
          <w:b/>
          <w:bCs/>
          <w:lang w:val="en-US" w:eastAsia="zh-CN"/>
        </w:rPr>
        <w:t>一、</w:t>
      </w:r>
      <w:r>
        <w:rPr>
          <w:b/>
          <w:bCs/>
        </w:rPr>
        <w:t>主要职责</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1.宣传和贯彻执行党的路线、方针、政策，领导和制定本地的经济和社会发展规划，并组织、协调、督促各部门的工作实施，加强对行政和经济组织的领导，引导全乡群众走勤劳致富奔小康道路，促进两个文明建设。</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2.组织全镇所属党员、干部、群众学习马列主义、毛泽东思想、邓小平理论和江泽民同志“三个代表”重要思想，学习党的路线、方针、政策；学习科学、文化、业务知识，尤其是科技兴农知识，不断提高广大党员、干部和群众的整体素质。认真做好思想政治工作，抓好党组织自身建设，增强党组织的凝聚力、吸引力和战斗力，充分发挥党员的先锋模范作用，团结党内外的干部和群众，努力实践“三个代表”，完成所担负的工作任务。</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3.负责全镇精神文明建设和社会治安综合治理，教育党员干部和其他工作人员严格遵守党纪国法。</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4.按照从严治党的要求，搞好党风廉政建设。做好党员教育、管理和发展工作。</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5.负责搞好镇、村级干部(后备干部)的教育、培养、选拔、考核和监督管理。</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6.领导本镇团委、妇联、民兵和各级党组织、各经济组织，依照党的路线、方针、政策和国家法律、法规及各自的章程开展工作。</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7.领导和监督、检查所属各职能部门和村委的工作。</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8.管理辖区内的经济、教育、科技、文化、卫生、体育事业和财政、民政、计划生育等行政工作。</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9.维护国有财产和劳动群众集体所有的财产，保护公民私人所有的合法财产，保障公民的合法权利；保障各种经济组织的合法权益。</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10.完成上级交给的其他工作任务。</w:t>
      </w:r>
    </w:p>
    <w:p>
      <w:pPr>
        <w:pStyle w:val="8"/>
        <w:spacing w:after="0" w:line="619" w:lineRule="exact"/>
        <w:ind w:firstLine="620"/>
        <w:jc w:val="left"/>
        <w:rPr>
          <w:rFonts w:hint="eastAsia"/>
          <w:b/>
          <w:bCs/>
          <w:lang w:val="en-US" w:eastAsia="zh-CN"/>
        </w:rPr>
      </w:pPr>
      <w:bookmarkStart w:id="6" w:name="bookmark24"/>
      <w:r>
        <w:rPr>
          <w:rFonts w:hint="eastAsia"/>
          <w:b/>
          <w:bCs/>
          <w:lang w:val="en-US" w:eastAsia="zh-CN"/>
        </w:rPr>
        <w:t>二</w:t>
      </w:r>
      <w:bookmarkEnd w:id="6"/>
      <w:r>
        <w:rPr>
          <w:rFonts w:hint="eastAsia"/>
          <w:b/>
          <w:bCs/>
          <w:lang w:val="en-US" w:eastAsia="zh-CN"/>
        </w:rPr>
        <w:t>、机构设置情况</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思恩镇党政机构设党政办公室、社会事务办公室、民政办公室、经济发展办公室、卫生和计划生育办公室、社会治安综合治理办公室等5个机构。镇政府实行助理员制，助理员职位的设置，根据实际需要和编制数量来确定。</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镇设人大机构，不设政协机构，群团组织按有关章程规定设置。</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1.党政办公室主要职责：贯彻执行党在农村的各项方针、政策和法规，负责协调、督查各位助理员、各职能部门和各村(居)委会对各项方针、政策、法规的贯彻落实情况和乡党委、政府所布置的工作实施情况，并将情况报告乡党委、政府及上级部门；负责管理政务服务中心；负责公共突发事件处置和应急管理工作；负责收集分析本乡各方面的重要信息、情况和问题，为乡党委、政府及上级部门决策服务，并负责乡综合性文件、报告、总结等材料的起草、审核、打印；负责重要会议和重大活动的组织、协调、安排；负责做好上呈下达，保证政令畅通；负责史书、档案、保管、保密、信访工作；负责党政机关考勤、财务、车辆管理、后勤、保卫、卫生工作；兼管人员编制等各项具体工作；完成乡党委、政府布置的各项中心工作。</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2.社会事务办公室（加挂民政办公室牌子）职责：在乡分管领导的直接领导下开展工作；主要负责教育、科技、文化、卫生、体育、广播电影电视事业、扫黄打非的组织管理；负责民政、社会保障和就业行政管理工作；负责救灾救济、殡葬、流浪、乞讨、收容、遣送和拥军、优抚工作；负责基层政权建设和基层组织建设；协调有关部门抓移民工作；承办上级交办的其他事项，完成乡党委、政府布置的各项中心工作。</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3.党建工作办公室。负责基层党的建设、党风廉政建设、宣传（意识形态）、精神文明建设、统一战线（民族宗教）、人民武装、群团(工会、共青团、妇联)等工作；指导基层党组织党建工作；负责机构编制、组织人事、工资福利、人才、考核考评等工作；完成上级交办的其他工作任务。</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4.卫生和计划生育办公室主要职责：做好计划生育基层基础管理、计划生育家庭发展、流动人口计划生育服务管理等工作；在乡党委、政府的领导下，执行、落实上级政府及主管部门下达的人口和计划生育目标管理责任制；督促辖区内卫生计生机构落实基本公共卫生服务项目，积极开展公共卫生服务工作，推进基本公共卫生服务均等化，做好卫生计生综合监督执法协管工作；督促辖区内卫生计生机构落实妇幼重大公共卫生服务项目，配合承担国家免费孕前优生健康检查、增补叶酸、产前筛查、新生儿疾病筛查等出生缺陷综合防治项目任务；负责对村级卫生计生工作人员提供业务培训指导，加强对村(社区）计划生育工作指导、检查和督促，深入推进乡村卫生和计生服务一体化和管理；负责对乡卫生院、村卫生室工作人员的医疗行为进行督导，协助县卫生计生部门做好乡、村医疗机构工作人员的绩效考核；完成上级党委、政府和县卫生计生部门交办的其他事项。</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5.社会治安综合治理办公室职责：在乡分管领导的直接领导下开展工作；负责协调公安派出所、司法所等部门抓好社会治安治理经常性工作；具体抓农村（社区）社会治安综合治理矛盾纠纷排查化解、信访、维稳、扫黑除恶、应急处置、法治宣传教育、防范和处理邪教问题等方面的工作；开展基层平安创建活动，推进基层社会治理工作；依托综治中心，统筹协调公安、司法行政、民政、土地、林业、水利、社会保障、人民武装部等基层部门维护社会治安和社会稳定；宣传国家法律法规，执行上级决议和指示精神；完成上级交办的各项工作任务和乡党委、政府布置的各项中心工作。</w:t>
      </w:r>
    </w:p>
    <w:p>
      <w:pPr>
        <w:pStyle w:val="9"/>
        <w:spacing w:line="623" w:lineRule="exact"/>
        <w:ind w:firstLine="1018" w:firstLineChars="0"/>
        <w:jc w:val="left"/>
        <w:rPr>
          <w:rFonts w:hint="eastAsia"/>
          <w:highlight w:val="none"/>
          <w:lang w:val="en-US" w:eastAsia="zh-CN"/>
        </w:rPr>
      </w:pPr>
    </w:p>
    <w:p>
      <w:pPr>
        <w:rPr>
          <w:b/>
          <w:bCs/>
          <w:sz w:val="40"/>
          <w:szCs w:val="40"/>
        </w:rPr>
      </w:pPr>
      <w:bookmarkStart w:id="7" w:name="bookmark70"/>
      <w:bookmarkStart w:id="8" w:name="bookmark68"/>
      <w:bookmarkStart w:id="9" w:name="bookmark69"/>
      <w:bookmarkStart w:id="10" w:name="bookmark26"/>
      <w:bookmarkStart w:id="11" w:name="bookmark28"/>
      <w:bookmarkStart w:id="12" w:name="bookmark27"/>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环江毛南族自治县思恩镇人民政府</w:t>
      </w:r>
      <w:r>
        <w:rPr>
          <w:b/>
          <w:sz w:val="40"/>
          <w:u w:color="auto"/>
        </w:rPr>
        <w:t>2024年部门预算情况说明</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一</w:t>
      </w:r>
      <w:bookmarkEnd w:id="13"/>
      <w:r>
        <w:rPr>
          <w:rFonts w:hint="eastAsia"/>
          <w:b/>
          <w:bCs/>
          <w:lang w:val="en-US" w:eastAsia="zh-CN"/>
        </w:rPr>
        <w:t>、部门预算收支总体情况说明</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1252.34</w:t>
      </w:r>
      <w:r>
        <w:rPr>
          <w:rFonts w:hint="eastAsia"/>
          <w:b w:val="0"/>
          <w:bCs w:val="0"/>
          <w:sz w:val="28"/>
          <w:szCs w:val="28"/>
        </w:rPr>
        <w:t>万元，总支出</w:t>
      </w:r>
      <w:r>
        <w:rPr>
          <w:rFonts w:hint="eastAsia"/>
          <w:sz w:val="28"/>
          <w:szCs w:val="28"/>
          <w:lang w:val="en-US" w:eastAsia="zh-CN"/>
        </w:rPr>
        <w:t>1252.34</w:t>
      </w:r>
      <w:r>
        <w:rPr>
          <w:rFonts w:hint="eastAsia"/>
          <w:b w:val="0"/>
          <w:bCs w:val="0"/>
          <w:sz w:val="28"/>
          <w:szCs w:val="28"/>
        </w:rPr>
        <w:t>万元。总收入较2023年度预算数</w:t>
      </w:r>
      <w:r>
        <w:rPr>
          <w:rFonts w:hint="eastAsia"/>
          <w:sz w:val="28"/>
          <w:szCs w:val="28"/>
          <w:lang w:val="en-US" w:eastAsia="zh-CN"/>
        </w:rPr>
        <w:t>951.68</w:t>
      </w:r>
      <w:r>
        <w:rPr>
          <w:rFonts w:hint="eastAsia"/>
          <w:b w:val="0"/>
          <w:bCs w:val="0"/>
          <w:sz w:val="28"/>
          <w:szCs w:val="28"/>
        </w:rPr>
        <w:t>万元，</w:t>
      </w:r>
      <w:r>
        <w:rPr>
          <w:rFonts w:hint="eastAsia"/>
          <w:sz w:val="28"/>
          <w:szCs w:val="28"/>
        </w:rPr>
        <w:t>增加300.66</w:t>
      </w:r>
      <w:r>
        <w:rPr>
          <w:rFonts w:hint="eastAsia"/>
          <w:b w:val="0"/>
          <w:bCs w:val="0"/>
          <w:sz w:val="28"/>
          <w:szCs w:val="28"/>
        </w:rPr>
        <w:t>万元，</w:t>
      </w:r>
      <w:r>
        <w:rPr>
          <w:rFonts w:hint="eastAsia"/>
          <w:sz w:val="28"/>
          <w:szCs w:val="28"/>
        </w:rPr>
        <w:t>增长31.59%</w:t>
      </w:r>
      <w:r>
        <w:rPr>
          <w:rFonts w:hint="eastAsia"/>
          <w:b w:val="0"/>
          <w:bCs w:val="0"/>
          <w:sz w:val="28"/>
          <w:szCs w:val="28"/>
        </w:rPr>
        <w:t>，主要原因是</w:t>
      </w:r>
      <w:r>
        <w:rPr>
          <w:rFonts w:hint="eastAsia"/>
          <w:highlight w:val="none"/>
          <w:lang w:val="en-US" w:eastAsia="zh-CN"/>
        </w:rPr>
        <w:t>一般公共服务支出、文化旅游体育与传媒支出、农林水支出、交通运输支出等增加</w:t>
      </w:r>
      <w:r>
        <w:rPr>
          <w:rFonts w:hint="eastAsia"/>
          <w:b w:val="0"/>
          <w:bCs w:val="0"/>
          <w:sz w:val="28"/>
          <w:szCs w:val="28"/>
        </w:rPr>
        <w:t>。总支出较2023年度预算数</w:t>
      </w:r>
      <w:r>
        <w:rPr>
          <w:rFonts w:hint="eastAsia"/>
          <w:sz w:val="28"/>
          <w:szCs w:val="28"/>
          <w:lang w:val="en-US" w:eastAsia="zh-CN"/>
        </w:rPr>
        <w:t>951.68</w:t>
      </w:r>
      <w:r>
        <w:rPr>
          <w:rFonts w:hint="eastAsia"/>
          <w:b w:val="0"/>
          <w:bCs w:val="0"/>
          <w:sz w:val="28"/>
          <w:szCs w:val="28"/>
        </w:rPr>
        <w:t>万元，</w:t>
      </w:r>
      <w:r>
        <w:rPr>
          <w:rFonts w:hint="eastAsia"/>
          <w:sz w:val="28"/>
          <w:szCs w:val="28"/>
        </w:rPr>
        <w:t>增加300.66</w:t>
      </w:r>
      <w:r>
        <w:rPr>
          <w:rFonts w:hint="eastAsia"/>
          <w:b w:val="0"/>
          <w:bCs w:val="0"/>
          <w:sz w:val="28"/>
          <w:szCs w:val="28"/>
        </w:rPr>
        <w:t>万元，</w:t>
      </w:r>
      <w:r>
        <w:rPr>
          <w:rFonts w:hint="eastAsia"/>
          <w:sz w:val="28"/>
          <w:szCs w:val="28"/>
        </w:rPr>
        <w:t>增长31.59%</w:t>
      </w:r>
      <w:r>
        <w:rPr>
          <w:rFonts w:hint="eastAsia"/>
          <w:b w:val="0"/>
          <w:bCs w:val="0"/>
          <w:sz w:val="28"/>
          <w:szCs w:val="28"/>
        </w:rPr>
        <w:t>，主要原因是</w:t>
      </w:r>
      <w:r>
        <w:rPr>
          <w:rFonts w:hint="eastAsia"/>
          <w:highlight w:val="none"/>
          <w:lang w:val="en-US" w:eastAsia="zh-CN"/>
        </w:rPr>
        <w:t>一般公共服务支出、文化旅游体育与传媒支出、农林水支出、交通运输支出等增加</w:t>
      </w:r>
      <w:r>
        <w:rPr>
          <w:rFonts w:hint="eastAsia"/>
          <w:b w:val="0"/>
          <w:bCs w:val="0"/>
          <w:sz w:val="28"/>
          <w:szCs w:val="28"/>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二、部门收入总体情况说明</w:t>
      </w:r>
    </w:p>
    <w:p>
      <w:pPr>
        <w:pStyle w:val="9"/>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2873375"/>
            <wp:effectExtent l="4445" t="4445" r="5715" b="17780"/>
            <wp:docPr id="2030"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1252.34</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951.68</w:t>
      </w:r>
      <w:r>
        <w:rPr>
          <w:rFonts w:hint="eastAsia" w:ascii="宋体" w:hAnsi="宋体" w:eastAsia="宋体" w:cs="宋体"/>
          <w:sz w:val="28"/>
          <w:szCs w:val="28"/>
          <w:u w:color="auto"/>
        </w:rPr>
        <w:t>万元，</w:t>
      </w:r>
      <w:r>
        <w:rPr>
          <w:rFonts w:hint="eastAsia" w:ascii="宋体" w:hAnsi="宋体" w:eastAsia="宋体" w:cs="宋体"/>
          <w:sz w:val="28"/>
          <w:szCs w:val="28"/>
        </w:rPr>
        <w:t>增加300.66</w:t>
      </w:r>
      <w:r>
        <w:rPr>
          <w:rFonts w:hint="eastAsia" w:ascii="宋体" w:hAnsi="宋体" w:eastAsia="宋体" w:cs="宋体"/>
          <w:sz w:val="28"/>
          <w:szCs w:val="28"/>
          <w:u w:color="auto"/>
        </w:rPr>
        <w:t>万元，</w:t>
      </w:r>
      <w:r>
        <w:rPr>
          <w:rFonts w:hint="eastAsia" w:ascii="宋体" w:hAnsi="宋体" w:eastAsia="宋体" w:cs="宋体"/>
          <w:sz w:val="28"/>
          <w:szCs w:val="28"/>
        </w:rPr>
        <w:t>增长31.59%</w:t>
      </w:r>
      <w:r>
        <w:rPr>
          <w:rFonts w:hint="eastAsia" w:ascii="宋体" w:hAnsi="宋体" w:eastAsia="宋体" w:cs="宋体"/>
          <w:sz w:val="28"/>
          <w:szCs w:val="28"/>
          <w:u w:color="auto"/>
        </w:rPr>
        <w:t>，主要原因是</w:t>
      </w:r>
      <w:r>
        <w:rPr>
          <w:rFonts w:hint="eastAsia"/>
          <w:highlight w:val="none"/>
          <w:lang w:val="en-US" w:eastAsia="zh-CN"/>
        </w:rPr>
        <w:t>机关事业单位运转、机关部门的项目增加</w:t>
      </w:r>
      <w:r>
        <w:rPr>
          <w:rFonts w:hint="eastAsia" w:ascii="宋体" w:hAnsi="宋体" w:eastAsia="宋体" w:cs="宋体"/>
          <w:sz w:val="28"/>
          <w:szCs w:val="28"/>
          <w:u w:color="auto"/>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三、部门支出总体情况说明</w:t>
      </w:r>
    </w:p>
    <w:p>
      <w:pPr>
        <w:pStyle w:val="9"/>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285490"/>
            <wp:effectExtent l="5080" t="4445" r="20320" b="5715"/>
            <wp:docPr id="2031"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1252.34</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951.68</w:t>
      </w:r>
      <w:r>
        <w:rPr>
          <w:rFonts w:hint="eastAsia" w:ascii="宋体" w:hAnsi="宋体" w:eastAsia="宋体" w:cs="宋体"/>
          <w:sz w:val="28"/>
          <w:szCs w:val="28"/>
          <w:lang w:eastAsia="zh-CN"/>
        </w:rPr>
        <w:t>万元，</w:t>
      </w:r>
      <w:r>
        <w:rPr>
          <w:rFonts w:hint="eastAsia" w:ascii="宋体" w:hAnsi="宋体" w:eastAsia="宋体" w:cs="宋体"/>
          <w:sz w:val="28"/>
          <w:szCs w:val="28"/>
        </w:rPr>
        <w:t>增加300.66</w:t>
      </w:r>
      <w:r>
        <w:rPr>
          <w:rFonts w:hint="eastAsia" w:ascii="宋体" w:hAnsi="宋体" w:eastAsia="宋体" w:cs="宋体"/>
          <w:sz w:val="28"/>
          <w:szCs w:val="28"/>
          <w:lang w:eastAsia="zh-CN"/>
        </w:rPr>
        <w:t>万元，</w:t>
      </w:r>
      <w:r>
        <w:rPr>
          <w:rFonts w:hint="eastAsia" w:ascii="宋体" w:hAnsi="宋体" w:eastAsia="宋体" w:cs="宋体"/>
          <w:sz w:val="28"/>
          <w:szCs w:val="28"/>
        </w:rPr>
        <w:t>增长31.59%</w:t>
      </w:r>
      <w:r>
        <w:rPr>
          <w:rFonts w:hint="eastAsia" w:ascii="宋体" w:hAnsi="宋体" w:eastAsia="宋体" w:cs="宋体"/>
          <w:sz w:val="28"/>
          <w:szCs w:val="28"/>
          <w:lang w:eastAsia="zh-CN"/>
        </w:rPr>
        <w:t>，主要原因是</w:t>
      </w:r>
      <w:r>
        <w:rPr>
          <w:rFonts w:hint="eastAsia" w:ascii="宋体" w:hAnsi="宋体" w:eastAsia="宋体" w:cs="宋体"/>
          <w:sz w:val="28"/>
          <w:szCs w:val="28"/>
          <w:highlight w:val="none"/>
          <w:lang w:val="en-US" w:eastAsia="zh-CN"/>
        </w:rPr>
        <w:t>一般公共服务支出增加</w:t>
      </w:r>
      <w:r>
        <w:rPr>
          <w:rFonts w:hint="eastAsia" w:ascii="宋体" w:hAnsi="宋体" w:eastAsia="宋体" w:cs="宋体"/>
          <w:sz w:val="28"/>
          <w:szCs w:val="28"/>
          <w:lang w:eastAsia="zh-CN"/>
        </w:rPr>
        <w:t>。主要包括：</w:t>
      </w:r>
      <w:r>
        <w:rPr>
          <w:rFonts w:hint="eastAsia" w:ascii="宋体" w:hAnsi="宋体" w:eastAsia="宋体" w:cs="宋体"/>
          <w:sz w:val="28"/>
          <w:szCs w:val="28"/>
          <w:highlight w:val="none"/>
          <w:lang w:val="en-US" w:eastAsia="zh-CN"/>
        </w:rPr>
        <w:t>一般公共服务支出增加一般一般公共服务支出818.66万、文化旅游体育与传媒支出1.00万元农林水支出80.08万元、交通运输支出205.48万元、住房保障支出53.31万元、上年结转结余319.06万元</w:t>
      </w:r>
      <w:r>
        <w:rPr>
          <w:rFonts w:hint="eastAsia" w:ascii="宋体" w:hAnsi="宋体" w:eastAsia="宋体" w:cs="宋体"/>
          <w:sz w:val="28"/>
          <w:szCs w:val="28"/>
          <w:lang w:eastAsia="zh-CN"/>
        </w:rPr>
        <w:t>。</w:t>
      </w:r>
    </w:p>
    <w:p>
      <w:pPr>
        <w:pStyle w:val="9"/>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hint="eastAsia" w:ascii="宋体" w:hAnsi="宋体" w:eastAsia="宋体" w:cs="宋体"/>
          <w:sz w:val="28"/>
          <w:szCs w:val="28"/>
        </w:rPr>
      </w:pPr>
      <w:r>
        <w:rPr>
          <w:rFonts w:hint="eastAsia" w:ascii="宋体" w:hAnsi="宋体" w:eastAsia="宋体" w:cs="宋体"/>
          <w:sz w:val="28"/>
          <w:szCs w:val="28"/>
        </w:rPr>
        <w:t>（一）按支出功能分类科目划分，共分为</w:t>
      </w:r>
      <w:r>
        <w:rPr>
          <w:rFonts w:hint="eastAsia" w:ascii="宋体" w:hAnsi="宋体" w:eastAsia="宋体" w:cs="宋体"/>
          <w:sz w:val="28"/>
          <w:szCs w:val="28"/>
          <w:lang w:val="en-US" w:eastAsia="zh-CN"/>
        </w:rPr>
        <w:t>7</w:t>
      </w:r>
      <w:r>
        <w:rPr>
          <w:rFonts w:hint="eastAsia" w:ascii="宋体" w:hAnsi="宋体" w:eastAsia="宋体" w:cs="宋体"/>
          <w:sz w:val="28"/>
          <w:szCs w:val="28"/>
        </w:rPr>
        <w:t>类，其中:</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1)一般公共服务支出</w:t>
      </w:r>
      <w:r>
        <w:rPr>
          <w:rFonts w:hint="eastAsia" w:ascii="宋体" w:hAnsi="宋体" w:eastAsia="宋体" w:cs="宋体"/>
          <w:sz w:val="28"/>
          <w:szCs w:val="28"/>
          <w:lang w:val="en-US" w:eastAsia="zh-CN"/>
        </w:rPr>
        <w:t>818.66</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65.37%</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增长93.44</w:t>
      </w:r>
      <w:r>
        <w:rPr>
          <w:rFonts w:hint="eastAsia" w:ascii="宋体" w:hAnsi="宋体" w:eastAsia="宋体" w:cs="宋体"/>
          <w:sz w:val="28"/>
          <w:szCs w:val="28"/>
        </w:rPr>
        <w:t>万元，</w:t>
      </w:r>
      <w:r>
        <w:rPr>
          <w:rFonts w:hint="eastAsia" w:ascii="宋体" w:hAnsi="宋体" w:eastAsia="宋体" w:cs="宋体"/>
          <w:sz w:val="28"/>
          <w:szCs w:val="28"/>
          <w:lang w:val="en-US" w:eastAsia="zh-CN"/>
        </w:rPr>
        <w:t>增长12.88%</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一般公共服务支出818.66万元，其中：行政运行支出803.37万元，其他群众团体事务支出5.29万元，其他政府办公厅（室）及相关机构事务支出10.00万元。较好的完成保障机关事业单位正常运转，支持各机关单位履行职能，保障各机关部门的项目支出需要支出增加。如保证日常运转发生的基本和职工的工会经费支出。</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2)文化旅游体育与传媒支出</w:t>
      </w:r>
      <w:r>
        <w:rPr>
          <w:rFonts w:hint="eastAsia" w:ascii="宋体" w:hAnsi="宋体" w:eastAsia="宋体" w:cs="宋体"/>
          <w:sz w:val="28"/>
          <w:szCs w:val="28"/>
          <w:lang w:val="en-US" w:eastAsia="zh-CN"/>
        </w:rPr>
        <w:t>1.00</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0.08%</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增长1.00</w:t>
      </w:r>
      <w:r>
        <w:rPr>
          <w:rFonts w:hint="eastAsia" w:ascii="宋体" w:hAnsi="宋体" w:eastAsia="宋体" w:cs="宋体"/>
          <w:sz w:val="28"/>
          <w:szCs w:val="28"/>
        </w:rPr>
        <w:t>万元，</w:t>
      </w:r>
      <w:r>
        <w:rPr>
          <w:rFonts w:hint="eastAsia" w:ascii="宋体" w:hAnsi="宋体" w:eastAsia="宋体" w:cs="宋体"/>
          <w:sz w:val="28"/>
          <w:szCs w:val="28"/>
          <w:lang w:val="en-US" w:eastAsia="zh-CN"/>
        </w:rPr>
        <w:t>增长100%</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文化、文物、体育、广播影视、新闻出版等方面的支出增多</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3)社会保障和就业支出</w:t>
      </w:r>
      <w:r>
        <w:rPr>
          <w:rFonts w:hint="eastAsia" w:ascii="宋体" w:hAnsi="宋体" w:eastAsia="宋体" w:cs="宋体"/>
          <w:sz w:val="28"/>
          <w:szCs w:val="28"/>
          <w:lang w:val="en-US" w:eastAsia="zh-CN"/>
        </w:rPr>
        <w:t>65.54</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5.23%</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减少10.13</w:t>
      </w:r>
      <w:r>
        <w:rPr>
          <w:rFonts w:hint="eastAsia" w:ascii="宋体" w:hAnsi="宋体" w:eastAsia="宋体" w:cs="宋体"/>
          <w:sz w:val="28"/>
          <w:szCs w:val="28"/>
        </w:rPr>
        <w:t>万元，</w:t>
      </w:r>
      <w:r>
        <w:rPr>
          <w:rFonts w:hint="eastAsia" w:ascii="宋体" w:hAnsi="宋体" w:eastAsia="宋体" w:cs="宋体"/>
          <w:sz w:val="28"/>
          <w:szCs w:val="28"/>
          <w:lang w:val="en-US" w:eastAsia="zh-CN"/>
        </w:rPr>
        <w:t>减少13.39%</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在职在编正常调动人员减少，新进人员减少导致工资支出有所减少</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4)农林水支出</w:t>
      </w:r>
      <w:r>
        <w:rPr>
          <w:rFonts w:hint="eastAsia" w:ascii="宋体" w:hAnsi="宋体" w:eastAsia="宋体" w:cs="宋体"/>
          <w:sz w:val="28"/>
          <w:szCs w:val="28"/>
          <w:lang w:val="en-US" w:eastAsia="zh-CN"/>
        </w:rPr>
        <w:t>80.08</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6.39%</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增长68.95</w:t>
      </w:r>
      <w:r>
        <w:rPr>
          <w:rFonts w:hint="eastAsia" w:ascii="宋体" w:hAnsi="宋体" w:eastAsia="宋体" w:cs="宋体"/>
          <w:sz w:val="28"/>
          <w:szCs w:val="28"/>
        </w:rPr>
        <w:t>万元，</w:t>
      </w:r>
      <w:r>
        <w:rPr>
          <w:rFonts w:hint="eastAsia" w:ascii="宋体" w:hAnsi="宋体" w:eastAsia="宋体" w:cs="宋体"/>
          <w:sz w:val="28"/>
          <w:szCs w:val="28"/>
          <w:lang w:val="en-US" w:eastAsia="zh-CN"/>
        </w:rPr>
        <w:t>增长619.50%</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农业、水利部门事业运行人员薪酬、水利行业项目、农村基础设施建设、贫困户产业扶持及其他农林水支出增多</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5)住房保障支出</w:t>
      </w:r>
      <w:r>
        <w:rPr>
          <w:rFonts w:hint="eastAsia" w:ascii="宋体" w:hAnsi="宋体" w:eastAsia="宋体" w:cs="宋体"/>
          <w:sz w:val="28"/>
          <w:szCs w:val="28"/>
          <w:lang w:val="en-US" w:eastAsia="zh-CN"/>
        </w:rPr>
        <w:t>53.31</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4.26%</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减少4.64</w:t>
      </w:r>
      <w:r>
        <w:rPr>
          <w:rFonts w:hint="eastAsia" w:ascii="宋体" w:hAnsi="宋体" w:eastAsia="宋体" w:cs="宋体"/>
          <w:sz w:val="28"/>
          <w:szCs w:val="28"/>
        </w:rPr>
        <w:t>万元，</w:t>
      </w:r>
      <w:r>
        <w:rPr>
          <w:rFonts w:hint="eastAsia" w:ascii="宋体" w:hAnsi="宋体" w:eastAsia="宋体" w:cs="宋体"/>
          <w:sz w:val="28"/>
          <w:szCs w:val="28"/>
          <w:lang w:val="en-US" w:eastAsia="zh-CN"/>
        </w:rPr>
        <w:t>减少8.01%</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住房保障支出项目中的保障性安居工程支出（即农村危房改造支出）减少</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6)交通运输支出</w:t>
      </w:r>
      <w:r>
        <w:rPr>
          <w:rFonts w:hint="eastAsia" w:ascii="宋体" w:hAnsi="宋体" w:eastAsia="宋体" w:cs="宋体"/>
          <w:sz w:val="28"/>
          <w:szCs w:val="28"/>
          <w:lang w:val="en-US" w:eastAsia="zh-CN"/>
        </w:rPr>
        <w:t>205.48</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16.41%</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增长205.48</w:t>
      </w:r>
      <w:r>
        <w:rPr>
          <w:rFonts w:hint="eastAsia" w:ascii="宋体" w:hAnsi="宋体" w:eastAsia="宋体" w:cs="宋体"/>
          <w:sz w:val="28"/>
          <w:szCs w:val="28"/>
        </w:rPr>
        <w:t>万元，</w:t>
      </w:r>
      <w:r>
        <w:rPr>
          <w:rFonts w:hint="eastAsia" w:ascii="宋体" w:hAnsi="宋体" w:eastAsia="宋体" w:cs="宋体"/>
          <w:sz w:val="28"/>
          <w:szCs w:val="28"/>
          <w:lang w:val="en-US" w:eastAsia="zh-CN"/>
        </w:rPr>
        <w:t>增长100%</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本年底公路养护、三项工程基础设施建设等方面支出增加</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7)节能环保支出</w:t>
      </w:r>
      <w:r>
        <w:rPr>
          <w:rFonts w:hint="eastAsia" w:ascii="宋体" w:hAnsi="宋体" w:eastAsia="宋体" w:cs="宋体"/>
          <w:sz w:val="28"/>
          <w:szCs w:val="28"/>
          <w:lang w:val="en-US" w:eastAsia="zh-CN"/>
        </w:rPr>
        <w:t>28.27</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2.26%</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减少53.44</w:t>
      </w:r>
      <w:r>
        <w:rPr>
          <w:rFonts w:hint="eastAsia" w:ascii="宋体" w:hAnsi="宋体" w:eastAsia="宋体" w:cs="宋体"/>
          <w:sz w:val="28"/>
          <w:szCs w:val="28"/>
        </w:rPr>
        <w:t>万元，</w:t>
      </w:r>
      <w:r>
        <w:rPr>
          <w:rFonts w:hint="eastAsia" w:ascii="宋体" w:hAnsi="宋体" w:eastAsia="宋体" w:cs="宋体"/>
          <w:sz w:val="28"/>
          <w:szCs w:val="28"/>
          <w:lang w:val="en-US" w:eastAsia="zh-CN"/>
        </w:rPr>
        <w:t>减少65.40%</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节能环保、退耕还林、农业农村生态环境等方面开支减少</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hint="eastAsia" w:ascii="宋体" w:hAnsi="宋体" w:eastAsia="宋体" w:cs="宋体"/>
          <w:sz w:val="28"/>
          <w:szCs w:val="28"/>
        </w:rPr>
      </w:pPr>
      <w:r>
        <w:rPr>
          <w:rFonts w:hint="eastAsia" w:ascii="宋体" w:hAnsi="宋体" w:eastAsia="宋体" w:cs="宋体"/>
          <w:sz w:val="28"/>
          <w:szCs w:val="28"/>
        </w:rPr>
        <w:t>(二)按支出结构分类划分，分为基本支出预算和项目支出预算。</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基本支出预算。</w:t>
      </w:r>
    </w:p>
    <w:p>
      <w:pPr>
        <w:pStyle w:val="9"/>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基本支出预算</w:t>
      </w:r>
      <w:r>
        <w:rPr>
          <w:rFonts w:hint="eastAsia" w:ascii="宋体" w:hAnsi="宋体" w:eastAsia="宋体" w:cs="宋体"/>
          <w:sz w:val="28"/>
          <w:szCs w:val="28"/>
          <w:lang w:val="en-US" w:eastAsia="zh-CN"/>
        </w:rPr>
        <w:t>833.28</w:t>
      </w:r>
      <w:r>
        <w:rPr>
          <w:rFonts w:hint="eastAsia" w:ascii="宋体" w:hAnsi="宋体" w:eastAsia="宋体" w:cs="宋体"/>
          <w:sz w:val="28"/>
          <w:szCs w:val="28"/>
        </w:rPr>
        <w:t>万元，占支出预算</w:t>
      </w:r>
      <w:r>
        <w:rPr>
          <w:rFonts w:ascii="宋体" w:hAnsi="宋体" w:eastAsia="宋体" w:cs="宋体"/>
          <w:sz w:val="28"/>
          <w:u w:color="auto"/>
        </w:rPr>
        <w:t>66.54%,比上年增长86.99万元，增长11.66%</w:t>
      </w:r>
      <w:r>
        <w:rPr>
          <w:rFonts w:hint="eastAsia" w:ascii="宋体" w:hAnsi="宋体" w:eastAsia="宋体" w:cs="宋体"/>
          <w:sz w:val="28"/>
          <w:szCs w:val="28"/>
        </w:rPr>
        <w:t>。</w:t>
      </w:r>
      <w:r>
        <w:rPr>
          <w:rFonts w:hint="eastAsia" w:ascii="宋体" w:hAnsi="宋体" w:eastAsia="宋体" w:cs="宋体"/>
          <w:sz w:val="28"/>
          <w:szCs w:val="28"/>
          <w:lang w:val="en-US" w:eastAsia="zh-CN"/>
        </w:rPr>
        <w:t>其中：</w:t>
      </w:r>
    </w:p>
    <w:p>
      <w:pPr>
        <w:pStyle w:val="1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1)对个人和家庭的补助</w:t>
      </w:r>
      <w:r>
        <w:rPr>
          <w:rFonts w:hint="eastAsia" w:ascii="宋体" w:hAnsi="宋体" w:eastAsia="宋体" w:cs="宋体"/>
          <w:sz w:val="28"/>
          <w:szCs w:val="28"/>
          <w:lang w:val="en-US" w:eastAsia="zh-CN"/>
        </w:rPr>
        <w:t>60.00</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7.20%</w:t>
      </w:r>
      <w:r>
        <w:rPr>
          <w:rFonts w:hint="eastAsia" w:ascii="宋体" w:hAnsi="宋体" w:eastAsia="宋体" w:cs="宋体"/>
          <w:sz w:val="28"/>
          <w:szCs w:val="28"/>
        </w:rPr>
        <w:t>,比上年</w:t>
      </w:r>
      <w:r>
        <w:rPr>
          <w:rFonts w:ascii="宋体" w:hAnsi="宋体" w:eastAsia="宋体" w:cs="宋体"/>
          <w:sz w:val="28"/>
          <w:u w:color="auto"/>
        </w:rPr>
        <w:t>增长20.06万元，增长50.23%,主要原因是：主要用于抚恤金、离退休人员、遗属人员生活补助等支出减少及个人农业生产补贴人员等增多，导致其他对个人和家庭的补助支出增加</w:t>
      </w:r>
      <w:r>
        <w:rPr>
          <w:rFonts w:hint="eastAsia" w:ascii="宋体" w:hAnsi="宋体" w:eastAsia="宋体" w:cs="宋体"/>
          <w:sz w:val="28"/>
          <w:szCs w:val="28"/>
          <w:lang w:val="en-US" w:eastAsia="zh-CN"/>
        </w:rPr>
        <w:t>。</w:t>
      </w:r>
    </w:p>
    <w:p>
      <w:pPr>
        <w:pStyle w:val="1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2)工资福利支出</w:t>
      </w:r>
      <w:r>
        <w:rPr>
          <w:rFonts w:hint="eastAsia" w:ascii="宋体" w:hAnsi="宋体" w:eastAsia="宋体" w:cs="宋体"/>
          <w:sz w:val="28"/>
          <w:szCs w:val="28"/>
          <w:lang w:val="en-US" w:eastAsia="zh-CN"/>
        </w:rPr>
        <w:t>710.22</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85.23%</w:t>
      </w:r>
      <w:r>
        <w:rPr>
          <w:rFonts w:hint="eastAsia" w:ascii="宋体" w:hAnsi="宋体" w:eastAsia="宋体" w:cs="宋体"/>
          <w:sz w:val="28"/>
          <w:szCs w:val="28"/>
        </w:rPr>
        <w:t>,比上年</w:t>
      </w:r>
      <w:r>
        <w:rPr>
          <w:rFonts w:ascii="宋体" w:hAnsi="宋体" w:eastAsia="宋体" w:cs="宋体"/>
          <w:sz w:val="28"/>
          <w:u w:color="auto"/>
        </w:rPr>
        <w:t>增长75.39万元，增长11.88%,主要原因是：2024年有新进人员，部分干部职工职务级别的上调，增加基础性绩效工资增量，工资有所增加，职工待遇补助提高，星级村村干及一肩挑村干工资的变动增加，职工基数调整，人员工资福利和经费支出增加</w:t>
      </w:r>
      <w:r>
        <w:rPr>
          <w:rFonts w:hint="eastAsia" w:ascii="宋体" w:hAnsi="宋体" w:eastAsia="宋体" w:cs="宋体"/>
          <w:sz w:val="28"/>
          <w:szCs w:val="28"/>
          <w:lang w:val="en-US" w:eastAsia="zh-CN"/>
        </w:rPr>
        <w:t>。</w:t>
      </w:r>
    </w:p>
    <w:p>
      <w:pPr>
        <w:pStyle w:val="1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3)商品和服务支出</w:t>
      </w:r>
      <w:r>
        <w:rPr>
          <w:rFonts w:hint="eastAsia" w:ascii="宋体" w:hAnsi="宋体" w:eastAsia="宋体" w:cs="宋体"/>
          <w:sz w:val="28"/>
          <w:szCs w:val="28"/>
          <w:lang w:val="en-US" w:eastAsia="zh-CN"/>
        </w:rPr>
        <w:t>63.06</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7.57%</w:t>
      </w:r>
      <w:r>
        <w:rPr>
          <w:rFonts w:hint="eastAsia" w:ascii="宋体" w:hAnsi="宋体" w:eastAsia="宋体" w:cs="宋体"/>
          <w:sz w:val="28"/>
          <w:szCs w:val="28"/>
        </w:rPr>
        <w:t>,比上年</w:t>
      </w:r>
      <w:r>
        <w:rPr>
          <w:rFonts w:ascii="宋体" w:hAnsi="宋体" w:eastAsia="宋体" w:cs="宋体"/>
          <w:sz w:val="28"/>
          <w:u w:color="auto"/>
        </w:rPr>
        <w:t>减少8.46万元，减少11.83%,主要原因是：践行中央过紧日子的文件精神，较2023年办公经费减少，缩减经费开支</w:t>
      </w:r>
      <w:r>
        <w:rPr>
          <w:rFonts w:hint="eastAsia" w:ascii="宋体" w:hAnsi="宋体" w:eastAsia="宋体" w:cs="宋体"/>
          <w:sz w:val="28"/>
          <w:szCs w:val="28"/>
          <w:lang w:val="en-US" w:eastAsia="zh-CN"/>
        </w:rPr>
        <w:t>。</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b w:val="0"/>
          <w:bCs w:val="0"/>
          <w:color w:val="000000"/>
          <w:sz w:val="28"/>
          <w:szCs w:val="28"/>
          <w:lang w:val="zh-TW" w:eastAsia="zh-TW" w:bidi="zh-TW"/>
        </w:rPr>
      </w:pPr>
      <w:r>
        <w:rPr>
          <w:rFonts w:hint="eastAsia" w:ascii="宋体" w:hAnsi="宋体" w:eastAsia="宋体" w:cs="宋体"/>
          <w:b w:val="0"/>
          <w:bCs w:val="0"/>
          <w:color w:val="000000"/>
          <w:sz w:val="28"/>
          <w:szCs w:val="28"/>
          <w:lang w:val="zh-TW" w:eastAsia="zh-TW" w:bidi="zh-TW"/>
        </w:rPr>
        <w:t>项目支出预算。</w:t>
      </w:r>
    </w:p>
    <w:p>
      <w:pPr>
        <w:pStyle w:val="9"/>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项目支出预算</w:t>
      </w:r>
      <w:r>
        <w:rPr>
          <w:rFonts w:hint="eastAsia" w:ascii="宋体" w:hAnsi="宋体" w:eastAsia="宋体" w:cs="宋体"/>
          <w:sz w:val="28"/>
          <w:szCs w:val="28"/>
          <w:lang w:val="en-US" w:eastAsia="zh-CN"/>
        </w:rPr>
        <w:t>419.06</w:t>
      </w:r>
      <w:r>
        <w:rPr>
          <w:rFonts w:hint="eastAsia" w:ascii="宋体" w:hAnsi="宋体" w:eastAsia="宋体" w:cs="宋体"/>
          <w:sz w:val="28"/>
          <w:szCs w:val="28"/>
        </w:rPr>
        <w:t>万元，占支出预算</w:t>
      </w:r>
      <w:r>
        <w:rPr>
          <w:rFonts w:ascii="宋体" w:hAnsi="宋体" w:eastAsia="宋体" w:cs="宋体"/>
          <w:sz w:val="28"/>
          <w:u w:color="auto"/>
        </w:rPr>
        <w:t>33.46%</w:t>
      </w:r>
      <w:r>
        <w:rPr>
          <w:rFonts w:hint="eastAsia" w:ascii="宋体" w:hAnsi="宋体" w:eastAsia="宋体" w:cs="宋体"/>
          <w:sz w:val="28"/>
          <w:szCs w:val="28"/>
        </w:rPr>
        <w:t>,比上年</w:t>
      </w:r>
      <w:r>
        <w:rPr>
          <w:rFonts w:ascii="宋体" w:hAnsi="宋体" w:eastAsia="宋体" w:cs="宋体"/>
          <w:sz w:val="28"/>
          <w:u w:color="auto"/>
        </w:rPr>
        <w:t>增长213.67</w:t>
      </w:r>
      <w:r>
        <w:rPr>
          <w:rFonts w:hint="eastAsia" w:ascii="宋体" w:hAnsi="宋体" w:eastAsia="宋体" w:cs="宋体"/>
          <w:sz w:val="28"/>
          <w:szCs w:val="28"/>
        </w:rPr>
        <w:t>万元，</w:t>
      </w:r>
      <w:r>
        <w:rPr>
          <w:rFonts w:ascii="宋体" w:hAnsi="宋体" w:eastAsia="宋体" w:cs="宋体"/>
          <w:sz w:val="28"/>
          <w:u w:color="auto"/>
        </w:rPr>
        <w:t>增长104.03%</w:t>
      </w:r>
      <w:r>
        <w:rPr>
          <w:rFonts w:hint="eastAsia" w:ascii="宋体" w:hAnsi="宋体" w:eastAsia="宋体" w:cs="宋体"/>
          <w:sz w:val="28"/>
          <w:szCs w:val="28"/>
        </w:rPr>
        <w:t>。</w:t>
      </w:r>
      <w:r>
        <w:rPr>
          <w:rFonts w:hint="eastAsia" w:ascii="宋体" w:hAnsi="宋体" w:eastAsia="宋体" w:cs="宋体"/>
          <w:sz w:val="28"/>
          <w:szCs w:val="28"/>
          <w:lang w:val="en-US" w:eastAsia="zh-CN"/>
        </w:rPr>
        <w:t>其中：</w:t>
      </w:r>
    </w:p>
    <w:p>
      <w:pPr>
        <w:pStyle w:val="1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144.74</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34.54%</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减少46.60万元，减少24.35%,主要原因是</w:t>
      </w:r>
      <w:r>
        <w:rPr>
          <w:rFonts w:hint="eastAsia" w:ascii="宋体" w:hAnsi="宋体" w:eastAsia="宋体" w:cs="宋体"/>
          <w:color w:val="000000"/>
          <w:sz w:val="28"/>
          <w:szCs w:val="28"/>
          <w:lang w:val="zh-TW" w:eastAsia="zh-TW" w:bidi="zh-TW"/>
        </w:rPr>
        <w:t>：践行中央过紧日子的文件精神，较2023年办公经费支出减少，缩减经费开支</w:t>
      </w:r>
      <w:r>
        <w:rPr>
          <w:rFonts w:hint="eastAsia" w:ascii="宋体" w:hAnsi="宋体" w:eastAsia="宋体" w:cs="宋体"/>
          <w:color w:val="000000"/>
          <w:sz w:val="28"/>
          <w:szCs w:val="28"/>
          <w:lang w:val="en-US" w:eastAsia="zh-CN" w:bidi="zh-TW"/>
        </w:rPr>
        <w:t>。</w:t>
      </w:r>
    </w:p>
    <w:p>
      <w:pPr>
        <w:pStyle w:val="1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2)其他支出</w:t>
      </w:r>
      <w:r>
        <w:rPr>
          <w:rFonts w:hint="eastAsia" w:ascii="宋体" w:hAnsi="宋体" w:eastAsia="宋体" w:cs="宋体"/>
          <w:sz w:val="28"/>
          <w:szCs w:val="28"/>
          <w:lang w:val="en-US" w:eastAsia="zh-CN"/>
        </w:rPr>
        <w:t>1.00</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0.24%</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增长1.00万元，增长100%,主要原因是</w:t>
      </w:r>
      <w:r>
        <w:rPr>
          <w:rFonts w:hint="eastAsia" w:ascii="宋体" w:hAnsi="宋体" w:eastAsia="宋体" w:cs="宋体"/>
          <w:color w:val="000000"/>
          <w:sz w:val="28"/>
          <w:szCs w:val="28"/>
          <w:lang w:val="zh-TW" w:eastAsia="zh-TW" w:bidi="zh-TW"/>
        </w:rPr>
        <w:t>：其他业务提供劳务所发生的相关成本、费用支出增多</w:t>
      </w:r>
      <w:r>
        <w:rPr>
          <w:rFonts w:hint="eastAsia" w:ascii="宋体" w:hAnsi="宋体" w:eastAsia="宋体" w:cs="宋体"/>
          <w:color w:val="000000"/>
          <w:sz w:val="28"/>
          <w:szCs w:val="28"/>
          <w:lang w:val="en-US" w:eastAsia="zh-CN" w:bidi="zh-TW"/>
        </w:rPr>
        <w:t>。</w:t>
      </w:r>
    </w:p>
    <w:p>
      <w:pPr>
        <w:pStyle w:val="1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3)对个人和家庭的补助</w:t>
      </w:r>
      <w:r>
        <w:rPr>
          <w:rFonts w:hint="eastAsia" w:ascii="宋体" w:hAnsi="宋体" w:eastAsia="宋体" w:cs="宋体"/>
          <w:sz w:val="28"/>
          <w:szCs w:val="28"/>
          <w:lang w:val="en-US" w:eastAsia="zh-CN"/>
        </w:rPr>
        <w:t>27.84</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6.64%</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增长14.03万元，增长101.59%,主要原因是</w:t>
      </w:r>
      <w:r>
        <w:rPr>
          <w:rFonts w:hint="eastAsia" w:ascii="宋体" w:hAnsi="宋体" w:eastAsia="宋体" w:cs="宋体"/>
          <w:color w:val="000000"/>
          <w:sz w:val="28"/>
          <w:szCs w:val="28"/>
          <w:lang w:val="zh-TW" w:eastAsia="zh-TW" w:bidi="zh-TW"/>
        </w:rPr>
        <w:t>：主要用于抚恤金支出减少离退休人员、遗属人员生活补助及个人农业生产补贴人员等增多，导致其他对个人和家庭的补助支出增加</w:t>
      </w:r>
      <w:r>
        <w:rPr>
          <w:rFonts w:hint="eastAsia" w:ascii="宋体" w:hAnsi="宋体" w:eastAsia="宋体" w:cs="宋体"/>
          <w:color w:val="000000"/>
          <w:sz w:val="28"/>
          <w:szCs w:val="28"/>
          <w:lang w:val="en-US" w:eastAsia="zh-CN" w:bidi="zh-TW"/>
        </w:rPr>
        <w:t>。</w:t>
      </w:r>
    </w:p>
    <w:p>
      <w:pPr>
        <w:pStyle w:val="1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4)资本性支出</w:t>
      </w:r>
      <w:r>
        <w:rPr>
          <w:rFonts w:hint="eastAsia" w:ascii="宋体" w:hAnsi="宋体" w:eastAsia="宋体" w:cs="宋体"/>
          <w:sz w:val="28"/>
          <w:szCs w:val="28"/>
          <w:lang w:val="en-US" w:eastAsia="zh-CN"/>
        </w:rPr>
        <w:t>245.48</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58.58%</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增长245.24万元，增长102183.33%,主要原因是</w:t>
      </w:r>
      <w:r>
        <w:rPr>
          <w:rFonts w:hint="eastAsia" w:ascii="宋体" w:hAnsi="宋体" w:eastAsia="宋体" w:cs="宋体"/>
          <w:color w:val="000000"/>
          <w:sz w:val="28"/>
          <w:szCs w:val="28"/>
          <w:lang w:val="zh-TW" w:eastAsia="zh-TW" w:bidi="zh-TW"/>
        </w:rPr>
        <w:t>：城乡社区公共设施、农村基础设施建设等方面支出增加</w:t>
      </w:r>
      <w:r>
        <w:rPr>
          <w:rFonts w:hint="eastAsia" w:ascii="宋体" w:hAnsi="宋体" w:eastAsia="宋体" w:cs="宋体"/>
          <w:color w:val="000000"/>
          <w:sz w:val="28"/>
          <w:szCs w:val="28"/>
          <w:lang w:val="en-US" w:eastAsia="zh-CN" w:bidi="zh-TW"/>
        </w:rPr>
        <w:t>。</w:t>
      </w:r>
    </w:p>
    <w:p>
      <w:pPr>
        <w:pStyle w:val="8"/>
        <w:spacing w:after="0" w:line="619" w:lineRule="exact"/>
        <w:ind w:firstLine="620"/>
        <w:jc w:val="left"/>
        <w:rPr>
          <w:rFonts w:hint="eastAsia"/>
          <w:b/>
          <w:bCs/>
          <w:lang w:val="en-US" w:eastAsia="zh-CN"/>
        </w:rPr>
      </w:pPr>
      <w:r>
        <w:rPr>
          <w:rFonts w:hint="eastAsia"/>
          <w:b/>
          <w:bCs/>
          <w:lang w:val="en-US" w:eastAsia="zh-CN"/>
        </w:rPr>
        <w:t>四、财政拨款收支总体情况说明</w:t>
      </w:r>
    </w:p>
    <w:p>
      <w:pPr>
        <w:pStyle w:val="9"/>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2032"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1252.34</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1252.34</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951.68</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增加300.66</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增长31.59%</w:t>
      </w:r>
      <w:r>
        <w:rPr>
          <w:rFonts w:hint="eastAsia" w:ascii="宋体" w:hAnsi="宋体" w:eastAsia="宋体" w:cs="宋体"/>
          <w:sz w:val="28"/>
          <w:szCs w:val="28"/>
        </w:rPr>
        <w:t>，主要原因是</w:t>
      </w:r>
      <w:r>
        <w:rPr>
          <w:rFonts w:hint="eastAsia"/>
          <w:highlight w:val="none"/>
          <w:lang w:val="en-US" w:eastAsia="zh-CN"/>
        </w:rPr>
        <w:t>单位机关事业运转、机关部门的项目增加</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951.68</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增加300.66</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增长31.59%</w:t>
      </w:r>
      <w:r>
        <w:rPr>
          <w:rFonts w:hint="eastAsia" w:ascii="宋体" w:hAnsi="宋体" w:eastAsia="宋体" w:cs="宋体"/>
          <w:sz w:val="28"/>
          <w:szCs w:val="28"/>
        </w:rPr>
        <w:t>，主要原因是</w:t>
      </w:r>
      <w:r>
        <w:rPr>
          <w:rFonts w:hint="eastAsia"/>
          <w:highlight w:val="none"/>
          <w:lang w:val="en-US" w:eastAsia="zh-CN"/>
        </w:rPr>
        <w:t>单位机关事业运转、机关部门的项目增加</w:t>
      </w:r>
      <w:r>
        <w:rPr>
          <w:rFonts w:hint="eastAsia" w:ascii="宋体" w:hAnsi="宋体" w:eastAsia="宋体" w:cs="宋体"/>
          <w:sz w:val="28"/>
          <w:szCs w:val="28"/>
        </w:rPr>
        <w:t>。</w:t>
      </w:r>
    </w:p>
    <w:p>
      <w:pPr>
        <w:pStyle w:val="8"/>
        <w:spacing w:after="0" w:line="619" w:lineRule="exact"/>
        <w:ind w:firstLine="620"/>
        <w:jc w:val="left"/>
        <w:rPr>
          <w:rFonts w:hint="eastAsia"/>
          <w:b/>
          <w:bCs/>
          <w:lang w:val="en-US" w:eastAsia="zh-CN"/>
        </w:rPr>
      </w:pPr>
      <w:r>
        <w:rPr>
          <w:rFonts w:hint="eastAsia"/>
          <w:b/>
          <w:bCs/>
          <w:lang w:val="en-US" w:eastAsia="zh-CN"/>
        </w:rPr>
        <w:t>五、一般公共预算支出情况说明</w:t>
      </w:r>
    </w:p>
    <w:p>
      <w:pPr>
        <w:pStyle w:val="9"/>
        <w:spacing w:line="240" w:lineRule="auto"/>
        <w:ind w:firstLine="0"/>
        <w:jc w:val="left"/>
        <w:rPr>
          <w:lang w:eastAsia="zh-CN"/>
        </w:rPr>
      </w:pPr>
      <w:r>
        <w:rPr>
          <w:lang w:eastAsia="zh-CN"/>
        </w:rPr>
        <w:drawing>
          <wp:inline distT="0" distB="0" distL="114300" distR="114300">
            <wp:extent cx="5080000" cy="3810000"/>
            <wp:effectExtent l="4445" t="4445" r="20955" b="14605"/>
            <wp:docPr id="2033"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1252.34</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951.68</w:t>
      </w:r>
      <w:r>
        <w:rPr>
          <w:rFonts w:hint="eastAsia" w:ascii="宋体" w:hAnsi="宋体" w:eastAsia="宋体" w:cs="宋体"/>
          <w:sz w:val="28"/>
          <w:szCs w:val="28"/>
        </w:rPr>
        <w:t>万元，</w:t>
      </w:r>
      <w:r>
        <w:rPr>
          <w:rFonts w:hint="eastAsia" w:ascii="宋体" w:hAnsi="宋体" w:eastAsia="宋体" w:cs="宋体"/>
          <w:sz w:val="28"/>
          <w:szCs w:val="28"/>
          <w:lang w:val="en-US" w:eastAsia="zh-CN"/>
        </w:rPr>
        <w:t>增加300.66</w:t>
      </w:r>
      <w:r>
        <w:rPr>
          <w:rFonts w:hint="eastAsia" w:ascii="宋体" w:hAnsi="宋体" w:eastAsia="宋体" w:cs="宋体"/>
          <w:sz w:val="28"/>
          <w:szCs w:val="28"/>
        </w:rPr>
        <w:t>万元，</w:t>
      </w:r>
      <w:r>
        <w:rPr>
          <w:rFonts w:hint="eastAsia" w:ascii="宋体" w:hAnsi="宋体" w:eastAsia="宋体" w:cs="宋体"/>
          <w:sz w:val="28"/>
          <w:szCs w:val="28"/>
          <w:lang w:val="en-US" w:eastAsia="zh-CN"/>
        </w:rPr>
        <w:t>增长31.59%</w:t>
      </w:r>
      <w:r>
        <w:rPr>
          <w:rFonts w:hint="eastAsia" w:ascii="宋体" w:hAnsi="宋体" w:eastAsia="宋体" w:cs="宋体"/>
          <w:sz w:val="28"/>
          <w:szCs w:val="28"/>
        </w:rPr>
        <w:t>，主要原因是</w:t>
      </w:r>
      <w:r>
        <w:rPr>
          <w:rFonts w:hint="eastAsia"/>
          <w:highlight w:val="none"/>
          <w:lang w:val="en-US" w:eastAsia="zh-CN"/>
        </w:rPr>
        <w:t>单位机关事业运转、机关部门的项目增加</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818.66</w:t>
      </w:r>
      <w:r>
        <w:rPr>
          <w:rFonts w:hint="eastAsia" w:ascii="宋体" w:hAnsi="宋体" w:eastAsia="宋体" w:cs="宋体"/>
          <w:sz w:val="28"/>
          <w:szCs w:val="28"/>
        </w:rPr>
        <w:t>万元，占支出总预算的</w:t>
      </w:r>
      <w:r>
        <w:rPr>
          <w:rFonts w:ascii="宋体" w:hAnsi="宋体" w:eastAsia="宋体" w:cs="宋体"/>
          <w:sz w:val="28"/>
          <w:u w:color="auto"/>
        </w:rPr>
        <w:t>65.37%</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725.22</w:t>
      </w:r>
      <w:r>
        <w:rPr>
          <w:rFonts w:hint="eastAsia" w:ascii="宋体" w:hAnsi="宋体" w:eastAsia="宋体" w:cs="宋体"/>
          <w:sz w:val="28"/>
          <w:szCs w:val="28"/>
        </w:rPr>
        <w:t>万元，</w:t>
      </w:r>
      <w:r>
        <w:rPr>
          <w:rFonts w:ascii="宋体" w:hAnsi="宋体" w:eastAsia="宋体" w:cs="宋体"/>
          <w:sz w:val="28"/>
          <w:u w:color="auto"/>
        </w:rPr>
        <w:t>增长93.44</w:t>
      </w:r>
      <w:r>
        <w:rPr>
          <w:rFonts w:hint="eastAsia" w:ascii="宋体" w:hAnsi="宋体" w:eastAsia="宋体" w:cs="宋体"/>
          <w:sz w:val="28"/>
          <w:szCs w:val="28"/>
        </w:rPr>
        <w:t>万元，</w:t>
      </w:r>
      <w:r>
        <w:rPr>
          <w:rFonts w:ascii="宋体" w:hAnsi="宋体" w:eastAsia="宋体" w:cs="宋体"/>
          <w:sz w:val="28"/>
          <w:u w:color="auto"/>
        </w:rPr>
        <w:t>增长12.88%</w:t>
      </w:r>
      <w:r>
        <w:rPr>
          <w:rFonts w:hint="eastAsia" w:ascii="宋体" w:hAnsi="宋体" w:eastAsia="宋体" w:cs="宋体"/>
          <w:sz w:val="28"/>
          <w:szCs w:val="28"/>
        </w:rPr>
        <w:t>，主要原因是：</w:t>
      </w:r>
      <w:r>
        <w:rPr>
          <w:rFonts w:hint="eastAsia"/>
          <w:highlight w:val="none"/>
        </w:rPr>
        <w:t>单位机关事业运转、机关部门的项目增加</w:t>
      </w:r>
      <w:r>
        <w:rPr>
          <w:rFonts w:hint="eastAsia" w:ascii="宋体" w:hAnsi="宋体" w:eastAsia="宋体" w:cs="宋体"/>
          <w:sz w:val="28"/>
          <w:szCs w:val="28"/>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交通运输支出（类）支出</w:t>
      </w:r>
      <w:r>
        <w:rPr>
          <w:rFonts w:ascii="宋体" w:hAnsi="宋体" w:eastAsia="宋体" w:cs="宋体"/>
          <w:sz w:val="28"/>
          <w:u w:color="auto"/>
        </w:rPr>
        <w:t>205.48</w:t>
      </w:r>
      <w:r>
        <w:rPr>
          <w:rFonts w:hint="eastAsia" w:ascii="宋体" w:hAnsi="宋体" w:eastAsia="宋体" w:cs="宋体"/>
          <w:sz w:val="28"/>
          <w:szCs w:val="28"/>
        </w:rPr>
        <w:t>万元，占支出总预算的</w:t>
      </w:r>
      <w:r>
        <w:rPr>
          <w:rFonts w:ascii="宋体" w:hAnsi="宋体" w:eastAsia="宋体" w:cs="宋体"/>
          <w:sz w:val="28"/>
          <w:u w:color="auto"/>
        </w:rPr>
        <w:t>16.41%</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0.00</w:t>
      </w:r>
      <w:r>
        <w:rPr>
          <w:rFonts w:hint="eastAsia" w:ascii="宋体" w:hAnsi="宋体" w:eastAsia="宋体" w:cs="宋体"/>
          <w:sz w:val="28"/>
          <w:szCs w:val="28"/>
        </w:rPr>
        <w:t>万元，</w:t>
      </w:r>
      <w:r>
        <w:rPr>
          <w:rFonts w:ascii="宋体" w:hAnsi="宋体" w:eastAsia="宋体" w:cs="宋体"/>
          <w:sz w:val="28"/>
          <w:u w:color="auto"/>
        </w:rPr>
        <w:t>增长205.48</w:t>
      </w:r>
      <w:r>
        <w:rPr>
          <w:rFonts w:hint="eastAsia" w:ascii="宋体" w:hAnsi="宋体" w:eastAsia="宋体" w:cs="宋体"/>
          <w:sz w:val="28"/>
          <w:szCs w:val="28"/>
        </w:rPr>
        <w:t>万元，</w:t>
      </w:r>
      <w:r>
        <w:rPr>
          <w:rFonts w:ascii="宋体" w:hAnsi="宋体" w:eastAsia="宋体" w:cs="宋体"/>
          <w:sz w:val="28"/>
          <w:u w:color="auto"/>
        </w:rPr>
        <w:t>增长100%</w:t>
      </w:r>
      <w:r>
        <w:rPr>
          <w:rFonts w:hint="eastAsia" w:ascii="宋体" w:hAnsi="宋体" w:eastAsia="宋体" w:cs="宋体"/>
          <w:sz w:val="28"/>
          <w:szCs w:val="28"/>
        </w:rPr>
        <w:t>，主要原因是：</w:t>
      </w:r>
      <w:r>
        <w:rPr>
          <w:rFonts w:hint="eastAsia"/>
          <w:highlight w:val="none"/>
        </w:rPr>
        <w:t>单位机关事业运转、机关部门的项目增加</w:t>
      </w:r>
      <w:r>
        <w:rPr>
          <w:rFonts w:hint="eastAsia" w:ascii="宋体" w:hAnsi="宋体" w:eastAsia="宋体" w:cs="宋体"/>
          <w:sz w:val="28"/>
          <w:szCs w:val="28"/>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53.31</w:t>
      </w:r>
      <w:r>
        <w:rPr>
          <w:rFonts w:hint="eastAsia" w:ascii="宋体" w:hAnsi="宋体" w:eastAsia="宋体" w:cs="宋体"/>
          <w:sz w:val="28"/>
          <w:szCs w:val="28"/>
        </w:rPr>
        <w:t>万元，占支出总预算的</w:t>
      </w:r>
      <w:r>
        <w:rPr>
          <w:rFonts w:ascii="宋体" w:hAnsi="宋体" w:eastAsia="宋体" w:cs="宋体"/>
          <w:sz w:val="28"/>
          <w:u w:color="auto"/>
        </w:rPr>
        <w:t>4.26%</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57.95</w:t>
      </w:r>
      <w:r>
        <w:rPr>
          <w:rFonts w:hint="eastAsia" w:ascii="宋体" w:hAnsi="宋体" w:eastAsia="宋体" w:cs="宋体"/>
          <w:sz w:val="28"/>
          <w:szCs w:val="28"/>
        </w:rPr>
        <w:t>万元，</w:t>
      </w:r>
      <w:r>
        <w:rPr>
          <w:rFonts w:ascii="宋体" w:hAnsi="宋体" w:eastAsia="宋体" w:cs="宋体"/>
          <w:sz w:val="28"/>
          <w:u w:color="auto"/>
        </w:rPr>
        <w:t>减少4.64</w:t>
      </w:r>
      <w:r>
        <w:rPr>
          <w:rFonts w:hint="eastAsia" w:ascii="宋体" w:hAnsi="宋体" w:eastAsia="宋体" w:cs="宋体"/>
          <w:sz w:val="28"/>
          <w:szCs w:val="28"/>
        </w:rPr>
        <w:t>万元，</w:t>
      </w:r>
      <w:r>
        <w:rPr>
          <w:rFonts w:ascii="宋体" w:hAnsi="宋体" w:eastAsia="宋体" w:cs="宋体"/>
          <w:sz w:val="28"/>
          <w:u w:color="auto"/>
        </w:rPr>
        <w:t>减少8.01%</w:t>
      </w:r>
      <w:r>
        <w:rPr>
          <w:rFonts w:hint="eastAsia" w:ascii="宋体" w:hAnsi="宋体" w:eastAsia="宋体" w:cs="宋体"/>
          <w:sz w:val="28"/>
          <w:szCs w:val="28"/>
        </w:rPr>
        <w:t>，主要原因是：</w:t>
      </w:r>
      <w:r>
        <w:rPr>
          <w:rFonts w:hint="eastAsia"/>
          <w:highlight w:val="none"/>
        </w:rPr>
        <w:t>住房保障支出项目中的保障性安居工程支出（即农村危房改造支出）减少</w:t>
      </w:r>
      <w:r>
        <w:rPr>
          <w:rFonts w:hint="eastAsia" w:ascii="宋体" w:hAnsi="宋体" w:eastAsia="宋体" w:cs="宋体"/>
          <w:sz w:val="28"/>
          <w:szCs w:val="28"/>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农林水支出（类）支出</w:t>
      </w:r>
      <w:r>
        <w:rPr>
          <w:rFonts w:ascii="宋体" w:hAnsi="宋体" w:eastAsia="宋体" w:cs="宋体"/>
          <w:sz w:val="28"/>
          <w:u w:color="auto"/>
        </w:rPr>
        <w:t>80.08</w:t>
      </w:r>
      <w:r>
        <w:rPr>
          <w:rFonts w:hint="eastAsia" w:ascii="宋体" w:hAnsi="宋体" w:eastAsia="宋体" w:cs="宋体"/>
          <w:sz w:val="28"/>
          <w:szCs w:val="28"/>
        </w:rPr>
        <w:t>万元，占支出总预算的</w:t>
      </w:r>
      <w:r>
        <w:rPr>
          <w:rFonts w:ascii="宋体" w:hAnsi="宋体" w:eastAsia="宋体" w:cs="宋体"/>
          <w:sz w:val="28"/>
          <w:u w:color="auto"/>
        </w:rPr>
        <w:t>6.39%</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11.13</w:t>
      </w:r>
      <w:r>
        <w:rPr>
          <w:rFonts w:hint="eastAsia" w:ascii="宋体" w:hAnsi="宋体" w:eastAsia="宋体" w:cs="宋体"/>
          <w:sz w:val="28"/>
          <w:szCs w:val="28"/>
        </w:rPr>
        <w:t>万元，</w:t>
      </w:r>
      <w:r>
        <w:rPr>
          <w:rFonts w:ascii="宋体" w:hAnsi="宋体" w:eastAsia="宋体" w:cs="宋体"/>
          <w:sz w:val="28"/>
          <w:u w:color="auto"/>
        </w:rPr>
        <w:t>增长68.95</w:t>
      </w:r>
      <w:r>
        <w:rPr>
          <w:rFonts w:hint="eastAsia" w:ascii="宋体" w:hAnsi="宋体" w:eastAsia="宋体" w:cs="宋体"/>
          <w:sz w:val="28"/>
          <w:szCs w:val="28"/>
        </w:rPr>
        <w:t>万元，</w:t>
      </w:r>
      <w:r>
        <w:rPr>
          <w:rFonts w:ascii="宋体" w:hAnsi="宋体" w:eastAsia="宋体" w:cs="宋体"/>
          <w:sz w:val="28"/>
          <w:u w:color="auto"/>
        </w:rPr>
        <w:t>增长619.50%</w:t>
      </w:r>
      <w:r>
        <w:rPr>
          <w:rFonts w:hint="eastAsia" w:ascii="宋体" w:hAnsi="宋体" w:eastAsia="宋体" w:cs="宋体"/>
          <w:sz w:val="28"/>
          <w:szCs w:val="28"/>
        </w:rPr>
        <w:t>，主要原因是：</w:t>
      </w:r>
      <w:r>
        <w:rPr>
          <w:rFonts w:hint="eastAsia"/>
          <w:highlight w:val="none"/>
        </w:rPr>
        <w:t>农业、水利部门事业运行人员薪酬、水利行业项目、农村基础设施建设、贫困户产业扶持及其他农林水支出增多</w:t>
      </w:r>
      <w:r>
        <w:rPr>
          <w:rFonts w:hint="eastAsia" w:ascii="宋体" w:hAnsi="宋体" w:eastAsia="宋体" w:cs="宋体"/>
          <w:sz w:val="28"/>
          <w:szCs w:val="28"/>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文化旅游体育与传媒支出（类）支出</w:t>
      </w:r>
      <w:r>
        <w:rPr>
          <w:rFonts w:ascii="宋体" w:hAnsi="宋体" w:eastAsia="宋体" w:cs="宋体"/>
          <w:sz w:val="28"/>
          <w:u w:color="auto"/>
        </w:rPr>
        <w:t>1.00</w:t>
      </w:r>
      <w:r>
        <w:rPr>
          <w:rFonts w:hint="eastAsia" w:ascii="宋体" w:hAnsi="宋体" w:eastAsia="宋体" w:cs="宋体"/>
          <w:sz w:val="28"/>
          <w:szCs w:val="28"/>
        </w:rPr>
        <w:t>万元，占支出总预算的</w:t>
      </w:r>
      <w:r>
        <w:rPr>
          <w:rFonts w:ascii="宋体" w:hAnsi="宋体" w:eastAsia="宋体" w:cs="宋体"/>
          <w:sz w:val="28"/>
          <w:u w:color="auto"/>
        </w:rPr>
        <w:t>0.08%</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0.00</w:t>
      </w:r>
      <w:r>
        <w:rPr>
          <w:rFonts w:hint="eastAsia" w:ascii="宋体" w:hAnsi="宋体" w:eastAsia="宋体" w:cs="宋体"/>
          <w:sz w:val="28"/>
          <w:szCs w:val="28"/>
        </w:rPr>
        <w:t>万元，</w:t>
      </w:r>
      <w:r>
        <w:rPr>
          <w:rFonts w:ascii="宋体" w:hAnsi="宋体" w:eastAsia="宋体" w:cs="宋体"/>
          <w:sz w:val="28"/>
          <w:u w:color="auto"/>
        </w:rPr>
        <w:t>增长1.00</w:t>
      </w:r>
      <w:r>
        <w:rPr>
          <w:rFonts w:hint="eastAsia" w:ascii="宋体" w:hAnsi="宋体" w:eastAsia="宋体" w:cs="宋体"/>
          <w:sz w:val="28"/>
          <w:szCs w:val="28"/>
        </w:rPr>
        <w:t>万元，</w:t>
      </w:r>
      <w:r>
        <w:rPr>
          <w:rFonts w:ascii="宋体" w:hAnsi="宋体" w:eastAsia="宋体" w:cs="宋体"/>
          <w:sz w:val="28"/>
          <w:u w:color="auto"/>
        </w:rPr>
        <w:t>增长100%</w:t>
      </w:r>
      <w:r>
        <w:rPr>
          <w:rFonts w:hint="eastAsia" w:ascii="宋体" w:hAnsi="宋体" w:eastAsia="宋体" w:cs="宋体"/>
          <w:sz w:val="28"/>
          <w:szCs w:val="28"/>
        </w:rPr>
        <w:t>，主要原因是：</w:t>
      </w:r>
      <w:r>
        <w:rPr>
          <w:rFonts w:hint="eastAsia"/>
          <w:highlight w:val="none"/>
        </w:rPr>
        <w:t>文化、文物、体育、广播影视、新闻出版等方面的支出增多</w:t>
      </w:r>
      <w:r>
        <w:rPr>
          <w:rFonts w:hint="eastAsia" w:ascii="宋体" w:hAnsi="宋体" w:eastAsia="宋体" w:cs="宋体"/>
          <w:sz w:val="28"/>
          <w:szCs w:val="28"/>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65.54</w:t>
      </w:r>
      <w:r>
        <w:rPr>
          <w:rFonts w:hint="eastAsia" w:ascii="宋体" w:hAnsi="宋体" w:eastAsia="宋体" w:cs="宋体"/>
          <w:sz w:val="28"/>
          <w:szCs w:val="28"/>
        </w:rPr>
        <w:t>万元，占支出总预算的</w:t>
      </w:r>
      <w:r>
        <w:rPr>
          <w:rFonts w:ascii="宋体" w:hAnsi="宋体" w:eastAsia="宋体" w:cs="宋体"/>
          <w:sz w:val="28"/>
          <w:u w:color="auto"/>
        </w:rPr>
        <w:t>5.23%</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75.67</w:t>
      </w:r>
      <w:r>
        <w:rPr>
          <w:rFonts w:hint="eastAsia" w:ascii="宋体" w:hAnsi="宋体" w:eastAsia="宋体" w:cs="宋体"/>
          <w:sz w:val="28"/>
          <w:szCs w:val="28"/>
        </w:rPr>
        <w:t>万元，</w:t>
      </w:r>
      <w:r>
        <w:rPr>
          <w:rFonts w:ascii="宋体" w:hAnsi="宋体" w:eastAsia="宋体" w:cs="宋体"/>
          <w:sz w:val="28"/>
          <w:u w:color="auto"/>
        </w:rPr>
        <w:t>减少10.13</w:t>
      </w:r>
      <w:r>
        <w:rPr>
          <w:rFonts w:hint="eastAsia" w:ascii="宋体" w:hAnsi="宋体" w:eastAsia="宋体" w:cs="宋体"/>
          <w:sz w:val="28"/>
          <w:szCs w:val="28"/>
        </w:rPr>
        <w:t>万元，</w:t>
      </w:r>
      <w:r>
        <w:rPr>
          <w:rFonts w:ascii="宋体" w:hAnsi="宋体" w:eastAsia="宋体" w:cs="宋体"/>
          <w:sz w:val="28"/>
          <w:u w:color="auto"/>
        </w:rPr>
        <w:t>减少13.39%</w:t>
      </w:r>
      <w:r>
        <w:rPr>
          <w:rFonts w:hint="eastAsia" w:ascii="宋体" w:hAnsi="宋体" w:eastAsia="宋体" w:cs="宋体"/>
          <w:sz w:val="28"/>
          <w:szCs w:val="28"/>
        </w:rPr>
        <w:t>，主要原因是：</w:t>
      </w:r>
      <w:r>
        <w:rPr>
          <w:rFonts w:hint="eastAsia"/>
          <w:highlight w:val="none"/>
        </w:rPr>
        <w:t>本年度单位人员减少</w:t>
      </w:r>
      <w:r>
        <w:rPr>
          <w:rFonts w:hint="eastAsia" w:ascii="宋体" w:hAnsi="宋体" w:eastAsia="宋体" w:cs="宋体"/>
          <w:sz w:val="28"/>
          <w:szCs w:val="28"/>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节能环保支出（类）支出</w:t>
      </w:r>
      <w:r>
        <w:rPr>
          <w:rFonts w:ascii="宋体" w:hAnsi="宋体" w:eastAsia="宋体" w:cs="宋体"/>
          <w:sz w:val="28"/>
          <w:u w:color="auto"/>
        </w:rPr>
        <w:t>28.27</w:t>
      </w:r>
      <w:r>
        <w:rPr>
          <w:rFonts w:hint="eastAsia" w:ascii="宋体" w:hAnsi="宋体" w:eastAsia="宋体" w:cs="宋体"/>
          <w:sz w:val="28"/>
          <w:szCs w:val="28"/>
        </w:rPr>
        <w:t>万元，占支出总预算的</w:t>
      </w:r>
      <w:r>
        <w:rPr>
          <w:rFonts w:ascii="宋体" w:hAnsi="宋体" w:eastAsia="宋体" w:cs="宋体"/>
          <w:sz w:val="28"/>
          <w:u w:color="auto"/>
        </w:rPr>
        <w:t>2.26%</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81.71</w:t>
      </w:r>
      <w:r>
        <w:rPr>
          <w:rFonts w:hint="eastAsia" w:ascii="宋体" w:hAnsi="宋体" w:eastAsia="宋体" w:cs="宋体"/>
          <w:sz w:val="28"/>
          <w:szCs w:val="28"/>
        </w:rPr>
        <w:t>万元，</w:t>
      </w:r>
      <w:r>
        <w:rPr>
          <w:rFonts w:ascii="宋体" w:hAnsi="宋体" w:eastAsia="宋体" w:cs="宋体"/>
          <w:sz w:val="28"/>
          <w:u w:color="auto"/>
        </w:rPr>
        <w:t>减少53.44</w:t>
      </w:r>
      <w:r>
        <w:rPr>
          <w:rFonts w:hint="eastAsia" w:ascii="宋体" w:hAnsi="宋体" w:eastAsia="宋体" w:cs="宋体"/>
          <w:sz w:val="28"/>
          <w:szCs w:val="28"/>
        </w:rPr>
        <w:t>万元，</w:t>
      </w:r>
      <w:r>
        <w:rPr>
          <w:rFonts w:ascii="宋体" w:hAnsi="宋体" w:eastAsia="宋体" w:cs="宋体"/>
          <w:sz w:val="28"/>
          <w:u w:color="auto"/>
        </w:rPr>
        <w:t>减少65.40%</w:t>
      </w:r>
      <w:r>
        <w:rPr>
          <w:rFonts w:hint="eastAsia" w:ascii="宋体" w:hAnsi="宋体" w:eastAsia="宋体" w:cs="宋体"/>
          <w:sz w:val="28"/>
          <w:szCs w:val="28"/>
        </w:rPr>
        <w:t>，主要原因是：</w:t>
      </w:r>
      <w:r>
        <w:rPr>
          <w:rFonts w:hint="eastAsia"/>
          <w:highlight w:val="none"/>
        </w:rPr>
        <w:t>节能环保、退耕还林、农业农村生态环境等方面开支减少</w:t>
      </w:r>
      <w:r>
        <w:rPr>
          <w:rFonts w:hint="eastAsia" w:ascii="宋体" w:hAnsi="宋体" w:eastAsia="宋体" w:cs="宋体"/>
          <w:sz w:val="28"/>
          <w:szCs w:val="28"/>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六、一般公共预算基本支出情况说明</w:t>
      </w:r>
    </w:p>
    <w:p>
      <w:pPr>
        <w:pStyle w:val="8"/>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034"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833.28</w:t>
      </w:r>
      <w:r>
        <w:rPr>
          <w:rFonts w:hint="eastAsia"/>
        </w:rPr>
        <w:t>万元，较2023年度预算数</w:t>
      </w:r>
      <w:r>
        <w:rPr>
          <w:rFonts w:hint="eastAsia"/>
          <w:lang w:val="en-US" w:eastAsia="zh-CN"/>
        </w:rPr>
        <w:t>746.29</w:t>
      </w:r>
      <w:r>
        <w:rPr>
          <w:rFonts w:hint="eastAsia"/>
        </w:rPr>
        <w:t>万元</w:t>
      </w:r>
      <w:r>
        <w:rPr>
          <w:rFonts w:hint="eastAsia"/>
          <w:lang w:val="en-US" w:eastAsia="zh-CN"/>
        </w:rPr>
        <w:t>,</w:t>
      </w:r>
      <w:r>
        <w:rPr>
          <w:u w:color="auto"/>
        </w:rPr>
        <w:t>增加86.99</w:t>
      </w:r>
      <w:r>
        <w:rPr>
          <w:rFonts w:hint="eastAsia"/>
        </w:rPr>
        <w:t>万元，</w:t>
      </w:r>
      <w:r>
        <w:rPr>
          <w:rFonts w:hint="eastAsia"/>
          <w:lang w:val="en-US" w:eastAsia="zh-CN"/>
        </w:rPr>
        <w:t>增长11.66%</w:t>
      </w:r>
      <w:r>
        <w:rPr>
          <w:rFonts w:hint="eastAsia"/>
        </w:rPr>
        <w:t>，主要原因是</w:t>
      </w:r>
      <w:r>
        <w:rPr>
          <w:rFonts w:hint="eastAsia"/>
          <w:highlight w:val="none"/>
          <w:lang w:val="en-US" w:eastAsia="zh-CN"/>
        </w:rPr>
        <w:t>本年度职工待遇补助提高，星级村村干工资的变动增加</w:t>
      </w:r>
      <w:r>
        <w:rPr>
          <w:rFonts w:hint="eastAsia"/>
        </w:rPr>
        <w:t>具体情况为：</w:t>
      </w:r>
    </w:p>
    <w:p>
      <w:pPr>
        <w:pStyle w:val="9"/>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对个人和家庭的补助</w:t>
      </w:r>
      <w:r>
        <w:rPr>
          <w:rFonts w:hint="eastAsia"/>
        </w:rPr>
        <w:t>支出预算</w:t>
      </w:r>
      <w:r>
        <w:rPr>
          <w:rFonts w:hint="eastAsia"/>
          <w:lang w:val="en-US" w:eastAsia="zh-CN"/>
        </w:rPr>
        <w:t>60.00</w:t>
      </w:r>
      <w:r>
        <w:t>万元</w:t>
      </w:r>
      <w:r>
        <w:rPr>
          <w:rFonts w:hint="eastAsia"/>
          <w:lang w:eastAsia="zh-CN"/>
        </w:rPr>
        <w:t>，</w:t>
      </w:r>
      <w:r>
        <w:rPr>
          <w:rFonts w:hint="eastAsia"/>
        </w:rPr>
        <w:t>占基本支出预算的</w:t>
      </w:r>
      <w:r>
        <w:rPr>
          <w:rFonts w:hint="eastAsia"/>
          <w:lang w:val="en-US" w:eastAsia="zh-CN"/>
        </w:rPr>
        <w:t>7.20%</w:t>
      </w:r>
      <w:r>
        <w:rPr>
          <w:rFonts w:hint="eastAsia"/>
        </w:rPr>
        <w:t>，较2023年度预算数</w:t>
      </w:r>
      <w:r>
        <w:rPr>
          <w:rFonts w:hint="eastAsia"/>
          <w:lang w:val="en-US" w:eastAsia="zh-CN"/>
        </w:rPr>
        <w:t>39.94</w:t>
      </w:r>
      <w:r>
        <w:rPr>
          <w:rFonts w:hint="eastAsia"/>
        </w:rPr>
        <w:t>万元，</w:t>
      </w:r>
      <w:r>
        <w:rPr>
          <w:rFonts w:hint="eastAsia"/>
          <w:lang w:val="en-US" w:eastAsia="zh-CN"/>
        </w:rPr>
        <w:t>增长20.06</w:t>
      </w:r>
      <w:r>
        <w:rPr>
          <w:rFonts w:hint="eastAsia"/>
        </w:rPr>
        <w:t>万元，</w:t>
      </w:r>
      <w:r>
        <w:rPr>
          <w:rFonts w:hint="eastAsia"/>
          <w:lang w:val="en-US" w:eastAsia="zh-CN"/>
        </w:rPr>
        <w:t>增长50.23%</w:t>
      </w:r>
      <w:r>
        <w:rPr>
          <w:rFonts w:hint="eastAsia"/>
        </w:rPr>
        <w:t>，主要原因是：</w:t>
      </w:r>
      <w:r>
        <w:rPr>
          <w:rFonts w:hint="eastAsia"/>
          <w:highlight w:val="none"/>
        </w:rPr>
        <w:t>2024年有新进人员，部分人员调整工资和晋升职务职级，职工待遇补助提高星级村村干工资的变动增加。</w:t>
      </w:r>
    </w:p>
    <w:p>
      <w:pPr>
        <w:pStyle w:val="9"/>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工资福利支出</w:t>
      </w:r>
      <w:r>
        <w:rPr>
          <w:rFonts w:hint="eastAsia"/>
        </w:rPr>
        <w:t>支出预算</w:t>
      </w:r>
      <w:r>
        <w:rPr>
          <w:rFonts w:hint="eastAsia"/>
          <w:lang w:val="en-US" w:eastAsia="zh-CN"/>
        </w:rPr>
        <w:t>710.22</w:t>
      </w:r>
      <w:r>
        <w:t>万元</w:t>
      </w:r>
      <w:r>
        <w:rPr>
          <w:rFonts w:hint="eastAsia"/>
          <w:lang w:eastAsia="zh-CN"/>
        </w:rPr>
        <w:t>，</w:t>
      </w:r>
      <w:r>
        <w:rPr>
          <w:rFonts w:hint="eastAsia"/>
        </w:rPr>
        <w:t>占基本支出预算的</w:t>
      </w:r>
      <w:r>
        <w:rPr>
          <w:rFonts w:hint="eastAsia"/>
          <w:lang w:val="en-US" w:eastAsia="zh-CN"/>
        </w:rPr>
        <w:t>85.23%</w:t>
      </w:r>
      <w:r>
        <w:rPr>
          <w:rFonts w:hint="eastAsia"/>
        </w:rPr>
        <w:t>，较2023年度预算数</w:t>
      </w:r>
      <w:r>
        <w:rPr>
          <w:rFonts w:hint="eastAsia"/>
          <w:lang w:val="en-US" w:eastAsia="zh-CN"/>
        </w:rPr>
        <w:t>634.83</w:t>
      </w:r>
      <w:r>
        <w:rPr>
          <w:rFonts w:hint="eastAsia"/>
        </w:rPr>
        <w:t>万元，</w:t>
      </w:r>
      <w:r>
        <w:rPr>
          <w:rFonts w:hint="eastAsia"/>
          <w:lang w:val="en-US" w:eastAsia="zh-CN"/>
        </w:rPr>
        <w:t>增长75.39</w:t>
      </w:r>
      <w:r>
        <w:rPr>
          <w:rFonts w:hint="eastAsia"/>
        </w:rPr>
        <w:t>万元，</w:t>
      </w:r>
      <w:r>
        <w:rPr>
          <w:rFonts w:hint="eastAsia"/>
          <w:lang w:val="en-US" w:eastAsia="zh-CN"/>
        </w:rPr>
        <w:t>增长11.88%</w:t>
      </w:r>
      <w:r>
        <w:rPr>
          <w:rFonts w:hint="eastAsia"/>
        </w:rPr>
        <w:t>，主要原因是：</w:t>
      </w:r>
      <w:r>
        <w:rPr>
          <w:rFonts w:hint="eastAsia"/>
          <w:highlight w:val="none"/>
        </w:rPr>
        <w:t>干部职工职务级别的上调，工资有所增加。星级村村干工资的变动增加。职工基数调整</w:t>
      </w:r>
    </w:p>
    <w:p>
      <w:pPr>
        <w:pStyle w:val="9"/>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63.06</w:t>
      </w:r>
      <w:r>
        <w:t>万元</w:t>
      </w:r>
      <w:r>
        <w:rPr>
          <w:rFonts w:hint="eastAsia"/>
          <w:lang w:eastAsia="zh-CN"/>
        </w:rPr>
        <w:t>，</w:t>
      </w:r>
      <w:r>
        <w:rPr>
          <w:rFonts w:hint="eastAsia"/>
        </w:rPr>
        <w:t>占基本支出预算的</w:t>
      </w:r>
      <w:r>
        <w:rPr>
          <w:rFonts w:hint="eastAsia"/>
          <w:lang w:val="en-US" w:eastAsia="zh-CN"/>
        </w:rPr>
        <w:t>7.57%</w:t>
      </w:r>
      <w:r>
        <w:rPr>
          <w:rFonts w:hint="eastAsia"/>
        </w:rPr>
        <w:t>，较2023年度预算数</w:t>
      </w:r>
      <w:r>
        <w:rPr>
          <w:rFonts w:hint="eastAsia"/>
          <w:lang w:val="en-US" w:eastAsia="zh-CN"/>
        </w:rPr>
        <w:t>71.52</w:t>
      </w:r>
      <w:r>
        <w:rPr>
          <w:rFonts w:hint="eastAsia"/>
        </w:rPr>
        <w:t>万元，</w:t>
      </w:r>
      <w:r>
        <w:rPr>
          <w:rFonts w:hint="eastAsia"/>
          <w:lang w:val="en-US" w:eastAsia="zh-CN"/>
        </w:rPr>
        <w:t>减少8.46</w:t>
      </w:r>
      <w:r>
        <w:rPr>
          <w:rFonts w:hint="eastAsia"/>
        </w:rPr>
        <w:t>万元，</w:t>
      </w:r>
      <w:r>
        <w:rPr>
          <w:rFonts w:hint="eastAsia"/>
          <w:lang w:val="en-US" w:eastAsia="zh-CN"/>
        </w:rPr>
        <w:t>减少11.83%</w:t>
      </w:r>
      <w:r>
        <w:rPr>
          <w:rFonts w:hint="eastAsia"/>
        </w:rPr>
        <w:t>，主要原因是：</w:t>
      </w:r>
      <w:r>
        <w:rPr>
          <w:rFonts w:hint="eastAsia"/>
          <w:highlight w:val="none"/>
        </w:rPr>
        <w:t>减少办公用品、设备购置</w:t>
      </w:r>
    </w:p>
    <w:p>
      <w:pPr>
        <w:pStyle w:val="8"/>
        <w:spacing w:after="0" w:line="619" w:lineRule="exact"/>
        <w:ind w:firstLine="620"/>
        <w:jc w:val="left"/>
        <w:rPr>
          <w:rFonts w:hint="eastAsia"/>
          <w:b/>
          <w:bCs/>
        </w:rPr>
      </w:pPr>
      <w:r>
        <w:rPr>
          <w:rFonts w:hint="eastAsia"/>
          <w:b/>
          <w:bCs/>
          <w:lang w:val="en-US" w:eastAsia="zh-CN"/>
        </w:rPr>
        <w:t>七、一般公共预算</w:t>
      </w:r>
      <w:r>
        <w:rPr>
          <w:rFonts w:hint="eastAsia"/>
          <w:b/>
          <w:bCs/>
          <w:lang w:val="zh-CN" w:eastAsia="zh-CN"/>
        </w:rPr>
        <w:t>“三</w:t>
      </w:r>
      <w:r>
        <w:rPr>
          <w:rFonts w:hint="eastAsia"/>
          <w:b/>
          <w:bCs/>
          <w:lang w:val="en-US" w:eastAsia="zh-CN"/>
        </w:rPr>
        <w:t>公”经费支出情况说明</w:t>
      </w:r>
    </w:p>
    <w:p>
      <w:pPr>
        <w:pStyle w:val="8"/>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20955" b="14605"/>
            <wp:docPr id="2035"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12.10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5.20</w:t>
      </w:r>
      <w:r>
        <w:rPr>
          <w:rFonts w:hint="eastAsia"/>
          <w:b w:val="0"/>
          <w:bCs w:val="0"/>
          <w:sz w:val="28"/>
          <w:szCs w:val="28"/>
          <w:lang w:eastAsia="zh-CN"/>
        </w:rPr>
        <w:t>万元，公务用车购置及运行费支出预算</w:t>
      </w:r>
      <w:r>
        <w:rPr>
          <w:rFonts w:hint="eastAsia"/>
          <w:b w:val="0"/>
          <w:bCs w:val="0"/>
          <w:sz w:val="28"/>
          <w:szCs w:val="28"/>
          <w:lang w:val="en-US" w:eastAsia="zh-CN"/>
        </w:rPr>
        <w:t>6.90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6.90</w:t>
      </w:r>
      <w:r>
        <w:rPr>
          <w:rFonts w:hint="eastAsia"/>
          <w:b w:val="0"/>
          <w:bCs w:val="0"/>
          <w:sz w:val="28"/>
          <w:szCs w:val="28"/>
          <w:lang w:eastAsia="zh-CN"/>
        </w:rPr>
        <w:t>万元）。</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12.10</w:t>
      </w:r>
      <w:r>
        <w:rPr>
          <w:rFonts w:hint="eastAsia"/>
          <w:b w:val="0"/>
          <w:bCs w:val="0"/>
          <w:sz w:val="28"/>
          <w:szCs w:val="28"/>
        </w:rPr>
        <w:t>万元，同口径较2023年度预算数</w:t>
      </w:r>
      <w:r>
        <w:rPr>
          <w:rFonts w:hint="eastAsia"/>
          <w:b w:val="0"/>
          <w:bCs w:val="0"/>
          <w:sz w:val="28"/>
          <w:szCs w:val="28"/>
          <w:lang w:val="en-US" w:eastAsia="zh-CN"/>
        </w:rPr>
        <w:t>12.42</w:t>
      </w:r>
      <w:r>
        <w:rPr>
          <w:rFonts w:hint="eastAsia"/>
          <w:b w:val="0"/>
          <w:bCs w:val="0"/>
          <w:sz w:val="28"/>
          <w:szCs w:val="28"/>
        </w:rPr>
        <w:t>万元，</w:t>
      </w:r>
      <w:r>
        <w:rPr>
          <w:rFonts w:hint="eastAsia"/>
          <w:b w:val="0"/>
          <w:bCs w:val="0"/>
          <w:sz w:val="28"/>
          <w:szCs w:val="28"/>
          <w:lang w:val="en-US" w:eastAsia="zh-CN"/>
        </w:rPr>
        <w:t>减少0.32</w:t>
      </w:r>
      <w:r>
        <w:rPr>
          <w:rFonts w:hint="eastAsia"/>
          <w:b w:val="0"/>
          <w:bCs w:val="0"/>
          <w:sz w:val="28"/>
          <w:szCs w:val="28"/>
        </w:rPr>
        <w:t>万元，</w:t>
      </w:r>
      <w:r>
        <w:rPr>
          <w:rFonts w:hint="eastAsia"/>
          <w:b w:val="0"/>
          <w:bCs w:val="0"/>
          <w:sz w:val="28"/>
          <w:szCs w:val="28"/>
          <w:lang w:val="en-US" w:eastAsia="zh-CN"/>
        </w:rPr>
        <w:t>减少2.58%</w:t>
      </w:r>
      <w:r>
        <w:rPr>
          <w:rFonts w:hint="eastAsia"/>
          <w:b w:val="0"/>
          <w:bCs w:val="0"/>
          <w:sz w:val="28"/>
          <w:szCs w:val="28"/>
        </w:rPr>
        <w:t>，具体如下：</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我单位无因公出国（境）费2024年预算</w:t>
      </w:r>
      <w:r>
        <w:rPr>
          <w:rFonts w:hint="eastAsia"/>
          <w:b w:val="0"/>
          <w:bCs w:val="0"/>
          <w:sz w:val="28"/>
          <w:szCs w:val="28"/>
        </w:rPr>
        <w:t>。</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5.20</w:t>
      </w:r>
      <w:r>
        <w:rPr>
          <w:rFonts w:hint="eastAsia"/>
          <w:b w:val="0"/>
          <w:bCs w:val="0"/>
          <w:sz w:val="28"/>
          <w:szCs w:val="28"/>
        </w:rPr>
        <w:t>万元，较2023年度预算数</w:t>
      </w:r>
      <w:r>
        <w:rPr>
          <w:sz w:val="28"/>
          <w:u w:color="auto"/>
        </w:rPr>
        <w:t>5.52</w:t>
      </w:r>
      <w:r>
        <w:rPr>
          <w:rFonts w:hint="eastAsia"/>
          <w:b w:val="0"/>
          <w:bCs w:val="0"/>
          <w:sz w:val="28"/>
          <w:szCs w:val="28"/>
        </w:rPr>
        <w:t>万元，</w:t>
      </w:r>
      <w:r>
        <w:rPr>
          <w:sz w:val="28"/>
          <w:u w:color="auto"/>
        </w:rPr>
        <w:t>减少0.32</w:t>
      </w:r>
      <w:r>
        <w:rPr>
          <w:rFonts w:hint="eastAsia"/>
          <w:b w:val="0"/>
          <w:bCs w:val="0"/>
          <w:sz w:val="28"/>
          <w:szCs w:val="28"/>
        </w:rPr>
        <w:t>万元，</w:t>
      </w:r>
      <w:r>
        <w:rPr>
          <w:sz w:val="28"/>
          <w:u w:color="auto"/>
        </w:rPr>
        <w:t>减少5.80%</w:t>
      </w:r>
      <w:r>
        <w:rPr>
          <w:rFonts w:hint="eastAsia"/>
          <w:b w:val="0"/>
          <w:bCs w:val="0"/>
          <w:sz w:val="28"/>
          <w:szCs w:val="28"/>
        </w:rPr>
        <w:t>，主要原因是</w:t>
      </w:r>
      <w:r>
        <w:rPr>
          <w:rFonts w:hint="eastAsia"/>
          <w:sz w:val="28"/>
          <w:szCs w:val="28"/>
          <w:highlight w:val="none"/>
          <w:lang w:val="en-US" w:eastAsia="zh-CN"/>
        </w:rPr>
        <w:t>减少基层公务接待</w:t>
      </w:r>
      <w:r>
        <w:rPr>
          <w:rFonts w:hint="eastAsia"/>
          <w:b w:val="0"/>
          <w:bCs w:val="0"/>
          <w:sz w:val="28"/>
          <w:szCs w:val="28"/>
        </w:rPr>
        <w:t>。</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6.90</w:t>
      </w:r>
      <w:r>
        <w:rPr>
          <w:rFonts w:hint="eastAsia"/>
          <w:b w:val="0"/>
          <w:bCs w:val="0"/>
          <w:sz w:val="28"/>
          <w:szCs w:val="28"/>
        </w:rPr>
        <w:t>万元，较2023年度预算数</w:t>
      </w:r>
      <w:r>
        <w:rPr>
          <w:sz w:val="28"/>
          <w:u w:color="auto"/>
        </w:rPr>
        <w:t>6.90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增长0.00%</w:t>
      </w:r>
      <w:r>
        <w:rPr>
          <w:rFonts w:hint="eastAsia"/>
          <w:b w:val="0"/>
          <w:bCs w:val="0"/>
          <w:sz w:val="28"/>
          <w:szCs w:val="28"/>
        </w:rPr>
        <w:t>，其中：</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2024年预算我单位无公务用车购置费</w:t>
      </w:r>
      <w:r>
        <w:rPr>
          <w:rFonts w:hint="eastAsia"/>
          <w:b w:val="0"/>
          <w:bCs w:val="0"/>
          <w:sz w:val="28"/>
          <w:szCs w:val="28"/>
        </w:rPr>
        <w:t>。</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6.90</w:t>
      </w:r>
      <w:r>
        <w:rPr>
          <w:rFonts w:hint="eastAsia"/>
          <w:b w:val="0"/>
          <w:bCs w:val="0"/>
          <w:sz w:val="28"/>
          <w:szCs w:val="28"/>
        </w:rPr>
        <w:t>万元，较2023年度预算数</w:t>
      </w:r>
      <w:r>
        <w:rPr>
          <w:sz w:val="28"/>
          <w:u w:color="auto"/>
        </w:rPr>
        <w:t>6.90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增长0.00%</w:t>
      </w:r>
      <w:r>
        <w:rPr>
          <w:rFonts w:hint="eastAsia"/>
          <w:b w:val="0"/>
          <w:bCs w:val="0"/>
          <w:sz w:val="28"/>
          <w:szCs w:val="28"/>
        </w:rPr>
        <w:t>，主要原因是</w:t>
      </w:r>
      <w:r>
        <w:rPr>
          <w:rFonts w:hint="eastAsia"/>
          <w:sz w:val="28"/>
          <w:szCs w:val="28"/>
          <w:highlight w:val="none"/>
          <w:lang w:val="en-US" w:eastAsia="zh-CN"/>
        </w:rPr>
        <w:t>与上一年度持平</w:t>
      </w:r>
      <w:r>
        <w:rPr>
          <w:rFonts w:hint="eastAsia"/>
          <w:b w:val="0"/>
          <w:bCs w:val="0"/>
          <w:sz w:val="28"/>
          <w:szCs w:val="28"/>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八</w:t>
      </w:r>
      <w:bookmarkEnd w:id="14"/>
      <w:r>
        <w:rPr>
          <w:rFonts w:hint="eastAsia"/>
          <w:b/>
          <w:bCs/>
          <w:lang w:val="en-US" w:eastAsia="zh-CN"/>
        </w:rPr>
        <w:t>、政府性基金预算支出情况说明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b w:val="0"/>
          <w:bCs w:val="0"/>
          <w:sz w:val="28"/>
          <w:szCs w:val="28"/>
          <w:lang w:eastAsia="zh-CN"/>
        </w:rPr>
        <w:t>2024</w:t>
      </w:r>
      <w:r>
        <w:rPr>
          <w:rFonts w:hint="eastAsia"/>
          <w:sz w:val="28"/>
          <w:szCs w:val="28"/>
        </w:rPr>
        <w:t>年政府性基金预算支出共</w:t>
      </w:r>
      <w:r>
        <w:rPr>
          <w:rFonts w:hint="eastAsia"/>
          <w:b w:val="0"/>
          <w:bCs w:val="0"/>
          <w:sz w:val="28"/>
          <w:szCs w:val="28"/>
          <w:lang w:eastAsia="zh-CN"/>
        </w:rPr>
        <w:t>0.00</w:t>
      </w:r>
      <w:r>
        <w:rPr>
          <w:rFonts w:hint="eastAsia"/>
          <w:sz w:val="28"/>
          <w:szCs w:val="28"/>
        </w:rPr>
        <w:t>万元，较2023年度预算数</w:t>
      </w:r>
      <w:r>
        <w:rPr>
          <w:rFonts w:hint="eastAsia"/>
          <w:b w:val="0"/>
          <w:bCs w:val="0"/>
          <w:sz w:val="28"/>
          <w:szCs w:val="28"/>
          <w:lang w:eastAsia="zh-CN"/>
        </w:rPr>
        <w:t>0.00</w:t>
      </w:r>
      <w:r>
        <w:rPr>
          <w:rFonts w:hint="eastAsia"/>
          <w:sz w:val="28"/>
          <w:szCs w:val="28"/>
        </w:rPr>
        <w:t>万元，</w:t>
      </w:r>
      <w:r>
        <w:rPr>
          <w:rFonts w:hint="eastAsia"/>
          <w:b w:val="0"/>
          <w:bCs w:val="0"/>
          <w:sz w:val="28"/>
          <w:szCs w:val="28"/>
          <w:lang w:eastAsia="zh-CN"/>
        </w:rPr>
        <w:t>增加0.00</w:t>
      </w:r>
      <w:r>
        <w:rPr>
          <w:rFonts w:hint="eastAsia"/>
          <w:sz w:val="28"/>
          <w:szCs w:val="28"/>
        </w:rPr>
        <w:t>万元，</w:t>
      </w:r>
      <w:r>
        <w:rPr>
          <w:rFonts w:hint="eastAsia"/>
          <w:b w:val="0"/>
          <w:bCs w:val="0"/>
          <w:sz w:val="28"/>
          <w:szCs w:val="28"/>
          <w:lang w:eastAsia="zh-CN"/>
        </w:rPr>
        <w:t>增长0%</w:t>
      </w:r>
      <w:r>
        <w:rPr>
          <w:rFonts w:hint="eastAsia"/>
          <w:sz w:val="28"/>
          <w:szCs w:val="28"/>
        </w:rPr>
        <w:t>，主要原因是</w:t>
      </w:r>
      <w:r>
        <w:rPr>
          <w:rFonts w:hint="eastAsia"/>
          <w:sz w:val="28"/>
          <w:szCs w:val="28"/>
          <w:highlight w:val="none"/>
          <w:lang w:val="en-US" w:eastAsia="zh-CN"/>
        </w:rPr>
        <w:t>2024年我单位无政府性基金预算</w:t>
      </w:r>
      <w:r>
        <w:rPr>
          <w:rFonts w:hint="eastAsia"/>
          <w:sz w:val="28"/>
          <w:szCs w:val="28"/>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九</w:t>
      </w:r>
      <w:bookmarkEnd w:id="15"/>
      <w:r>
        <w:rPr>
          <w:rFonts w:hint="eastAsia"/>
          <w:b/>
          <w:bCs/>
          <w:lang w:val="en-US" w:eastAsia="zh-CN"/>
        </w:rPr>
        <w:t>、国有资本经营预算支出情况说明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sz w:val="28"/>
          <w:szCs w:val="28"/>
          <w:lang w:eastAsia="zh-CN"/>
        </w:rPr>
        <w:t>2024</w:t>
      </w:r>
      <w:r>
        <w:rPr>
          <w:rFonts w:hint="eastAsia"/>
          <w:sz w:val="28"/>
          <w:szCs w:val="28"/>
        </w:rPr>
        <w:t>年国有资本经营预算支出共</w:t>
      </w:r>
      <w:r>
        <w:rPr>
          <w:rFonts w:hint="eastAsia"/>
          <w:sz w:val="28"/>
          <w:szCs w:val="28"/>
          <w:lang w:eastAsia="zh-CN"/>
        </w:rPr>
        <w:t>0.00</w:t>
      </w:r>
      <w:r>
        <w:rPr>
          <w:rFonts w:hint="eastAsia"/>
          <w:sz w:val="28"/>
          <w:szCs w:val="28"/>
        </w:rPr>
        <w:t>万元，较2023年度预算数</w:t>
      </w:r>
      <w:r>
        <w:rPr>
          <w:rFonts w:hint="eastAsia"/>
          <w:sz w:val="28"/>
          <w:szCs w:val="28"/>
          <w:lang w:eastAsia="zh-CN"/>
        </w:rPr>
        <w:t>0.00</w:t>
      </w:r>
      <w:r>
        <w:rPr>
          <w:rFonts w:hint="eastAsia"/>
          <w:sz w:val="28"/>
          <w:szCs w:val="28"/>
        </w:rPr>
        <w:t>万元，</w:t>
      </w:r>
      <w:r>
        <w:rPr>
          <w:rFonts w:hint="eastAsia"/>
          <w:sz w:val="28"/>
          <w:szCs w:val="28"/>
          <w:lang w:eastAsia="zh-CN"/>
        </w:rPr>
        <w:t>增加0.00</w:t>
      </w:r>
      <w:r>
        <w:rPr>
          <w:rFonts w:hint="eastAsia"/>
          <w:sz w:val="28"/>
          <w:szCs w:val="28"/>
        </w:rPr>
        <w:t>万元，</w:t>
      </w:r>
      <w:r>
        <w:rPr>
          <w:rFonts w:hint="eastAsia"/>
          <w:sz w:val="28"/>
          <w:szCs w:val="28"/>
          <w:lang w:eastAsia="zh-CN"/>
        </w:rPr>
        <w:t>增长0%</w:t>
      </w:r>
      <w:r>
        <w:rPr>
          <w:rFonts w:hint="eastAsia"/>
          <w:sz w:val="28"/>
          <w:szCs w:val="28"/>
        </w:rPr>
        <w:t>，主要原因是</w:t>
      </w:r>
      <w:r>
        <w:rPr>
          <w:rFonts w:hint="eastAsia"/>
          <w:sz w:val="28"/>
          <w:szCs w:val="28"/>
          <w:lang w:val="en-US" w:eastAsia="zh-CN"/>
        </w:rPr>
        <w:t>本单位2024年部门预算无国有资本经营预算</w:t>
      </w:r>
      <w:r>
        <w:rPr>
          <w:rFonts w:hint="eastAsia"/>
          <w:sz w:val="28"/>
          <w:szCs w:val="28"/>
        </w:rPr>
        <w:t>。</w:t>
      </w:r>
    </w:p>
    <w:p>
      <w:pPr>
        <w:pStyle w:val="8"/>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十、其他重要事项</w:t>
      </w:r>
      <w:r>
        <w:rPr>
          <w:rFonts w:hint="eastAsia"/>
          <w:b/>
          <w:bCs/>
          <w:lang w:val="en-US" w:eastAsia="zh-CN"/>
        </w:rPr>
        <w:t>情况</w:t>
      </w:r>
      <w:r>
        <w:rPr>
          <w:b/>
          <w:bCs/>
        </w:rPr>
        <w:t>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（一）机关运行经费安排情况说明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年本部门机关运行经费预算</w:t>
      </w:r>
      <w:r>
        <w:rPr>
          <w:rFonts w:hint="eastAsia" w:ascii="宋体" w:hAnsi="宋体" w:eastAsia="宋体" w:cs="宋体"/>
          <w:sz w:val="28"/>
          <w:szCs w:val="28"/>
          <w:lang w:val="en-US" w:eastAsia="zh-CN"/>
        </w:rPr>
        <w:t>63.06</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71.52</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减少8.46</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下降11.83%</w:t>
      </w:r>
      <w:r>
        <w:rPr>
          <w:rFonts w:hint="eastAsia" w:ascii="宋体" w:hAnsi="宋体" w:eastAsia="宋体" w:cs="宋体"/>
          <w:sz w:val="28"/>
          <w:szCs w:val="28"/>
          <w:lang w:eastAsia="zh-CN"/>
        </w:rPr>
        <w:t>，主要原因是：</w:t>
      </w:r>
      <w:r>
        <w:rPr>
          <w:rFonts w:hint="eastAsia" w:ascii="宋体" w:hAnsi="宋体" w:eastAsia="宋体" w:cs="宋体"/>
          <w:sz w:val="28"/>
          <w:szCs w:val="28"/>
          <w:lang w:val="en-US" w:eastAsia="zh-CN"/>
        </w:rPr>
        <w:t>2024年单位日常运行维护支出减少</w:t>
      </w:r>
      <w:r>
        <w:rPr>
          <w:rFonts w:hint="eastAsia" w:ascii="宋体" w:hAnsi="宋体" w:eastAsia="宋体" w:cs="宋体"/>
          <w:sz w:val="28"/>
          <w:szCs w:val="28"/>
          <w:lang w:eastAsia="zh-CN"/>
        </w:rPr>
        <w:t>。</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（二）政府采购预算安排情况说明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ascii="宋体" w:hAnsi="宋体" w:eastAsia="宋体" w:cs="宋体"/>
          <w:sz w:val="28"/>
          <w:szCs w:val="28"/>
          <w:lang w:val="en-US" w:eastAsia="zh-CN"/>
        </w:rPr>
        <w:t>10.93万元</w:t>
      </w:r>
      <w:r>
        <w:rPr>
          <w:rFonts w:hint="eastAsia" w:ascii="宋体" w:hAnsi="宋体" w:eastAsia="宋体" w:cs="宋体"/>
          <w:sz w:val="28"/>
          <w:szCs w:val="28"/>
          <w:lang w:eastAsia="zh-CN"/>
        </w:rPr>
        <w:t>万元。其中：货物类采购</w:t>
      </w:r>
      <w:r>
        <w:rPr>
          <w:rFonts w:hint="eastAsia" w:ascii="宋体" w:hAnsi="宋体" w:eastAsia="宋体" w:cs="宋体"/>
          <w:sz w:val="28"/>
          <w:szCs w:val="28"/>
          <w:lang w:val="en-US" w:eastAsia="zh-CN"/>
        </w:rPr>
        <w:t>7.93万元</w:t>
      </w:r>
      <w:r>
        <w:rPr>
          <w:rFonts w:hint="eastAsia" w:ascii="宋体" w:hAnsi="宋体" w:eastAsia="宋体" w:cs="宋体"/>
          <w:sz w:val="28"/>
          <w:szCs w:val="28"/>
          <w:lang w:eastAsia="zh-CN"/>
        </w:rPr>
        <w:t>万元、工程类采购</w:t>
      </w:r>
      <w:r>
        <w:rPr>
          <w:rFonts w:hint="eastAsia" w:ascii="宋体" w:hAnsi="宋体" w:eastAsia="宋体" w:cs="宋体"/>
          <w:sz w:val="28"/>
          <w:szCs w:val="28"/>
          <w:lang w:val="en-US" w:eastAsia="zh-CN"/>
        </w:rPr>
        <w:t>0元</w:t>
      </w:r>
      <w:r>
        <w:rPr>
          <w:rFonts w:hint="eastAsia" w:ascii="宋体" w:hAnsi="宋体" w:eastAsia="宋体" w:cs="宋体"/>
          <w:sz w:val="28"/>
          <w:szCs w:val="28"/>
          <w:lang w:eastAsia="zh-CN"/>
        </w:rPr>
        <w:t>万元、服务类采购</w:t>
      </w:r>
      <w:r>
        <w:rPr>
          <w:rFonts w:hint="eastAsia" w:ascii="宋体" w:hAnsi="宋体" w:eastAsia="宋体" w:cs="宋体"/>
          <w:sz w:val="28"/>
          <w:szCs w:val="28"/>
          <w:lang w:val="en-US" w:eastAsia="zh-CN"/>
        </w:rPr>
        <w:t>3万</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主要用于：公务运行、印刷服务等开支</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（三）国有资产占用情况说明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sz w:val="28"/>
          <w:szCs w:val="28"/>
          <w:highlight w:val="none"/>
          <w:lang w:val="en-US" w:eastAsia="zh-CN"/>
        </w:rPr>
        <w:t>3</w:t>
      </w:r>
      <w:r>
        <w:rPr>
          <w:rFonts w:hint="eastAsia" w:ascii="宋体" w:hAnsi="宋体" w:eastAsia="宋体" w:cs="宋体"/>
          <w:sz w:val="28"/>
          <w:szCs w:val="28"/>
          <w:lang w:eastAsia="zh-CN"/>
        </w:rPr>
        <w:t>辆，其中，应急机要通信用车</w:t>
      </w:r>
      <w:r>
        <w:rPr>
          <w:rFonts w:hint="eastAsia"/>
          <w:sz w:val="28"/>
          <w:szCs w:val="28"/>
          <w:highlight w:val="none"/>
          <w:lang w:val="en-US" w:eastAsia="zh-CN"/>
        </w:rPr>
        <w:t>0</w:t>
      </w:r>
      <w:r>
        <w:rPr>
          <w:rFonts w:hint="eastAsia" w:ascii="宋体" w:hAnsi="宋体" w:eastAsia="宋体" w:cs="宋体"/>
          <w:sz w:val="28"/>
          <w:szCs w:val="28"/>
          <w:lang w:eastAsia="zh-CN"/>
        </w:rPr>
        <w:t>辆、一般执法执勤用车</w:t>
      </w:r>
      <w:r>
        <w:rPr>
          <w:rFonts w:hint="eastAsia"/>
          <w:sz w:val="28"/>
          <w:szCs w:val="28"/>
          <w:highlight w:val="none"/>
          <w:lang w:val="en-US" w:eastAsia="zh-CN"/>
        </w:rPr>
        <w:t>0</w:t>
      </w:r>
      <w:r>
        <w:rPr>
          <w:rFonts w:hint="eastAsia" w:ascii="宋体" w:hAnsi="宋体" w:eastAsia="宋体" w:cs="宋体"/>
          <w:sz w:val="28"/>
          <w:szCs w:val="28"/>
          <w:lang w:eastAsia="zh-CN"/>
        </w:rPr>
        <w:t>辆、特种专业技术用车</w:t>
      </w:r>
      <w:r>
        <w:rPr>
          <w:rFonts w:hint="eastAsia"/>
          <w:sz w:val="28"/>
          <w:szCs w:val="28"/>
          <w:highlight w:val="none"/>
          <w:lang w:val="en-US" w:eastAsia="zh-CN"/>
        </w:rPr>
        <w:t>0</w:t>
      </w:r>
      <w:r>
        <w:rPr>
          <w:rFonts w:hint="eastAsia" w:ascii="宋体" w:hAnsi="宋体" w:eastAsia="宋体" w:cs="宋体"/>
          <w:sz w:val="28"/>
          <w:szCs w:val="28"/>
          <w:lang w:eastAsia="zh-CN"/>
        </w:rPr>
        <w:t>辆、其他用车</w:t>
      </w:r>
      <w:r>
        <w:rPr>
          <w:rFonts w:hint="eastAsia"/>
          <w:sz w:val="28"/>
          <w:szCs w:val="28"/>
          <w:highlight w:val="none"/>
          <w:lang w:val="en-US" w:eastAsia="zh-CN"/>
        </w:rPr>
        <w:t>3</w:t>
      </w:r>
      <w:r>
        <w:rPr>
          <w:rFonts w:hint="eastAsia" w:ascii="宋体" w:hAnsi="宋体" w:eastAsia="宋体" w:cs="宋体"/>
          <w:sz w:val="28"/>
          <w:szCs w:val="28"/>
          <w:lang w:eastAsia="zh-CN"/>
        </w:rPr>
        <w:t>辆，单位价值200万元以上大型设备</w:t>
      </w:r>
      <w:r>
        <w:rPr>
          <w:rFonts w:hint="eastAsia"/>
          <w:sz w:val="28"/>
          <w:szCs w:val="28"/>
          <w:highlight w:val="none"/>
          <w:lang w:val="en-US" w:eastAsia="zh-CN"/>
        </w:rPr>
        <w:t>0</w:t>
      </w:r>
      <w:r>
        <w:rPr>
          <w:rFonts w:hint="eastAsia" w:ascii="宋体" w:hAnsi="宋体" w:eastAsia="宋体" w:cs="宋体"/>
          <w:sz w:val="28"/>
          <w:szCs w:val="28"/>
          <w:lang w:eastAsia="zh-CN"/>
        </w:rPr>
        <w:t>台（套）。</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（四）预算绩效目标情况说明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sz w:val="28"/>
          <w:szCs w:val="28"/>
          <w:highlight w:val="none"/>
          <w:lang w:val="en-US" w:eastAsia="zh-CN"/>
        </w:rPr>
        <w:t>31</w:t>
      </w:r>
      <w:r>
        <w:rPr>
          <w:rFonts w:hint="eastAsia" w:ascii="宋体" w:hAnsi="宋体" w:eastAsia="宋体" w:cs="宋体"/>
          <w:sz w:val="28"/>
          <w:szCs w:val="28"/>
          <w:lang w:eastAsia="zh-CN"/>
        </w:rPr>
        <w:t>个，预算资金</w:t>
      </w:r>
      <w:r>
        <w:rPr>
          <w:rFonts w:hint="eastAsia"/>
          <w:sz w:val="28"/>
          <w:szCs w:val="28"/>
          <w:highlight w:val="none"/>
          <w:lang w:val="en-US" w:eastAsia="zh-CN"/>
        </w:rPr>
        <w:t>419.06</w:t>
      </w:r>
      <w:r>
        <w:rPr>
          <w:rFonts w:hint="eastAsia" w:ascii="宋体" w:hAnsi="宋体" w:eastAsia="宋体" w:cs="宋体"/>
          <w:sz w:val="28"/>
          <w:szCs w:val="28"/>
          <w:lang w:eastAsia="zh-CN"/>
        </w:rPr>
        <w:t>万元。绩效目标情况详见报表（日常运转类项目、工资类人员经费项目和涉密项目等除外）。</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重点项目为：一、农村公路养护资金：1、涉及思恩镇辖区至少2条公路的日常维护，保障交通的正常有序。2、方便我镇10个村的群众的日常出行，一定程度上减少交通事故的发生。3、提高群众满意度至90％以上；</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二、新时代文明实践中心建设项目：通过对全村农户实行积分评定，农户使用积分在“爱心超市”兑现实物的形式，引导树立勤劳致富、勤俭持家、敬老爱幼、诚信友善思想，通过自身努力创造美好生活。受益农户905户</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三、农村乡村道路“三项工程”资金：道路提升保障群众出行安全，改善农村人居环境，缩短群众出行时间，受益群众328户1048人，其中脱贫户42户132人；3280人。提高群众满意度至98％以上；</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四、2024年武装、征兵及民兵预备役工作经费：武装、征兵及民兵预备役工作项目经费目标。1、经费100％保障了人民武装工作开展。2、高标准，高质量完成民兵训练任务数，提高了民兵思想素质和军事技能。3、按照时间节点，完成新兵征集任务，为部队输送高素质兵源。</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五、2024年预防青少年违法犯罪工作经费：预防青少年违法犯罪工作经费总体目标。1、完成预防青少年违法犯罪各项工作目标任务，开展上级下达预防青少年违法犯罪工作及法治宣传活动2次，2、法治宣传知识覆盖我镇12个村，不断提高预防青少年违法犯罪的整体水平，综合提升青少年法治意识。</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六、2024年乡镇应急工作经费：目标1：多形式在学校、卫生院、农贸市场等人员密集地点普遍开展紧急避险、防灾、疫情、减灾宣传教育开展宣传工作10次以上，向全乡群众普及应急管理知识和各类灾害事故防范应对技能，提升群众应急能力。2：做好各类应急培训演练6次，提升应急队伍应急能力，增强对突发事件的处置能力。3：做好安全生产、防汛抗旱、地质灾害防御、森林防灭火、消防、灾情管理等必需的专用物料、器材、工具、帐篷等物资的储备，确保应急的物资保障。</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p>
    <w:p>
      <w:pPr>
        <w:pStyle w:val="9"/>
        <w:spacing w:line="624" w:lineRule="exact"/>
        <w:ind w:firstLine="600"/>
        <w:jc w:val="left"/>
        <w:rPr>
          <w:rFonts w:hint="eastAsia"/>
          <w:sz w:val="28"/>
          <w:szCs w:val="28"/>
          <w:highlight w:val="none"/>
          <w:lang w:val="en-US" w:eastAsia="zh-CN"/>
        </w:rPr>
      </w:pPr>
    </w:p>
    <w:p>
      <w:pPr>
        <w:pStyle w:val="9"/>
        <w:spacing w:line="624" w:lineRule="exact"/>
        <w:jc w:val="left"/>
        <w:rPr>
          <w:rFonts w:hint="default"/>
          <w:sz w:val="28"/>
          <w:szCs w:val="28"/>
          <w:highlight w:val="none"/>
          <w:lang w:val="en-US" w:eastAsia="zh-CN"/>
        </w:rPr>
        <w:sectPr>
          <w:headerReference r:id="rId4" w:type="default"/>
          <w:footerReference r:id="rId5" w:type="default"/>
          <w:pgSz w:w="11900" w:h="16840"/>
          <w:pgMar w:top="1440" w:right="1800" w:bottom="1440" w:left="1800" w:header="0" w:footer="1077" w:gutter="0"/>
          <w:pgBorders>
            <w:top w:val="none" w:sz="0" w:space="0"/>
            <w:left w:val="none" w:sz="0" w:space="0"/>
            <w:bottom w:val="none" w:sz="0" w:space="0"/>
            <w:right w:val="none" w:sz="0" w:space="0"/>
          </w:pgBorders>
          <w:pgNumType w:fmt="decimal"/>
          <w:cols w:space="720" w:num="1"/>
          <w:docGrid w:linePitch="360" w:charSpace="0"/>
        </w:sectPr>
      </w:pPr>
    </w:p>
    <w:bookmarkEnd w:id="10"/>
    <w:bookmarkEnd w:id="11"/>
    <w:bookmarkEnd w:id="12"/>
    <w:p>
      <w:pPr>
        <w:pStyle w:val="7"/>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环江毛南族自治县思恩镇人民政府</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11"/>
        <w:keepNext/>
        <w:keepLines/>
        <w:spacing w:after="240"/>
        <w:jc w:val="center"/>
        <w:rPr>
          <w:b/>
          <w:bCs/>
        </w:rPr>
      </w:pPr>
      <w:bookmarkStart w:id="16" w:name="bookmark29"/>
      <w:bookmarkStart w:id="17" w:name="bookmark30"/>
      <w:bookmarkStart w:id="18" w:name="bookmark31"/>
      <w:r>
        <w:rPr>
          <w:b/>
          <w:bCs/>
        </w:rPr>
        <w:t>收支总体情况表</w:t>
      </w:r>
      <w:bookmarkEnd w:id="16"/>
      <w:bookmarkEnd w:id="17"/>
      <w:bookmarkEnd w:id="18"/>
    </w:p>
    <w:tbl>
      <w:tblPr>
        <w:tblStyle w:val="3"/>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12"/>
              <w:spacing w:line="240" w:lineRule="auto"/>
              <w:ind w:firstLine="0"/>
              <w:jc w:val="left"/>
              <w:rPr>
                <w:sz w:val="17"/>
                <w:szCs w:val="17"/>
              </w:rPr>
            </w:pPr>
            <w:r>
              <w:rPr>
                <w:sz w:val="17"/>
                <w:szCs w:val="17"/>
              </w:rPr>
              <w:t>单位名称：</w:t>
            </w:r>
            <w:r>
              <w:rPr>
                <w:rFonts w:hint="eastAsia"/>
                <w:sz w:val="17"/>
                <w:szCs w:val="17"/>
                <w:lang w:eastAsia="zh-CN"/>
              </w:rPr>
              <w:t>环江毛南族自治县思恩镇人民政府</w:t>
            </w:r>
          </w:p>
        </w:tc>
        <w:tc>
          <w:tcPr>
            <w:tcW w:w="3571" w:type="dxa"/>
            <w:tcBorders>
              <w:bottom w:val="single" w:color="auto" w:sz="4" w:space="0"/>
            </w:tcBorders>
            <w:shd w:val="clear" w:color="auto" w:fill="FFFFFF"/>
          </w:tcPr>
          <w:p>
            <w:pPr>
              <w:pStyle w:val="12"/>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933.28</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818.66</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933.28</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65.54</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28.27</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80.08</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205.48</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53.31</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933.28</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1252.34</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319.06</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1252.34</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1252.34</w:t>
            </w:r>
          </w:p>
        </w:tc>
      </w:tr>
    </w:tbl>
    <w:p>
      <w:pPr>
        <w:pStyle w:val="13"/>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1474" w:gutter="0"/>
          <w:pgBorders>
            <w:top w:val="none" w:sz="0" w:space="0"/>
            <w:left w:val="none" w:sz="0" w:space="0"/>
            <w:bottom w:val="none" w:sz="0" w:space="0"/>
            <w:right w:val="none" w:sz="0" w:space="0"/>
          </w:pgBorders>
          <w:pgNumType w:fmt="decimal"/>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b/>
          <w:bCs/>
          <w:lang w:val="en-US" w:eastAsia="zh-CN"/>
        </w:rPr>
      </w:pPr>
      <w:r>
        <w:rPr>
          <w:rFonts w:hint="eastAsia" w:eastAsia="宋体"/>
          <w:b/>
          <w:bCs/>
          <w:lang w:val="en-US" w:eastAsia="zh-CN"/>
        </w:rPr>
        <w:t>收入总体情况表</w:t>
      </w:r>
    </w:p>
    <w:p>
      <w:pPr>
        <w:tabs>
          <w:tab w:val="left" w:pos="859"/>
        </w:tabs>
        <w:jc w:val="center"/>
        <w:rPr>
          <w:rFonts w:hint="eastAsia" w:eastAsia="宋体"/>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13"/>
              <w:jc w:val="both"/>
              <w:rPr>
                <w:rFonts w:hint="eastAsia"/>
                <w:lang w:val="en-US" w:eastAsia="zh-CN"/>
              </w:rPr>
            </w:pPr>
            <w:r>
              <w:rPr>
                <w:sz w:val="17"/>
                <w:szCs w:val="17"/>
              </w:rPr>
              <w:t>单位名称：</w:t>
            </w:r>
            <w:r>
              <w:rPr>
                <w:rFonts w:hint="eastAsia"/>
                <w:sz w:val="17"/>
                <w:szCs w:val="17"/>
                <w:lang w:eastAsia="zh-CN"/>
              </w:rPr>
              <w:t>环江毛南族自治县思恩镇人民政府</w:t>
            </w:r>
          </w:p>
        </w:tc>
        <w:tc>
          <w:tcPr>
            <w:tcW w:w="2076" w:type="dxa"/>
            <w:gridSpan w:val="3"/>
            <w:tcBorders>
              <w:top w:val="nil"/>
              <w:left w:val="nil"/>
              <w:right w:val="nil"/>
            </w:tcBorders>
          </w:tcPr>
          <w:p>
            <w:pPr>
              <w:pStyle w:val="13"/>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vAlign w:val="center"/>
          </w:tcPr>
          <w:p>
            <w:pPr>
              <w:tabs>
                <w:tab w:val="left" w:pos="859"/>
              </w:tabs>
              <w:jc w:val="center"/>
              <w:rPr>
                <w:rFonts w:hint="eastAsia" w:eastAsia="宋体"/>
                <w:vertAlign w:val="baseline"/>
                <w:lang w:val="en-US" w:eastAsia="zh-CN"/>
              </w:rPr>
            </w:pPr>
            <w:r>
              <w:rPr>
                <w:sz w:val="17"/>
                <w:szCs w:val="17"/>
              </w:rPr>
              <w:t>部门（单位）代码</w:t>
            </w:r>
          </w:p>
        </w:tc>
        <w:tc>
          <w:tcPr>
            <w:tcW w:w="1279" w:type="dxa"/>
            <w:vMerge w:val="restart"/>
            <w:vAlign w:val="center"/>
          </w:tcPr>
          <w:p>
            <w:pPr>
              <w:tabs>
                <w:tab w:val="left" w:pos="859"/>
              </w:tabs>
              <w:jc w:val="center"/>
              <w:rPr>
                <w:rFonts w:hint="eastAsia" w:eastAsia="宋体"/>
                <w:vertAlign w:val="baseline"/>
                <w:lang w:val="en-US" w:eastAsia="zh-CN"/>
              </w:rPr>
            </w:pPr>
            <w:r>
              <w:rPr>
                <w:sz w:val="17"/>
                <w:szCs w:val="17"/>
              </w:rPr>
              <w:t>部门（单位）名称</w:t>
            </w:r>
          </w:p>
        </w:tc>
        <w:tc>
          <w:tcPr>
            <w:tcW w:w="990" w:type="dxa"/>
            <w:vMerge w:val="restart"/>
            <w:vAlign w:val="center"/>
          </w:tcPr>
          <w:p>
            <w:pPr>
              <w:pStyle w:val="12"/>
              <w:spacing w:line="240" w:lineRule="auto"/>
              <w:ind w:left="0" w:leftChars="0" w:firstLine="0" w:firstLineChars="0"/>
              <w:jc w:val="center"/>
              <w:rPr>
                <w:rFonts w:hint="eastAsia" w:eastAsia="宋体"/>
                <w:vertAlign w:val="baseline"/>
                <w:lang w:val="en-US" w:eastAsia="zh-CN"/>
              </w:rPr>
            </w:pPr>
            <w:r>
              <w:rPr>
                <w:rFonts w:hint="eastAsia"/>
                <w:sz w:val="17"/>
                <w:szCs w:val="17"/>
                <w:lang w:val="en-US" w:eastAsia="zh-CN"/>
              </w:rPr>
              <w:t>合</w:t>
            </w:r>
            <w:r>
              <w:rPr>
                <w:sz w:val="17"/>
                <w:szCs w:val="17"/>
              </w:rPr>
              <w:t>计</w:t>
            </w:r>
          </w:p>
        </w:tc>
        <w:tc>
          <w:tcPr>
            <w:tcW w:w="5843" w:type="dxa"/>
            <w:gridSpan w:val="6"/>
          </w:tcPr>
          <w:p>
            <w:pPr>
              <w:tabs>
                <w:tab w:val="left" w:pos="859"/>
              </w:tabs>
              <w:jc w:val="center"/>
              <w:rPr>
                <w:rFonts w:hint="eastAsia" w:eastAsia="宋体"/>
                <w:vertAlign w:val="baseline"/>
                <w:lang w:val="en-US" w:eastAsia="zh-CN"/>
              </w:rPr>
            </w:pPr>
            <w:r>
              <w:rPr>
                <w:sz w:val="17"/>
                <w:szCs w:val="17"/>
              </w:rPr>
              <w:t>本年收入</w:t>
            </w:r>
          </w:p>
        </w:tc>
        <w:tc>
          <w:tcPr>
            <w:tcW w:w="5809" w:type="dxa"/>
            <w:gridSpan w:val="7"/>
          </w:tcPr>
          <w:p>
            <w:pPr>
              <w:tabs>
                <w:tab w:val="left" w:pos="859"/>
              </w:tabs>
              <w:jc w:val="center"/>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center"/>
              <w:rPr>
                <w:rFonts w:hint="eastAsia" w:eastAsia="宋体"/>
                <w:vertAlign w:val="baseline"/>
                <w:lang w:val="en-US" w:eastAsia="zh-CN"/>
              </w:rPr>
            </w:pPr>
          </w:p>
        </w:tc>
        <w:tc>
          <w:tcPr>
            <w:tcW w:w="1279" w:type="dxa"/>
            <w:vMerge w:val="continue"/>
          </w:tcPr>
          <w:p>
            <w:pPr>
              <w:tabs>
                <w:tab w:val="left" w:pos="859"/>
              </w:tabs>
              <w:jc w:val="center"/>
              <w:rPr>
                <w:rFonts w:hint="eastAsia" w:eastAsia="宋体"/>
                <w:vertAlign w:val="baseline"/>
                <w:lang w:val="en-US" w:eastAsia="zh-CN"/>
              </w:rPr>
            </w:pPr>
          </w:p>
        </w:tc>
        <w:tc>
          <w:tcPr>
            <w:tcW w:w="990" w:type="dxa"/>
            <w:vMerge w:val="continue"/>
            <w:vAlign w:val="center"/>
          </w:tcPr>
          <w:p>
            <w:pPr>
              <w:pStyle w:val="12"/>
              <w:spacing w:line="240" w:lineRule="auto"/>
              <w:ind w:firstLine="300" w:firstLineChars="0"/>
              <w:jc w:val="center"/>
              <w:rPr>
                <w:rFonts w:hint="eastAsia" w:eastAsia="宋体"/>
                <w:vertAlign w:val="baseline"/>
                <w:lang w:val="en-US" w:eastAsia="zh-CN"/>
              </w:rPr>
            </w:pPr>
          </w:p>
        </w:tc>
        <w:tc>
          <w:tcPr>
            <w:tcW w:w="926" w:type="dxa"/>
            <w:vAlign w:val="center"/>
          </w:tcPr>
          <w:p>
            <w:pPr>
              <w:pStyle w:val="12"/>
              <w:spacing w:line="240" w:lineRule="auto"/>
              <w:ind w:firstLine="300" w:firstLineChars="0"/>
              <w:jc w:val="center"/>
              <w:rPr>
                <w:rFonts w:hint="eastAsia" w:eastAsia="宋体"/>
                <w:vertAlign w:val="baseline"/>
                <w:lang w:val="en-US" w:eastAsia="zh-CN"/>
              </w:rPr>
            </w:pPr>
            <w:r>
              <w:rPr>
                <w:sz w:val="17"/>
                <w:szCs w:val="17"/>
              </w:rPr>
              <w:t>小计</w:t>
            </w:r>
          </w:p>
        </w:tc>
        <w:tc>
          <w:tcPr>
            <w:tcW w:w="909" w:type="dxa"/>
            <w:vAlign w:val="center"/>
          </w:tcPr>
          <w:p>
            <w:pPr>
              <w:pStyle w:val="12"/>
              <w:spacing w:line="317" w:lineRule="exact"/>
              <w:ind w:firstLine="0" w:firstLineChars="0"/>
              <w:jc w:val="center"/>
              <w:rPr>
                <w:rFonts w:hint="eastAsia" w:eastAsia="宋体"/>
                <w:vertAlign w:val="baseline"/>
                <w:lang w:val="en-US" w:eastAsia="zh-CN"/>
              </w:rPr>
            </w:pPr>
            <w:r>
              <w:rPr>
                <w:sz w:val="17"/>
                <w:szCs w:val="17"/>
              </w:rPr>
              <w:t>一般公共预算</w:t>
            </w:r>
          </w:p>
        </w:tc>
        <w:tc>
          <w:tcPr>
            <w:tcW w:w="968" w:type="dxa"/>
            <w:vAlign w:val="center"/>
          </w:tcPr>
          <w:p>
            <w:pPr>
              <w:pStyle w:val="12"/>
              <w:spacing w:line="317" w:lineRule="exact"/>
              <w:ind w:firstLine="0" w:firstLineChars="0"/>
              <w:jc w:val="center"/>
              <w:rPr>
                <w:rFonts w:hint="eastAsia" w:eastAsia="宋体"/>
                <w:vertAlign w:val="baseline"/>
                <w:lang w:val="en-US" w:eastAsia="zh-CN"/>
              </w:rPr>
            </w:pPr>
            <w:r>
              <w:rPr>
                <w:sz w:val="17"/>
                <w:szCs w:val="17"/>
              </w:rPr>
              <w:t>政府性基金预算</w:t>
            </w:r>
          </w:p>
        </w:tc>
        <w:tc>
          <w:tcPr>
            <w:tcW w:w="990" w:type="dxa"/>
            <w:vAlign w:val="center"/>
          </w:tcPr>
          <w:p>
            <w:pPr>
              <w:pStyle w:val="12"/>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1078" w:type="dxa"/>
          </w:tcPr>
          <w:p>
            <w:pPr>
              <w:pStyle w:val="12"/>
              <w:spacing w:line="312" w:lineRule="exact"/>
              <w:ind w:firstLine="0"/>
              <w:jc w:val="center"/>
              <w:rPr>
                <w:sz w:val="17"/>
                <w:szCs w:val="17"/>
              </w:rPr>
            </w:pPr>
            <w:r>
              <w:rPr>
                <w:sz w:val="17"/>
                <w:szCs w:val="17"/>
              </w:rPr>
              <w:t>财政专户管理资金</w:t>
            </w:r>
          </w:p>
          <w:p>
            <w:pPr>
              <w:pStyle w:val="12"/>
              <w:spacing w:line="312" w:lineRule="exact"/>
              <w:ind w:firstLine="0" w:firstLineChars="0"/>
              <w:jc w:val="center"/>
              <w:rPr>
                <w:rFonts w:hint="eastAsia" w:eastAsia="宋体"/>
                <w:vertAlign w:val="baseline"/>
                <w:lang w:val="en-US" w:eastAsia="zh-CN"/>
              </w:rPr>
            </w:pPr>
            <w:r>
              <w:rPr>
                <w:sz w:val="17"/>
                <w:szCs w:val="17"/>
              </w:rPr>
              <w:t>收入</w:t>
            </w:r>
          </w:p>
        </w:tc>
        <w:tc>
          <w:tcPr>
            <w:tcW w:w="972" w:type="dxa"/>
            <w:vAlign w:val="center"/>
          </w:tcPr>
          <w:p>
            <w:pPr>
              <w:pStyle w:val="12"/>
              <w:spacing w:line="240" w:lineRule="auto"/>
              <w:ind w:firstLine="0" w:firstLineChars="0"/>
              <w:jc w:val="center"/>
              <w:rPr>
                <w:rFonts w:hint="eastAsia" w:eastAsia="宋体"/>
                <w:vertAlign w:val="baseline"/>
                <w:lang w:val="en-US" w:eastAsia="zh-CN"/>
              </w:rPr>
            </w:pPr>
            <w:r>
              <w:rPr>
                <w:sz w:val="17"/>
                <w:szCs w:val="17"/>
              </w:rPr>
              <w:t>单位资金</w:t>
            </w:r>
          </w:p>
        </w:tc>
        <w:tc>
          <w:tcPr>
            <w:tcW w:w="919" w:type="dxa"/>
            <w:vAlign w:val="center"/>
          </w:tcPr>
          <w:p>
            <w:pPr>
              <w:pStyle w:val="12"/>
              <w:spacing w:line="240" w:lineRule="auto"/>
              <w:ind w:firstLine="300" w:firstLineChars="0"/>
              <w:jc w:val="center"/>
              <w:rPr>
                <w:rFonts w:hint="eastAsia" w:eastAsia="宋体"/>
                <w:vertAlign w:val="baseline"/>
                <w:lang w:val="en-US" w:eastAsia="zh-CN"/>
              </w:rPr>
            </w:pPr>
            <w:r>
              <w:rPr>
                <w:sz w:val="17"/>
                <w:szCs w:val="17"/>
              </w:rPr>
              <w:t>小计</w:t>
            </w:r>
          </w:p>
        </w:tc>
        <w:tc>
          <w:tcPr>
            <w:tcW w:w="1011" w:type="dxa"/>
            <w:vAlign w:val="center"/>
          </w:tcPr>
          <w:p>
            <w:pPr>
              <w:pStyle w:val="12"/>
              <w:spacing w:line="317" w:lineRule="exact"/>
              <w:ind w:firstLine="0" w:firstLineChars="0"/>
              <w:jc w:val="center"/>
              <w:rPr>
                <w:rFonts w:hint="eastAsia" w:eastAsia="宋体"/>
                <w:vertAlign w:val="baseline"/>
                <w:lang w:val="en-US" w:eastAsia="zh-CN"/>
              </w:rPr>
            </w:pPr>
            <w:r>
              <w:rPr>
                <w:sz w:val="17"/>
                <w:szCs w:val="17"/>
              </w:rPr>
              <w:t>一般公共预算</w:t>
            </w:r>
          </w:p>
        </w:tc>
        <w:tc>
          <w:tcPr>
            <w:tcW w:w="859" w:type="dxa"/>
            <w:vAlign w:val="center"/>
          </w:tcPr>
          <w:p>
            <w:pPr>
              <w:pStyle w:val="12"/>
              <w:spacing w:line="317" w:lineRule="exact"/>
              <w:ind w:firstLine="0" w:firstLineChars="0"/>
              <w:jc w:val="center"/>
              <w:rPr>
                <w:rFonts w:hint="eastAsia" w:eastAsia="宋体"/>
                <w:vertAlign w:val="baseline"/>
                <w:lang w:val="en-US" w:eastAsia="zh-CN"/>
              </w:rPr>
            </w:pPr>
            <w:r>
              <w:rPr>
                <w:sz w:val="17"/>
                <w:szCs w:val="17"/>
              </w:rPr>
              <w:t>政府性基金预算</w:t>
            </w:r>
          </w:p>
        </w:tc>
        <w:tc>
          <w:tcPr>
            <w:tcW w:w="1094" w:type="dxa"/>
            <w:gridSpan w:val="2"/>
            <w:vAlign w:val="center"/>
          </w:tcPr>
          <w:p>
            <w:pPr>
              <w:pStyle w:val="12"/>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937" w:type="dxa"/>
          </w:tcPr>
          <w:p>
            <w:pPr>
              <w:pStyle w:val="12"/>
              <w:spacing w:line="312" w:lineRule="exact"/>
              <w:ind w:firstLine="0"/>
              <w:jc w:val="center"/>
              <w:rPr>
                <w:sz w:val="17"/>
                <w:szCs w:val="17"/>
              </w:rPr>
            </w:pPr>
            <w:r>
              <w:rPr>
                <w:sz w:val="17"/>
                <w:szCs w:val="17"/>
              </w:rPr>
              <w:t>财政专户管理资金</w:t>
            </w:r>
          </w:p>
          <w:p>
            <w:pPr>
              <w:pStyle w:val="12"/>
              <w:spacing w:line="312" w:lineRule="exact"/>
              <w:ind w:right="280" w:rightChars="0" w:firstLine="0" w:firstLineChars="0"/>
              <w:jc w:val="center"/>
              <w:rPr>
                <w:rFonts w:hint="eastAsia" w:eastAsia="宋体"/>
                <w:vertAlign w:val="baseline"/>
                <w:lang w:val="en-US" w:eastAsia="zh-CN"/>
              </w:rPr>
            </w:pPr>
            <w:r>
              <w:rPr>
                <w:sz w:val="17"/>
                <w:szCs w:val="17"/>
              </w:rPr>
              <w:t>收入</w:t>
            </w:r>
          </w:p>
        </w:tc>
        <w:tc>
          <w:tcPr>
            <w:tcW w:w="989" w:type="dxa"/>
            <w:vAlign w:val="center"/>
          </w:tcPr>
          <w:p>
            <w:pPr>
              <w:pStyle w:val="12"/>
              <w:spacing w:line="240" w:lineRule="auto"/>
              <w:ind w:firstLine="140" w:firstLineChars="0"/>
              <w:jc w:val="center"/>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12"/>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12"/>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12"/>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968" w:type="dxa"/>
            <w:vAlign w:val="center"/>
          </w:tcPr>
          <w:p>
            <w:pPr>
              <w:pStyle w:val="12"/>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990" w:type="dxa"/>
            <w:vAlign w:val="center"/>
          </w:tcPr>
          <w:p>
            <w:pPr>
              <w:pStyle w:val="12"/>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1078" w:type="dxa"/>
            <w:vAlign w:val="center"/>
          </w:tcPr>
          <w:p>
            <w:pPr>
              <w:pStyle w:val="12"/>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972" w:type="dxa"/>
            <w:vAlign w:val="center"/>
          </w:tcPr>
          <w:p>
            <w:pPr>
              <w:pStyle w:val="12"/>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919" w:type="dxa"/>
            <w:vAlign w:val="center"/>
          </w:tcPr>
          <w:p>
            <w:pPr>
              <w:pStyle w:val="12"/>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12"/>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12"/>
              <w:spacing w:line="240" w:lineRule="auto"/>
              <w:ind w:right="36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12"/>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937" w:type="dxa"/>
            <w:vAlign w:val="center"/>
          </w:tcPr>
          <w:p>
            <w:pPr>
              <w:pStyle w:val="12"/>
              <w:spacing w:line="240" w:lineRule="auto"/>
              <w:ind w:right="38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989" w:type="dxa"/>
            <w:vAlign w:val="center"/>
          </w:tcPr>
          <w:p>
            <w:pPr>
              <w:pStyle w:val="12"/>
              <w:spacing w:line="240" w:lineRule="auto"/>
              <w:ind w:right="42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12"/>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701001</w:t>
            </w:r>
          </w:p>
        </w:tc>
        <w:tc>
          <w:tcPr>
            <w:tcW w:w="1279" w:type="dxa"/>
          </w:tcPr>
          <w:p>
            <w:pPr>
              <w:pStyle w:val="12"/>
              <w:spacing w:line="326" w:lineRule="exact"/>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环江毛南族自治县思恩镇人民政府</w:t>
            </w:r>
          </w:p>
        </w:tc>
        <w:tc>
          <w:tcPr>
            <w:tcW w:w="990" w:type="dxa"/>
            <w:vAlign w:val="center"/>
          </w:tcPr>
          <w:p>
            <w:pPr>
              <w:pStyle w:val="12"/>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1252.34</w:t>
            </w:r>
          </w:p>
        </w:tc>
        <w:tc>
          <w:tcPr>
            <w:tcW w:w="926" w:type="dxa"/>
            <w:vAlign w:val="center"/>
          </w:tcPr>
          <w:p>
            <w:pPr>
              <w:pStyle w:val="12"/>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933.28</w:t>
            </w:r>
          </w:p>
        </w:tc>
        <w:tc>
          <w:tcPr>
            <w:tcW w:w="909" w:type="dxa"/>
            <w:vAlign w:val="center"/>
          </w:tcPr>
          <w:p>
            <w:pPr>
              <w:pStyle w:val="12"/>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933.28</w:t>
            </w:r>
          </w:p>
        </w:tc>
        <w:tc>
          <w:tcPr>
            <w:tcW w:w="968" w:type="dxa"/>
            <w:vAlign w:val="center"/>
          </w:tcPr>
          <w:p>
            <w:pPr>
              <w:pStyle w:val="12"/>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90" w:type="dxa"/>
            <w:vAlign w:val="center"/>
          </w:tcPr>
          <w:p>
            <w:pPr>
              <w:pStyle w:val="12"/>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78" w:type="dxa"/>
            <w:vAlign w:val="center"/>
          </w:tcPr>
          <w:p>
            <w:pPr>
              <w:pStyle w:val="12"/>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72" w:type="dxa"/>
            <w:vAlign w:val="center"/>
          </w:tcPr>
          <w:p>
            <w:pPr>
              <w:pStyle w:val="12"/>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19"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319.06</w:t>
            </w:r>
          </w:p>
        </w:tc>
        <w:tc>
          <w:tcPr>
            <w:tcW w:w="1011"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319.06</w:t>
            </w:r>
          </w:p>
        </w:tc>
        <w:tc>
          <w:tcPr>
            <w:tcW w:w="859" w:type="dxa"/>
            <w:vAlign w:val="center"/>
          </w:tcPr>
          <w:p>
            <w:pPr>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94" w:type="dxa"/>
            <w:gridSpan w:val="2"/>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37" w:type="dxa"/>
            <w:vAlign w:val="center"/>
          </w:tcPr>
          <w:p>
            <w:pPr>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89"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13"/>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1474" w:gutter="0"/>
          <w:pgBorders>
            <w:top w:val="none" w:sz="0" w:space="0"/>
            <w:left w:val="none" w:sz="0" w:space="0"/>
            <w:bottom w:val="none" w:sz="0" w:space="0"/>
            <w:right w:val="none" w:sz="0" w:space="0"/>
          </w:pgBorders>
          <w:pgNumType w:fmt="decimal"/>
          <w:cols w:space="720" w:num="1"/>
          <w:docGrid w:linePitch="360" w:charSpace="0"/>
        </w:sectPr>
      </w:pPr>
    </w:p>
    <w:p>
      <w:pPr>
        <w:pStyle w:val="11"/>
        <w:keepNext/>
        <w:keepLines/>
        <w:spacing w:after="240"/>
        <w:jc w:val="center"/>
        <w:rPr>
          <w:b/>
          <w:bCs/>
        </w:rPr>
      </w:pPr>
      <w:bookmarkStart w:id="19" w:name="bookmark42"/>
      <w:bookmarkStart w:id="20" w:name="bookmark43"/>
      <w:bookmarkStart w:id="21" w:name="bookmark41"/>
      <w:r>
        <w:rPr>
          <w:b/>
          <w:bCs/>
        </w:rPr>
        <w:t>支出总体情况表</w:t>
      </w:r>
      <w:bookmarkEnd w:id="19"/>
      <w:bookmarkEnd w:id="20"/>
      <w:bookmarkEnd w:id="21"/>
    </w:p>
    <w:tbl>
      <w:tblPr>
        <w:tblStyle w:val="3"/>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12"/>
              <w:spacing w:line="240" w:lineRule="auto"/>
              <w:ind w:firstLine="0"/>
              <w:jc w:val="left"/>
              <w:rPr>
                <w:sz w:val="17"/>
                <w:szCs w:val="17"/>
              </w:rPr>
            </w:pPr>
            <w:r>
              <w:rPr>
                <w:sz w:val="17"/>
                <w:szCs w:val="17"/>
              </w:rPr>
              <w:t>单位名称：</w:t>
            </w:r>
            <w:r>
              <w:rPr>
                <w:rFonts w:hint="eastAsia"/>
                <w:sz w:val="17"/>
                <w:szCs w:val="17"/>
                <w:lang w:eastAsia="zh-CN"/>
              </w:rPr>
              <w:t>环江毛南族自治县思恩镇人民政府</w:t>
            </w:r>
          </w:p>
        </w:tc>
        <w:tc>
          <w:tcPr>
            <w:tcW w:w="2371" w:type="dxa"/>
            <w:shd w:val="clear" w:color="auto" w:fill="FFFFFF"/>
          </w:tcPr>
          <w:p>
            <w:pPr>
              <w:pStyle w:val="12"/>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12"/>
              <w:spacing w:after="120" w:line="240" w:lineRule="auto"/>
              <w:ind w:firstLine="0"/>
              <w:jc w:val="left"/>
              <w:rPr>
                <w:sz w:val="17"/>
                <w:szCs w:val="17"/>
              </w:rPr>
            </w:pPr>
            <w:r>
              <w:rPr>
                <w:sz w:val="17"/>
                <w:szCs w:val="17"/>
              </w:rPr>
              <w:t>部门（单位）名称</w:t>
            </w:r>
          </w:p>
          <w:p>
            <w:pPr>
              <w:pStyle w:val="12"/>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1252.34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833.28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419.06</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701001</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1252.34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833.28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419.06</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2010301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行政运行</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803.37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713.37</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90.00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2010399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其他政府办公厅（室）及相关机构事务支出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10.00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5.29</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5.29</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2079999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其他文化旅游体育与传媒支出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1.00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2080199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其他人力资源和社会保障管理事务支出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2.50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2.50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61.31</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61.31</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2082001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临时救助支出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1.73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1.73</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2110401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生态保护</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28.27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28.27</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2130205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森林资源培育</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40.08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40.08</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2130504</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农村基础设施建设</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40.00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2140104</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公路建设</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203.00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203.00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2140106</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公路养护</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2.48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2.48</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53.31</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53.31</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13"/>
        <w:ind w:left="672"/>
        <w:jc w:val="left"/>
      </w:pPr>
      <w:r>
        <w:t>注：本报表金额单位转换时可能存在四舍五入尾数误差。</w:t>
      </w:r>
      <w:r>
        <w:br w:type="page"/>
      </w:r>
    </w:p>
    <w:p>
      <w:pPr>
        <w:pStyle w:val="11"/>
        <w:keepNext/>
        <w:keepLines/>
        <w:spacing w:after="240"/>
        <w:jc w:val="center"/>
        <w:rPr>
          <w:b/>
          <w:bCs/>
        </w:rPr>
      </w:pPr>
      <w:bookmarkStart w:id="22" w:name="bookmark45"/>
      <w:bookmarkStart w:id="23" w:name="bookmark46"/>
      <w:bookmarkStart w:id="24" w:name="bookmark44"/>
      <w:r>
        <w:rPr>
          <w:b/>
          <w:bCs/>
        </w:rPr>
        <w:t>财政拨款收支总体情况表</w:t>
      </w:r>
      <w:bookmarkEnd w:id="22"/>
      <w:bookmarkEnd w:id="23"/>
      <w:bookmarkEnd w:id="24"/>
    </w:p>
    <w:tbl>
      <w:tblPr>
        <w:tblStyle w:val="3"/>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12"/>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环江毛南族自治县思恩镇人民政府</w:t>
            </w:r>
          </w:p>
        </w:tc>
        <w:tc>
          <w:tcPr>
            <w:tcW w:w="3845" w:type="dxa"/>
            <w:shd w:val="clear" w:color="auto" w:fill="FFFFFF"/>
          </w:tcPr>
          <w:p>
            <w:pPr>
              <w:pStyle w:val="12"/>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12"/>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12"/>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12"/>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12"/>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12"/>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12"/>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12"/>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12"/>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933.28</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818.66</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933.28</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65.54</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28.27</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80.08</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205.48</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53.31</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933.28</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1252.34</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319.06</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1252.34</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1252.34</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b/>
          <w:bCs/>
          <w:lang w:eastAsia="zh-CN"/>
        </w:rPr>
      </w:pPr>
      <w:r>
        <w:rPr>
          <w:rFonts w:hint="eastAsia"/>
          <w:b/>
          <w:bCs/>
          <w:lang w:eastAsia="zh-CN"/>
        </w:rPr>
        <w:t>一般公共预算支出情况表</w:t>
      </w:r>
    </w:p>
    <w:p>
      <w:pPr>
        <w:jc w:val="center"/>
        <w:rPr>
          <w:rFonts w:hint="eastAsia"/>
          <w:lang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1572"/>
        <w:gridCol w:w="1559"/>
        <w:gridCol w:w="1829"/>
        <w:gridCol w:w="2050"/>
        <w:gridCol w:w="1804"/>
        <w:gridCol w:w="1710"/>
        <w:gridCol w:w="70"/>
        <w:gridCol w:w="1678"/>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环江毛南族自治县思恩镇人民政府</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12"/>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12"/>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12"/>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12"/>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12"/>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12"/>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12"/>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12"/>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12"/>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12"/>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p>
        </w:tc>
        <w:tc>
          <w:tcPr>
            <w:tcW w:w="1676"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701001</w:t>
            </w:r>
          </w:p>
        </w:tc>
        <w:tc>
          <w:tcPr>
            <w:tcW w:w="1662" w:type="dxa"/>
            <w:vAlign w:val="center"/>
          </w:tcPr>
          <w:p>
            <w:pPr>
              <w:pStyle w:val="12"/>
              <w:spacing w:line="240" w:lineRule="auto"/>
              <w:ind w:firstLine="0" w:firstLineChars="0"/>
              <w:jc w:val="center"/>
              <w:rPr>
                <w:rFonts w:hint="eastAsia"/>
                <w:vertAlign w:val="baseline"/>
                <w:lang w:eastAsia="zh-CN"/>
              </w:rPr>
            </w:pP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1252.34</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833.28</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770.22</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63.06</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419.06</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2010301</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行政运行</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803.37</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713.37</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655.60</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57.77</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90.00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2010399</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其他政府办公厅（室）及相关机构事务支出</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10.00</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5.29</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5.29</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5.29</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2079999</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其他文化旅游体育与传媒支出</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1.00</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2080199</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其他人力资源和社会保障管理事务支出</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2.50</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2.50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61.31</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61.31</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61.31</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2082001</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临时救助支出</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1.73</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1.73</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2110401</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生态保护</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28.27</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28.27</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2130205</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森林资源培育</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40.08</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40.08</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2130504</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农村基础设施建设</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40.00</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2140104</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公路建设</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203.00</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203.00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2140106</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公路养护</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2.48</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2.48</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53.31</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53.31</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53.31</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11"/>
        <w:keepNext/>
        <w:keepLines/>
        <w:spacing w:after="240"/>
        <w:jc w:val="center"/>
        <w:rPr>
          <w:b/>
          <w:bCs/>
        </w:rPr>
      </w:pPr>
      <w:bookmarkStart w:id="25" w:name="bookmark56"/>
      <w:bookmarkStart w:id="26" w:name="bookmark57"/>
      <w:bookmarkStart w:id="27" w:name="bookmark58"/>
      <w:r>
        <w:rPr>
          <w:b/>
          <w:bCs/>
        </w:rPr>
        <w:t>一般公共预算基本支出情况表</w:t>
      </w:r>
      <w:bookmarkEnd w:id="25"/>
      <w:bookmarkEnd w:id="26"/>
      <w:bookmarkEnd w:id="27"/>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环江毛南族自治县思恩镇人民政府</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12"/>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12"/>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12"/>
              <w:spacing w:line="240" w:lineRule="auto"/>
              <w:ind w:firstLine="0" w:firstLineChars="0"/>
              <w:jc w:val="center"/>
              <w:rPr>
                <w:vertAlign w:val="baseline"/>
                <w:lang w:eastAsia="zh-CN"/>
              </w:rPr>
            </w:pPr>
            <w:r>
              <w:rPr>
                <w:sz w:val="17"/>
                <w:szCs w:val="17"/>
              </w:rPr>
              <w:t>合计</w:t>
            </w:r>
          </w:p>
        </w:tc>
        <w:tc>
          <w:tcPr>
            <w:tcW w:w="3112" w:type="dxa"/>
            <w:vAlign w:val="center"/>
          </w:tcPr>
          <w:p>
            <w:pPr>
              <w:pStyle w:val="12"/>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12"/>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833.28</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770.22</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710.22</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710.22</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156.83</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156.83</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115.53</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115.53</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133.72</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133.72</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70.98</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70.98</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29.01</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29.01</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0.80</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0.80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59.17</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59.17</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30199</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其他工资福利支出</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144.19</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144.19</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63.06</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10.53</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30202</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印刷费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30205</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水费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30206</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电费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30207</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邮电费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5.72</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30215</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会议费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30216</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培训费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30217</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公务接待费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30226</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劳务费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5.29</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30231</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公务用车运行维护费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6.90</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30239</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其他交通费用</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34.62</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30299</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其他商品和服务支出</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对个人和家庭的补助</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60.00</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30302</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退休费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54.97</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54.97</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30305</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生活补助</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5.02</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5.02</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30306</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救济费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30310</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个人农业生产补贴</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30399</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其他对个人和家庭的补助</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0.01</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0.01</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310</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资本性支出</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31005</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基础设施建设</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31099</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其他资本性支出</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399</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其他支出</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39999</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其他支出</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11"/>
        <w:keepNext/>
        <w:keepLines/>
        <w:spacing w:after="240"/>
        <w:jc w:val="center"/>
        <w:rPr>
          <w:rFonts w:hint="default"/>
          <w:b/>
          <w:bCs/>
          <w:sz w:val="28"/>
          <w:szCs w:val="28"/>
          <w:lang w:val="en-US" w:eastAsia="zh-CN"/>
        </w:rPr>
      </w:pPr>
      <w:bookmarkStart w:id="28" w:name="bookmark65"/>
      <w:bookmarkStart w:id="29" w:name="bookmark67"/>
      <w:bookmarkStart w:id="30" w:name="bookmark66"/>
      <w:r>
        <w:rPr>
          <w:rFonts w:hint="default"/>
          <w:b/>
          <w:bCs/>
          <w:sz w:val="28"/>
          <w:szCs w:val="28"/>
          <w:lang w:val="en-US" w:eastAsia="zh-CN"/>
        </w:rPr>
        <w:t>一般公共预算“三公”经费预算表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13"/>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环江毛南族自治县思恩镇人民政府</w:t>
            </w:r>
          </w:p>
        </w:tc>
        <w:tc>
          <w:tcPr>
            <w:tcW w:w="1891" w:type="dxa"/>
            <w:gridSpan w:val="2"/>
            <w:tcBorders>
              <w:top w:val="nil"/>
              <w:left w:val="nil"/>
              <w:right w:val="nil"/>
            </w:tcBorders>
          </w:tcPr>
          <w:p>
            <w:pPr>
              <w:pStyle w:val="13"/>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13"/>
              <w:bidi w:val="0"/>
              <w:jc w:val="center"/>
              <w:rPr>
                <w:rFonts w:hint="eastAsia"/>
                <w:vertAlign w:val="baseline"/>
                <w:lang w:val="en-US" w:eastAsia="zh-CN"/>
              </w:rPr>
            </w:pPr>
            <w:r>
              <w:rPr>
                <w:sz w:val="17"/>
                <w:szCs w:val="17"/>
              </w:rPr>
              <w:t>门（单位）代码</w:t>
            </w:r>
          </w:p>
        </w:tc>
        <w:tc>
          <w:tcPr>
            <w:tcW w:w="1918" w:type="dxa"/>
            <w:vMerge w:val="restart"/>
          </w:tcPr>
          <w:p>
            <w:pPr>
              <w:pStyle w:val="13"/>
              <w:bidi w:val="0"/>
              <w:jc w:val="center"/>
              <w:rPr>
                <w:rFonts w:hint="eastAsia"/>
                <w:vertAlign w:val="baseline"/>
                <w:lang w:val="en-US" w:eastAsia="zh-CN"/>
              </w:rPr>
            </w:pPr>
            <w:r>
              <w:rPr>
                <w:sz w:val="17"/>
                <w:szCs w:val="17"/>
              </w:rPr>
              <w:t>部门（单位）名称</w:t>
            </w:r>
          </w:p>
        </w:tc>
        <w:tc>
          <w:tcPr>
            <w:tcW w:w="11343" w:type="dxa"/>
            <w:gridSpan w:val="7"/>
          </w:tcPr>
          <w:p>
            <w:pPr>
              <w:pStyle w:val="13"/>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13"/>
              <w:bidi w:val="0"/>
              <w:jc w:val="center"/>
              <w:rPr>
                <w:rFonts w:hint="eastAsia"/>
                <w:vertAlign w:val="baseline"/>
                <w:lang w:val="en-US" w:eastAsia="zh-CN"/>
              </w:rPr>
            </w:pPr>
          </w:p>
        </w:tc>
        <w:tc>
          <w:tcPr>
            <w:tcW w:w="1918" w:type="dxa"/>
            <w:vMerge w:val="continue"/>
          </w:tcPr>
          <w:p>
            <w:pPr>
              <w:pStyle w:val="13"/>
              <w:bidi w:val="0"/>
              <w:jc w:val="center"/>
              <w:rPr>
                <w:rFonts w:hint="eastAsia"/>
                <w:vertAlign w:val="baseline"/>
                <w:lang w:val="en-US" w:eastAsia="zh-CN"/>
              </w:rPr>
            </w:pPr>
          </w:p>
        </w:tc>
        <w:tc>
          <w:tcPr>
            <w:tcW w:w="1884" w:type="dxa"/>
            <w:vMerge w:val="restart"/>
          </w:tcPr>
          <w:p>
            <w:pPr>
              <w:pStyle w:val="13"/>
              <w:bidi w:val="0"/>
              <w:jc w:val="center"/>
              <w:rPr>
                <w:rFonts w:hint="eastAsia"/>
                <w:vertAlign w:val="baseline"/>
                <w:lang w:val="en-US" w:eastAsia="zh-CN"/>
              </w:rPr>
            </w:pPr>
            <w:r>
              <w:rPr>
                <w:sz w:val="17"/>
                <w:szCs w:val="17"/>
              </w:rPr>
              <w:t>合计</w:t>
            </w:r>
          </w:p>
        </w:tc>
        <w:tc>
          <w:tcPr>
            <w:tcW w:w="1895" w:type="dxa"/>
            <w:vMerge w:val="restart"/>
          </w:tcPr>
          <w:p>
            <w:pPr>
              <w:pStyle w:val="13"/>
              <w:bidi w:val="0"/>
              <w:jc w:val="center"/>
              <w:rPr>
                <w:rFonts w:hint="eastAsia"/>
                <w:vertAlign w:val="baseline"/>
                <w:lang w:val="en-US" w:eastAsia="zh-CN"/>
              </w:rPr>
            </w:pPr>
            <w:r>
              <w:rPr>
                <w:sz w:val="17"/>
                <w:szCs w:val="17"/>
              </w:rPr>
              <w:t>因公出国（境）费</w:t>
            </w:r>
          </w:p>
        </w:tc>
        <w:tc>
          <w:tcPr>
            <w:tcW w:w="5675" w:type="dxa"/>
            <w:gridSpan w:val="4"/>
          </w:tcPr>
          <w:p>
            <w:pPr>
              <w:pStyle w:val="13"/>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13"/>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13"/>
              <w:bidi w:val="0"/>
              <w:jc w:val="center"/>
              <w:rPr>
                <w:rFonts w:hint="eastAsia"/>
                <w:vertAlign w:val="baseline"/>
                <w:lang w:val="en-US" w:eastAsia="zh-CN"/>
              </w:rPr>
            </w:pPr>
          </w:p>
        </w:tc>
        <w:tc>
          <w:tcPr>
            <w:tcW w:w="1918" w:type="dxa"/>
            <w:vMerge w:val="continue"/>
          </w:tcPr>
          <w:p>
            <w:pPr>
              <w:pStyle w:val="13"/>
              <w:bidi w:val="0"/>
              <w:jc w:val="center"/>
              <w:rPr>
                <w:rFonts w:hint="eastAsia"/>
                <w:vertAlign w:val="baseline"/>
                <w:lang w:val="en-US" w:eastAsia="zh-CN"/>
              </w:rPr>
            </w:pPr>
          </w:p>
        </w:tc>
        <w:tc>
          <w:tcPr>
            <w:tcW w:w="1884" w:type="dxa"/>
            <w:vMerge w:val="continue"/>
          </w:tcPr>
          <w:p>
            <w:pPr>
              <w:pStyle w:val="13"/>
              <w:bidi w:val="0"/>
              <w:jc w:val="center"/>
              <w:rPr>
                <w:rFonts w:hint="eastAsia"/>
                <w:vertAlign w:val="baseline"/>
                <w:lang w:val="en-US" w:eastAsia="zh-CN"/>
              </w:rPr>
            </w:pPr>
          </w:p>
        </w:tc>
        <w:tc>
          <w:tcPr>
            <w:tcW w:w="1895" w:type="dxa"/>
            <w:vMerge w:val="continue"/>
          </w:tcPr>
          <w:p>
            <w:pPr>
              <w:pStyle w:val="13"/>
              <w:bidi w:val="0"/>
              <w:jc w:val="center"/>
              <w:rPr>
                <w:rFonts w:hint="eastAsia"/>
                <w:vertAlign w:val="baseline"/>
                <w:lang w:val="en-US" w:eastAsia="zh-CN"/>
              </w:rPr>
            </w:pPr>
          </w:p>
        </w:tc>
        <w:tc>
          <w:tcPr>
            <w:tcW w:w="1888" w:type="dxa"/>
            <w:vAlign w:val="center"/>
          </w:tcPr>
          <w:p>
            <w:pPr>
              <w:pStyle w:val="12"/>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12"/>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12"/>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13"/>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12"/>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701001</w:t>
            </w:r>
          </w:p>
        </w:tc>
        <w:tc>
          <w:tcPr>
            <w:tcW w:w="1918" w:type="dxa"/>
            <w:vAlign w:val="center"/>
          </w:tcPr>
          <w:p>
            <w:pPr>
              <w:pStyle w:val="12"/>
              <w:spacing w:line="240" w:lineRule="auto"/>
              <w:ind w:firstLine="0" w:firstLineChars="0"/>
              <w:jc w:val="left"/>
              <w:rPr>
                <w:rFonts w:hint="eastAsia"/>
                <w:vertAlign w:val="baseline"/>
                <w:lang w:val="en-US" w:eastAsia="zh-CN"/>
              </w:rPr>
            </w:pPr>
          </w:p>
        </w:tc>
        <w:tc>
          <w:tcPr>
            <w:tcW w:w="1884"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12.10</w:t>
            </w:r>
          </w:p>
        </w:tc>
        <w:tc>
          <w:tcPr>
            <w:tcW w:w="1895"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6.90</w:t>
            </w:r>
          </w:p>
        </w:tc>
        <w:tc>
          <w:tcPr>
            <w:tcW w:w="1890"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6.90</w:t>
            </w:r>
          </w:p>
        </w:tc>
        <w:tc>
          <w:tcPr>
            <w:tcW w:w="1897" w:type="dxa"/>
            <w:gridSpan w:val="2"/>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13"/>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13"/>
        <w:bidi w:val="0"/>
        <w:rPr>
          <w:rFonts w:hint="eastAsia"/>
          <w:lang w:val="en-US" w:eastAsia="zh-CN"/>
        </w:rPr>
      </w:pPr>
    </w:p>
    <w:p>
      <w:pPr>
        <w:pStyle w:val="11"/>
        <w:keepNext/>
        <w:keepLines/>
        <w:spacing w:after="240"/>
        <w:jc w:val="both"/>
      </w:pPr>
    </w:p>
    <w:p>
      <w:pPr>
        <w:pStyle w:val="11"/>
        <w:keepNext/>
        <w:keepLines/>
        <w:spacing w:after="240"/>
        <w:jc w:val="center"/>
      </w:pPr>
    </w:p>
    <w:p>
      <w:pPr>
        <w:pStyle w:val="13"/>
        <w:bidi w:val="0"/>
      </w:pPr>
    </w:p>
    <w:p>
      <w:pPr>
        <w:pStyle w:val="11"/>
        <w:keepNext/>
        <w:keepLines/>
        <w:spacing w:after="240"/>
        <w:jc w:val="center"/>
      </w:pPr>
    </w:p>
    <w:p>
      <w:pPr>
        <w:pStyle w:val="11"/>
        <w:keepNext/>
        <w:keepLines/>
        <w:spacing w:after="240"/>
        <w:jc w:val="center"/>
        <w:rPr>
          <w:b/>
          <w:bCs/>
        </w:rPr>
      </w:pPr>
      <w:r>
        <w:rPr>
          <w:b/>
          <w:bCs/>
        </w:rPr>
        <w:t>政府性基金预算支出情况表</w:t>
      </w:r>
      <w:bookmarkEnd w:id="28"/>
      <w:bookmarkEnd w:id="29"/>
      <w:bookmarkEnd w:id="30"/>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13"/>
              <w:tabs>
                <w:tab w:val="left" w:pos="14213"/>
              </w:tabs>
              <w:ind w:left="101"/>
              <w:jc w:val="left"/>
            </w:pPr>
            <w:r>
              <w:t>单位名称：</w:t>
            </w:r>
            <w:r>
              <w:rPr>
                <w:rFonts w:hint="eastAsia"/>
                <w:lang w:eastAsia="zh-CN"/>
              </w:rPr>
              <w:t>环江毛南族自治县思恩镇人民政府</w:t>
            </w:r>
            <w:r>
              <w:tab/>
            </w:r>
            <w:r>
              <w:t>单位：万元</w:t>
            </w:r>
          </w:p>
        </w:tc>
        <w:tc>
          <w:tcPr>
            <w:tcW w:w="2163" w:type="dxa"/>
            <w:tcBorders>
              <w:top w:val="nil"/>
              <w:left w:val="nil"/>
              <w:right w:val="nil"/>
            </w:tcBorders>
          </w:tcPr>
          <w:p>
            <w:pPr>
              <w:pStyle w:val="13"/>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13"/>
              <w:bidi w:val="0"/>
              <w:jc w:val="center"/>
              <w:rPr>
                <w:vertAlign w:val="baseline"/>
              </w:rPr>
            </w:pPr>
            <w:r>
              <w:rPr>
                <w:sz w:val="17"/>
                <w:szCs w:val="17"/>
              </w:rPr>
              <w:t>科目编码</w:t>
            </w:r>
          </w:p>
        </w:tc>
        <w:tc>
          <w:tcPr>
            <w:tcW w:w="2161" w:type="dxa"/>
          </w:tcPr>
          <w:p>
            <w:pPr>
              <w:pStyle w:val="13"/>
              <w:bidi w:val="0"/>
              <w:jc w:val="center"/>
              <w:rPr>
                <w:vertAlign w:val="baseline"/>
              </w:rPr>
            </w:pPr>
            <w:r>
              <w:rPr>
                <w:sz w:val="17"/>
                <w:szCs w:val="17"/>
              </w:rPr>
              <w:t>部门（单位）代码</w:t>
            </w:r>
          </w:p>
        </w:tc>
        <w:tc>
          <w:tcPr>
            <w:tcW w:w="2162" w:type="dxa"/>
          </w:tcPr>
          <w:p>
            <w:pPr>
              <w:pStyle w:val="13"/>
              <w:bidi w:val="0"/>
              <w:jc w:val="center"/>
              <w:rPr>
                <w:vertAlign w:val="baseline"/>
              </w:rPr>
            </w:pPr>
            <w:r>
              <w:rPr>
                <w:sz w:val="17"/>
                <w:szCs w:val="17"/>
              </w:rPr>
              <w:t>部门（单位）名称（功能分类科目名称）</w:t>
            </w:r>
          </w:p>
        </w:tc>
        <w:tc>
          <w:tcPr>
            <w:tcW w:w="2222" w:type="dxa"/>
            <w:vAlign w:val="center"/>
          </w:tcPr>
          <w:p>
            <w:pPr>
              <w:pStyle w:val="12"/>
              <w:spacing w:line="240" w:lineRule="auto"/>
              <w:ind w:firstLine="0" w:firstLineChars="0"/>
              <w:jc w:val="center"/>
              <w:rPr>
                <w:vertAlign w:val="baseline"/>
              </w:rPr>
            </w:pPr>
            <w:r>
              <w:rPr>
                <w:sz w:val="17"/>
                <w:szCs w:val="17"/>
              </w:rPr>
              <w:t>合计</w:t>
            </w:r>
          </w:p>
        </w:tc>
        <w:tc>
          <w:tcPr>
            <w:tcW w:w="2161" w:type="dxa"/>
            <w:vAlign w:val="center"/>
          </w:tcPr>
          <w:p>
            <w:pPr>
              <w:pStyle w:val="12"/>
              <w:spacing w:line="240" w:lineRule="auto"/>
              <w:ind w:firstLine="0" w:firstLineChars="0"/>
              <w:jc w:val="center"/>
              <w:rPr>
                <w:vertAlign w:val="baseline"/>
              </w:rPr>
            </w:pPr>
            <w:r>
              <w:rPr>
                <w:sz w:val="17"/>
                <w:szCs w:val="17"/>
              </w:rPr>
              <w:t>基本支出</w:t>
            </w:r>
          </w:p>
        </w:tc>
        <w:tc>
          <w:tcPr>
            <w:tcW w:w="2161" w:type="dxa"/>
            <w:vAlign w:val="center"/>
          </w:tcPr>
          <w:p>
            <w:pPr>
              <w:pStyle w:val="12"/>
              <w:spacing w:line="240" w:lineRule="auto"/>
              <w:ind w:firstLine="0" w:firstLineChars="0"/>
              <w:jc w:val="center"/>
              <w:rPr>
                <w:vertAlign w:val="baseline"/>
              </w:rPr>
            </w:pPr>
            <w:r>
              <w:rPr>
                <w:sz w:val="17"/>
                <w:szCs w:val="17"/>
              </w:rPr>
              <w:t>项目支出</w:t>
            </w:r>
          </w:p>
        </w:tc>
        <w:tc>
          <w:tcPr>
            <w:tcW w:w="2163" w:type="dxa"/>
            <w:vAlign w:val="center"/>
          </w:tcPr>
          <w:p>
            <w:pPr>
              <w:pStyle w:val="12"/>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2010301</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行政运行</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2010399</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其他政府办公厅（室）及相关机构事务支出</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其他群众团体事务支出</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2079999</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其他文化旅游体育与传媒支出</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2080199</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其他人力资源和社会保障管理事务支出</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机关事业单位基本养老保险缴费支出</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2082001</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临时救助支出</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2110401</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生态保护</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2130205</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森林资源培育</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2130504</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农村基础设施建设</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2140104</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公路建设</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2140106</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公路养护</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住房公积金</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13"/>
              <w:bidi w:val="0"/>
              <w:jc w:val="both"/>
              <w:rPr>
                <w:vertAlign w:val="baseline"/>
              </w:rPr>
            </w:pPr>
            <w:r>
              <w:t>注：本报表金额单位转换时可能存在四舍五入尾数误差</w:t>
            </w:r>
          </w:p>
        </w:tc>
      </w:tr>
    </w:tbl>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jc w:val="center"/>
        <w:rPr>
          <w:b/>
          <w:bCs/>
          <w:sz w:val="28"/>
          <w:szCs w:val="28"/>
        </w:rPr>
      </w:pPr>
      <w:r>
        <w:rPr>
          <w:b/>
          <w:bCs/>
          <w:sz w:val="28"/>
          <w:szCs w:val="28"/>
        </w:rPr>
        <w:t>国有资本经营预算支出情况表</w:t>
      </w:r>
    </w:p>
    <w:p>
      <w:pPr>
        <w:pStyle w:val="13"/>
        <w:bidi w:val="0"/>
        <w:jc w:val="center"/>
        <w:rPr>
          <w:sz w:val="28"/>
          <w:szCs w:val="28"/>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13"/>
              <w:tabs>
                <w:tab w:val="left" w:pos="14213"/>
              </w:tabs>
              <w:ind w:left="101"/>
              <w:jc w:val="left"/>
            </w:pPr>
            <w:r>
              <w:t>单位名称：</w:t>
            </w:r>
            <w:r>
              <w:rPr>
                <w:rFonts w:hint="eastAsia"/>
                <w:lang w:eastAsia="zh-CN"/>
              </w:rPr>
              <w:t>环江毛南族自治县思恩镇人民政府</w:t>
            </w:r>
            <w:r>
              <w:tab/>
            </w:r>
            <w:r>
              <w:t>单位：万元</w:t>
            </w:r>
          </w:p>
        </w:tc>
        <w:tc>
          <w:tcPr>
            <w:tcW w:w="2163" w:type="dxa"/>
            <w:tcBorders>
              <w:top w:val="nil"/>
              <w:left w:val="nil"/>
              <w:right w:val="nil"/>
            </w:tcBorders>
          </w:tcPr>
          <w:p>
            <w:pPr>
              <w:pStyle w:val="13"/>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13"/>
              <w:bidi w:val="0"/>
              <w:jc w:val="center"/>
              <w:rPr>
                <w:vertAlign w:val="baseline"/>
              </w:rPr>
            </w:pPr>
            <w:r>
              <w:rPr>
                <w:sz w:val="17"/>
                <w:szCs w:val="17"/>
              </w:rPr>
              <w:t>科目编码</w:t>
            </w:r>
          </w:p>
        </w:tc>
        <w:tc>
          <w:tcPr>
            <w:tcW w:w="2161" w:type="dxa"/>
            <w:vMerge w:val="restart"/>
          </w:tcPr>
          <w:p>
            <w:pPr>
              <w:pStyle w:val="13"/>
              <w:bidi w:val="0"/>
              <w:jc w:val="center"/>
              <w:rPr>
                <w:vertAlign w:val="baseline"/>
              </w:rPr>
            </w:pPr>
            <w:r>
              <w:rPr>
                <w:sz w:val="17"/>
                <w:szCs w:val="17"/>
              </w:rPr>
              <w:t>部门（单位）代码</w:t>
            </w:r>
          </w:p>
        </w:tc>
        <w:tc>
          <w:tcPr>
            <w:tcW w:w="2162" w:type="dxa"/>
            <w:vMerge w:val="restart"/>
          </w:tcPr>
          <w:p>
            <w:pPr>
              <w:pStyle w:val="13"/>
              <w:bidi w:val="0"/>
              <w:jc w:val="center"/>
              <w:rPr>
                <w:vertAlign w:val="baseline"/>
              </w:rPr>
            </w:pPr>
            <w:r>
              <w:rPr>
                <w:sz w:val="17"/>
                <w:szCs w:val="17"/>
              </w:rPr>
              <w:t>部门（单位）名称（功能分类科目名称）</w:t>
            </w:r>
          </w:p>
        </w:tc>
        <w:tc>
          <w:tcPr>
            <w:tcW w:w="2222" w:type="dxa"/>
            <w:vAlign w:val="center"/>
          </w:tcPr>
          <w:p>
            <w:pPr>
              <w:pStyle w:val="12"/>
              <w:spacing w:line="240" w:lineRule="auto"/>
              <w:ind w:firstLine="0" w:firstLineChars="0"/>
              <w:jc w:val="center"/>
              <w:rPr>
                <w:vertAlign w:val="baseline"/>
              </w:rPr>
            </w:pPr>
            <w:r>
              <w:rPr>
                <w:sz w:val="17"/>
                <w:szCs w:val="17"/>
              </w:rPr>
              <w:t>合计</w:t>
            </w:r>
          </w:p>
        </w:tc>
        <w:tc>
          <w:tcPr>
            <w:tcW w:w="2161" w:type="dxa"/>
            <w:vAlign w:val="center"/>
          </w:tcPr>
          <w:p>
            <w:pPr>
              <w:pStyle w:val="12"/>
              <w:spacing w:line="240" w:lineRule="auto"/>
              <w:ind w:firstLine="0" w:firstLineChars="0"/>
              <w:jc w:val="center"/>
              <w:rPr>
                <w:vertAlign w:val="baseline"/>
              </w:rPr>
            </w:pPr>
            <w:r>
              <w:rPr>
                <w:sz w:val="17"/>
                <w:szCs w:val="17"/>
              </w:rPr>
              <w:t>基本支出</w:t>
            </w:r>
          </w:p>
        </w:tc>
        <w:tc>
          <w:tcPr>
            <w:tcW w:w="2161" w:type="dxa"/>
            <w:vAlign w:val="center"/>
          </w:tcPr>
          <w:p>
            <w:pPr>
              <w:pStyle w:val="12"/>
              <w:spacing w:line="240" w:lineRule="auto"/>
              <w:ind w:firstLine="0" w:firstLineChars="0"/>
              <w:jc w:val="center"/>
              <w:rPr>
                <w:vertAlign w:val="baseline"/>
              </w:rPr>
            </w:pPr>
            <w:r>
              <w:rPr>
                <w:sz w:val="17"/>
                <w:szCs w:val="17"/>
              </w:rPr>
              <w:t>项目支出</w:t>
            </w:r>
          </w:p>
        </w:tc>
        <w:tc>
          <w:tcPr>
            <w:tcW w:w="2163" w:type="dxa"/>
            <w:vAlign w:val="center"/>
          </w:tcPr>
          <w:p>
            <w:pPr>
              <w:pStyle w:val="12"/>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13"/>
              <w:bidi w:val="0"/>
              <w:jc w:val="both"/>
              <w:rPr>
                <w:vertAlign w:val="baseline"/>
              </w:rPr>
            </w:pPr>
          </w:p>
        </w:tc>
        <w:tc>
          <w:tcPr>
            <w:tcW w:w="2161" w:type="dxa"/>
            <w:vMerge w:val="continue"/>
          </w:tcPr>
          <w:p>
            <w:pPr>
              <w:pStyle w:val="13"/>
              <w:bidi w:val="0"/>
              <w:jc w:val="both"/>
              <w:rPr>
                <w:vertAlign w:val="baseline"/>
              </w:rPr>
            </w:pPr>
          </w:p>
        </w:tc>
        <w:tc>
          <w:tcPr>
            <w:tcW w:w="2162" w:type="dxa"/>
            <w:vMerge w:val="continue"/>
          </w:tcPr>
          <w:p>
            <w:pPr>
              <w:pStyle w:val="13"/>
              <w:bidi w:val="0"/>
              <w:jc w:val="both"/>
              <w:rPr>
                <w:vertAlign w:val="baseline"/>
              </w:rPr>
            </w:pPr>
          </w:p>
        </w:tc>
        <w:tc>
          <w:tcPr>
            <w:tcW w:w="2222" w:type="dxa"/>
            <w:vAlign w:val="center"/>
          </w:tcPr>
          <w:p>
            <w:pPr>
              <w:pStyle w:val="12"/>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12"/>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12"/>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12"/>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12"/>
              <w:spacing w:line="240" w:lineRule="auto"/>
              <w:ind w:firstLine="0" w:firstLineChars="0"/>
              <w:jc w:val="left"/>
              <w:rPr>
                <w:vertAlign w:val="baseline"/>
              </w:rPr>
            </w:pPr>
            <w:r>
              <w:rPr>
                <w:sz w:val="17"/>
                <w:szCs w:val="17"/>
              </w:rPr>
              <w:t>合计</w:t>
            </w:r>
          </w:p>
        </w:tc>
        <w:tc>
          <w:tcPr>
            <w:tcW w:w="2222" w:type="dxa"/>
            <w:vAlign w:val="center"/>
          </w:tcPr>
          <w:p>
            <w:pPr>
              <w:pStyle w:val="12"/>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12"/>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12"/>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12"/>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13"/>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13"/>
              <w:bidi w:val="0"/>
              <w:jc w:val="both"/>
              <w:rPr>
                <w:vertAlign w:val="baseline"/>
              </w:rPr>
            </w:pPr>
          </w:p>
        </w:tc>
      </w:tr>
    </w:tbl>
    <w:p>
      <w:pPr>
        <w:pStyle w:val="13"/>
        <w:bidi w:val="0"/>
      </w:pPr>
    </w:p>
    <w:p>
      <w:r>
        <w:br w:type="page"/>
      </w:r>
    </w:p>
    <w:p>
      <w:pPr>
        <w:pStyle w:val="11"/>
        <w:keepNext/>
        <w:keepLines/>
        <w:spacing w:after="240"/>
        <w:jc w:val="center"/>
        <w:rPr>
          <w:rFonts w:hint="default" w:eastAsia="宋体"/>
          <w:b/>
          <w:bCs/>
          <w:lang w:val="en-US" w:eastAsia="zh-CN"/>
        </w:rPr>
      </w:pPr>
      <w:r>
        <w:rPr>
          <w:rFonts w:hint="eastAsia"/>
          <w:b/>
          <w:bCs/>
          <w:lang w:val="en-US" w:eastAsia="zh-CN"/>
        </w:rPr>
        <w:t>2024年度预算项目绩效目标公开表</w:t>
      </w:r>
    </w:p>
    <w:tbl>
      <w:tblPr>
        <w:tblStyle w:val="3"/>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12"/>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环江毛南族自治县思恩镇人民政府</w:t>
            </w:r>
          </w:p>
        </w:tc>
        <w:tc>
          <w:tcPr>
            <w:tcW w:w="6076" w:type="dxa"/>
            <w:shd w:val="clear" w:color="auto" w:fill="FFFFFF"/>
          </w:tcPr>
          <w:p>
            <w:pPr>
              <w:pStyle w:val="12"/>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环江毛南族自治县思恩镇人民政府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农村公路养护资金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2.48</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村公路养护资金绩效目标。1、涉及思恩镇辖区至少2条公路的日常维护，保障交通的正常有序。2、方便我镇10个村的群众的日常出行，一定程度上减少交通事故的发生。3、提高群众满意度至90％以上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环江毛南族自治县思恩镇人民政府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困难群众</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1.73</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用于困难群众临时补助，解决群众困难，提高满意度</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环江毛南族自治县思恩镇人民政府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生态护林员劳务补助资金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28.27</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目标：1、用于支付120名护林员全年的劳务费。2、有助于规范护林员队伍的管理，提高贫困户的收入，保护林地。3、提高群众满意度收入至95％以上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环江毛南族自治县思恩镇人民政府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新时代文明实践中心建设项目</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通过对全村农户实行积分评定，农户使用积分在“爱心超市”兑现实物的形式，引导树立勤劳致富、勤俭持家、敬老爱幼、诚信友善思想，通过自身努力创造美好生活。受益农户905户3280人。提高群众满意度至98％以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环江毛南族自治县思恩镇人民政府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服务惠民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2.50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保障居民群众的切实利益，打造服务型社区，解决与人民群众密切相关的社区环境、社区服务、公共设施管理存在的问题。不断创新社会管理方式，推进社区工作规范化建设，进一步密切党群、干群关系。使财政资金真正惠及至广大居民，从生活、娱乐等各个方面提高居民的幸福度，促进社会的协调发展。</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环江毛南族自治县思恩镇人民政府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农村乡村道路“三项工程”资金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203.00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道路提升保障群众出行安全，改善农村人居环境，缩短群众出行时间，受益群众328户1048人，其中脱贫户42户132人。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环江毛南族自治县思恩镇人民政府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新一轮退耕还林还草延长期补助</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40.08</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通过项目实施，巩固退耕还林成果，有效改善和保护生态环境。以发放补助资金激发退耕还林户巩固退耕还林成果。收益人口满意度≧100％。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环江毛南族自治县思恩镇人民政府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陈双村文化活动场</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40.00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提升陈双活动场所地方，公共设施，提升群众活动场所环境</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环江毛南族自治县思恩镇人民政府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2014年政府办公经费（三保）</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33.50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政府办公经费绩效目标。保障政府大楼的水、电、通讯正常，保障大家下队开展工作的各项差旅费，保障各项工作的有效开展，提高群众的满意度至90％以上。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环江毛南族自治县思恩镇人民政府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2024年政府办公经费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9.67</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政府办公经费绩效目标。保障政府日常办公购买的办公用品，召开各项会议开支，保障各项工作的有效开展，至少开大会4次，提高干部工作的积极性，提高群众的满意度至90％以上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环江毛南族自治县思恩镇人民政府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2024年武装、征兵及民兵预备役工作经费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武装、征兵及民兵预备役工作项目经费目标。</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一、经费100％保障了人民武装工作开展。</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二、高标准，高质量完成民兵训练任务数，提高了民兵思想素质和军事技能。</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三、按照时间节点，完成新兵征集任务，为部队输送高素质兵源。</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环江毛南族自治县思恩镇人民政府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2024年林长办工作经费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目标1：年内到少召开林长制工作会议1次以上。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目标2：全年辖区内森林火灾受害控制率不超过0.8％。</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目标3：乡林长办主任向本级林长专题汇报林长制工作1次以上。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目标4：服务对象满意度达90％以上。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环江毛南族自治县思恩镇人民政府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2024年综治维稳反邪教工作经费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综治维稳反邪教工作经费总体目标：</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1、加大矛盾纠纷的排查力度，妥善处理好各种矛盾，案件调解率达到90％</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2、开展领导3次大接访活动，及时了解存在的问题和隐患</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4、开张反邪教宣传活动至少一次</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环江毛南族自治县思恩镇人民政府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2024年纪检公务工作经费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纪检公务工作经费目标：</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目标1：加强村级监督委以及廉情监督联络站建设，实现对小微权力的全面监督，党风廉政建设会议4次以上。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目标2：加强纪检监察工作人员理论和业务培训，切实提高纪检监察干部监督水平，党风廉政培训2次以上。。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目标3：大力开展信访件问题调查及违纪案件查办工作，维护人民群众切身利益，信访举报案件结案率100％。</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目标4：服务对象满意度达90％以上。</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环江毛南族自治县思恩镇人民政府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2024年统计工作经费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统计工作经费总体绩效目标。</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1、提高群众依法依规参与统计的意识，组织开展《统计法》宣传活动1次以上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2、提高统计员统计业务素质，开展统计员培训工作1次以上。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3、群众满意度90％以上</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环江毛南族自治县思恩镇人民政府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2024年预防青少年违法犯罪工作经费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预防青少年违法犯罪工作经费总体目标。</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1、完成预防青少年违法犯罪各项工作目标任务，开展上级下达预防青少年违法犯罪工作及法治宣传活动2次，</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2、法治宣传知识覆盖我镇12个村，不断提高预防青少年违法犯罪的整体水平，综合提升青少年法治意识。</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环江毛南族自治县思恩镇人民政府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2024年民族团结工作经费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民族团结工作总体绩效目标如下：1、通过举办1次晚会活动，知识讲座拉近各民族的沟通和距离。2、深入少数民族所在村开展3次培训，让群众享受政策。3、深入具巩固和发展我市各民族平等、团结、互助、和谐的社会主义民族关系，让群众满意度达到90％。</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环江毛南族自治县思恩镇人民政府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2024年法制宣传教育工作经费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法制宣传教育工作经费总体绩效目标：</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1、定时开展普法宣传，向群众印发宣传手册，覆盖辖区内12个村</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2、举办法治宣传主题晚会，通过这样的形式提高群众的意识</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3、全面提升法治宣传教育工作水平，努力提高人民群众对法治宣传工作的满意度。</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环江毛南族自治县思恩镇人民政府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2024年清洁乡村工作经费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清洁乡村工作经费总体绩效目标</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1目标1：开展保洁员业务培训1次，乡村清洁率达90％以上；目标2：对乡村保洁员管理情况进行了相关督促检查2次，使乡村保洁管理达标率达100％，为农村人居环境全面改善起到了良好的作用；</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目标3：日常生活环境改善深受人民群众欢迎，项目实施群众满意度为95％。</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环江毛南族自治县思恩镇人民政府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2024年党建工作经费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党建工作经费绩效目标。</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目标1：对党员、党员积极分子、发展目标、党员工作者开展教育和培训2次，提高党性修养，建立学习型、服务型基层党组织达95％.</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目标2：召开党内会议2次，开党的组织生活会2次，增强基础党组织的战斗力、凝聚力、创造力。</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目标3：开展各项党建工作，打牢基层党建工作基础，提高服务群众满意度达95％。</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环江毛南族自治县思恩镇人民政府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2024年团委、妇联工作经费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委、妇联工作经费总体绩效目标。</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目标1：加强妇联干部和团干部的培训2次，凝聚青少年儿童；</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目标2：大力开展志愿服务活动，2次以上；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目标3：维护妇女儿童，未成年学生的合法权益；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目标4：服务对象满意度达90％以上。</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环江毛南族自治县思恩镇人民政府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2024年安全生产及森林防火工作经费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安全生产及森林防火工作经费达到的目标：</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1、通过各项检查，发现存在的隐患及时处理，有效预防森林火灾和安全生产事故的发生。</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2、提高森林防火、安全生产宣传，制定好应急预案，开展消防演练2次，有效预防和应对此类事件的发生和大的事故出现，维护人员群众的利益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3、群众满意度95％以上。目标1：进一步加大消防日常监督、直传工作，开展2次以上消防知识讲座</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4、开展2次定期消防检查</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环江毛南族自治县思恩镇人民政府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2024年关心下一代工作委员会经费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关心下一代工作委员会经费。要实现的目标：</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目标1：广泛宣传国家有关保护未成年人权益、实施义务教育、预防未成年人犯罪的法律法规2次培训2次：</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目标2：开展活动所用资金不超过该项目预算总金额：</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目标3：服务青少年满意率超过96％。</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目标4：保障单位关工委工作正常运转，促进青少年健康成长。</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环江毛南族自治县思恩镇人民政府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2024年人大经费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人大经费总体目标。</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目标1：组织人大代表围绕本乡重点工作、产业发展及人大代表会议议案和代表建议意见办理情况进行1次视察、调研，开展专项工作会议并形成专题报告。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目标2：年内开展1次人大代表会议，向代表通报政情，听取代表对乡镇政府工作的建议和意见，并做好整理、交办.</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目标4：提高人大代能认真履行职责，服务群众满意度达90％。</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环江毛南族自治县思恩镇人民政府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2024年退役军人服务中心建设经费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退役军人服务中心建设经费目标：1、做好12个村、社区退役军人优待证的发放：；2、做好拥军优属工作；3、做好2次退役军人就业创业扶持，做好技能培训等工作。4、春节、“八一”慰问退役军人、重点优抚对象2次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5、服务对象满意度达90％以上</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环江毛南族自治县思恩镇人民政府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2024年宣传工作经费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宣传工作经费目标。</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目标1：结合主线任务和中心工作，做好社会面宣传，在全乡12个村、社区范围内营造浓厚的正面社会宣传氛围。</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目标2：开展志愿服务活动5次以上。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目标3：沟通联系并配合好上级媒体，做好新闻宣传工作，发表至少20篇公众号文章</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目标4：积极组织乡本级文化文艺活动2次。</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目标5：服务对象满意度达90％以上。</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环江毛南族自治县思恩镇人民政府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2024年党代会年会工作经费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1.46</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目标1：组织召开党员培训1次，引导党代表依法履职、务实作为，为推进大才乡经济社会加快发展作出了积极贡献。</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目标2：组织党代表召开党代会1次，整理党代表提出的意见建议。</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环江毛南族自治县思恩镇人民政府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2024年关爱党员(农村党员)活动经费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9.38</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关爱党员（农村党员）经费绩效目标</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目标1：开展党员大会每月每个党支部至少1次。</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目标2：开展党员培训会2次，加强和改进党的工作，更好地贯彻执行党的路线、方针、政策；全面从严治党，强化党群关系；提高党的创造力、凝聚力、战斗力。</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目标3：建立健全全党内激励关怀帮扶机制，切实体现党组织对困难党员的关系和关爱，提高人民群众满意度。</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环江毛南族自治县思恩镇人民政府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2024年乡镇应急工作经费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标1：多形式在学校、卫生院、农贸市场等人员密集地点普遍开展紧急避险、防灾、疫情、减灾宣传教育开展宣传工作10次以上，向全乡群众普及应急管理知识和各类灾害事故防范应对技能，提升群众应急能力。</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目标2：做好各类应急培训演练6次，提升应急队伍应急能力，增强对突发事件的处置能力。</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目标3：做好安全生产、防汛抗旱、地质灾害防御、森林防灭火、消防、灾情管理等必需的专用物料、器材、工具、帐篷等物资的储备，确保应急的物资保障。</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环江毛南族自治县思恩镇人民政府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2024年田长办工作经费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目标1：年内至少召开田长制工作会议1次以上；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目标2：全年辖区森林火灾受灾控制率不超过0.8％；</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目标3：乡田长办主任向本级田长韦题汇报田长制工作1次以上；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目标4：服务对象满意度达90％以上。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环江毛南族自治县思恩镇人民政府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2024年河长办工作经费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目标1：年内至少召开河长制工作会议1次以上；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目标2：全年辖区森林火灾受灾控制率不超过0.8％；</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目标3：乡田长办主任向本级河长制主题汇报河长制工作1次以上；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目标4：服务对象满意度达90％以上。</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1474" w:gutter="0"/>
          <w:pgBorders>
            <w:top w:val="none" w:sz="0" w:space="0"/>
            <w:left w:val="none" w:sz="0" w:space="0"/>
            <w:bottom w:val="none" w:sz="0" w:space="0"/>
            <w:right w:val="none" w:sz="0" w:space="0"/>
          </w:pgBorders>
          <w:pgNumType w:fmt="decimal"/>
          <w:cols w:space="720" w:num="1"/>
          <w:docGrid w:linePitch="360" w:charSpace="0"/>
        </w:sectPr>
      </w:pPr>
    </w:p>
    <w:p>
      <w:pPr>
        <w:pStyle w:val="7"/>
        <w:keepNext/>
        <w:keepLines/>
        <w:spacing w:before="200" w:after="0"/>
        <w:jc w:val="center"/>
        <w:rPr>
          <w:b/>
          <w:bCs/>
          <w:sz w:val="40"/>
          <w:szCs w:val="40"/>
        </w:rPr>
      </w:pPr>
      <w:bookmarkStart w:id="31" w:name="bookmark94"/>
      <w:bookmarkStart w:id="32" w:name="bookmark95"/>
      <w:bookmarkStart w:id="33" w:name="bookmark96"/>
      <w:bookmarkStart w:id="43" w:name="_GoBack"/>
      <w:r>
        <w:rPr>
          <w:b/>
          <w:bCs/>
          <w:sz w:val="40"/>
          <w:szCs w:val="40"/>
        </w:rPr>
        <w:t>第四部分名词解释</w:t>
      </w:r>
      <w:bookmarkEnd w:id="31"/>
      <w:bookmarkEnd w:id="32"/>
      <w:bookmarkEnd w:id="33"/>
    </w:p>
    <w:bookmarkEnd w:id="43"/>
    <w:p>
      <w:pPr>
        <w:pStyle w:val="9"/>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9"/>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9"/>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9"/>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9"/>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9"/>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9"/>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9"/>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9"/>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9"/>
        <w:spacing w:line="628" w:lineRule="exact"/>
        <w:ind w:firstLine="640"/>
        <w:jc w:val="left"/>
      </w:pPr>
      <w:r>
        <w:t>十、项目支出：指在基本支出之外为完成特定行政任务和事业发展目标所发生的支出。</w:t>
      </w:r>
    </w:p>
    <w:p>
      <w:pPr>
        <w:pStyle w:val="9"/>
        <w:spacing w:line="628" w:lineRule="exact"/>
        <w:ind w:firstLine="640"/>
        <w:jc w:val="left"/>
      </w:pPr>
      <w:r>
        <w:t>十一、经营支出：指事业单位在专业业务活动及其辅助活动之外开展非独立核算经营活动所发生的支出。</w:t>
      </w:r>
    </w:p>
    <w:p>
      <w:pPr>
        <w:pStyle w:val="9"/>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9"/>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headerReference r:id="rId12" w:type="default"/>
      <w:footerReference r:id="rId13" w:type="default"/>
      <w:type w:val="continuous"/>
      <w:pgSz w:w="11900" w:h="16840"/>
      <w:pgMar w:top="1302" w:right="1735" w:bottom="1568" w:left="1793" w:header="874" w:footer="107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29"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ERYnucDAgAADAQAAA4AAAAAAAAAAQAgAAAAHwEAAGRycy9lMm9E&#10;b2MueG1sUEsFBgAAAAAGAAYAWQEAAJQ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2037" name="文本框 4"/>
              <wp:cNvGraphicFramePr/>
              <a:graphic xmlns:a="http://schemas.openxmlformats.org/drawingml/2006/main">
                <a:graphicData uri="http://schemas.microsoft.com/office/word/2010/wordprocessingShape">
                  <wps:wsp>
                    <wps:cNvSpPr/>
                    <wps:spPr>
                      <a:xfrm>
                        <a:off x="0" y="0"/>
                        <a:ext cx="394970" cy="16891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4" o:spid="_x0000_s1026" o:spt="1" style="position:absolute;left:0pt;margin-left:202.75pt;margin-top:0pt;height:13.3pt;width:31.1pt;mso-position-horizontal-relative:margin;z-index:251662336;mso-width-relative:page;mso-height-relative:page;" filled="f" stroked="f" coordsize="21600,21600" o:gfxdata="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XXEI9kAAAAHAQAADwAAAAAAAAABACAAAAAi&#10;AAAAZHJzL2Rvd25yZXYueG1sUEsBAhQAFAAAAAgAh07iQIHd9tEJAgAADAQAAA4AAAAAAAAAAQAg&#10;AAAAKAEAAGRycy9lMm9Eb2MueG1sUEsFBgAAAAAGAAYAWQEAAKMFA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2039" name="文本框 7"/>
              <wp:cNvGraphicFramePr/>
              <a:graphic xmlns:a="http://schemas.openxmlformats.org/drawingml/2006/main">
                <a:graphicData uri="http://schemas.microsoft.com/office/word/2010/wordprocessingShape">
                  <wps:wsp>
                    <wps:cNvSpPr/>
                    <wps:spPr>
                      <a:xfrm>
                        <a:off x="0" y="0"/>
                        <a:ext cx="440055" cy="20637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7" o:spid="_x0000_s1026" o:spt="1" style="position:absolute;left:0pt;margin-left:378.75pt;margin-top:0pt;height:16.25pt;width:34.65pt;mso-position-horizontal-relative:margin;z-index:251663360;mso-width-relative:page;mso-height-relative:page;" filled="f" stroked="f" coordsize="21600,21600" o:gfxdata="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0y47dgAAAAHAQAADwAAAAAAAAABACAAAAAi&#10;AAAAZHJzL2Rvd25yZXYueG1sUEsBAhQAFAAAAAgAh07iQJqu/jIKAgAADAQAAA4AAAAAAAAAAQAg&#10;AAAAJwEAAGRycy9lMm9Eb2MueG1sUEsFBgAAAAAGAAYAWQEAAKMFA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0"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C6kopsDAgAADAQAAA4AAAAAAAAAAQAgAAAAHwEAAGRycy9lMm9E&#10;b2MueG1sUEsFBgAAAAAGAAYAWQEAAJQ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1"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CjpANmBAIAAA0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2"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Dd9nEXBAIAAA0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036"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14"/>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jAixHbAAAADQEAAA8AAAAAAAAAAQAgAAAAIgAAAGRycy9kb3ducmV2LnhtbFBLAQIUABQAAAAI&#10;AIdO4kD9JN0i6gEAAOUDAAAOAAAAAAAAAAEAIAAAACoBAABkcnMvZTJvRG9jLnhtbFBLBQYAAAAA&#10;BgAGAFkBAACGBQAAAAA=&#10;">
              <v:fill on="f" focussize="0,0"/>
              <v:stroke on="f"/>
              <v:imagedata o:title=""/>
              <o:lock v:ext="edit" aspectratio="f"/>
              <v:textbox inset="0mm,0mm,0mm,0mm" style="mso-fit-shape-to-text:t;">
                <w:txbxContent>
                  <w:p>
                    <w:pPr>
                      <w:pStyle w:val="14"/>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038"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14"/>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N+32gLpAQAA5QMAAA4AAAAAAAAAAQAgAAAAKgEAAGRycy9lMm9Eb2MueG1sUEsFBgAAAAAG&#10;AAYAWQEAAIUFAAAAAA==&#10;">
              <v:fill on="f" focussize="0,0"/>
              <v:stroke on="f"/>
              <v:imagedata o:title=""/>
              <o:lock v:ext="edit" aspectratio="f"/>
              <v:textbox inset="0mm,0mm,0mm,0mm" style="mso-fit-shape-to-text:t;">
                <w:txbxContent>
                  <w:p>
                    <w:pPr>
                      <w:pStyle w:val="14"/>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792206"/>
    <w:rsid w:val="008C3851"/>
    <w:rsid w:val="05792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Body text|5"/>
    <w:basedOn w:val="1"/>
    <w:qFormat/>
    <w:uiPriority w:val="0"/>
    <w:pPr>
      <w:jc w:val="center"/>
    </w:pPr>
    <w:rPr>
      <w:rFonts w:ascii="宋体" w:hAnsi="宋体" w:eastAsia="宋体" w:cs="宋体"/>
      <w:sz w:val="54"/>
      <w:szCs w:val="54"/>
      <w:lang w:val="zh-TW" w:eastAsia="zh-TW" w:bidi="zh-TW"/>
    </w:rPr>
  </w:style>
  <w:style w:type="paragraph" w:customStyle="1" w:styleId="7">
    <w:name w:val="Heading #1|1"/>
    <w:basedOn w:val="1"/>
    <w:qFormat/>
    <w:uiPriority w:val="0"/>
    <w:pPr>
      <w:spacing w:after="400"/>
      <w:jc w:val="center"/>
      <w:outlineLvl w:val="0"/>
    </w:pPr>
    <w:rPr>
      <w:rFonts w:ascii="宋体" w:hAnsi="宋体" w:eastAsia="宋体" w:cs="宋体"/>
      <w:sz w:val="44"/>
      <w:szCs w:val="44"/>
      <w:lang w:val="zh-TW" w:eastAsia="zh-TW" w:bidi="zh-TW"/>
    </w:rPr>
  </w:style>
  <w:style w:type="paragraph" w:customStyle="1" w:styleId="8">
    <w:name w:val="Body text|2"/>
    <w:basedOn w:val="1"/>
    <w:qFormat/>
    <w:uiPriority w:val="0"/>
    <w:pPr>
      <w:spacing w:after="240"/>
      <w:ind w:firstLine="560"/>
    </w:pPr>
    <w:rPr>
      <w:rFonts w:ascii="宋体" w:hAnsi="宋体" w:eastAsia="宋体" w:cs="宋体"/>
      <w:sz w:val="32"/>
      <w:szCs w:val="32"/>
      <w:lang w:val="zh-TW" w:eastAsia="zh-TW" w:bidi="zh-TW"/>
    </w:rPr>
  </w:style>
  <w:style w:type="paragraph" w:customStyle="1" w:styleId="9">
    <w:name w:val="Body text|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10">
    <w:name w:val="Body text|3"/>
    <w:basedOn w:val="1"/>
    <w:qFormat/>
    <w:uiPriority w:val="0"/>
    <w:pPr>
      <w:spacing w:after="140" w:line="336" w:lineRule="auto"/>
      <w:ind w:firstLine="370"/>
    </w:pPr>
    <w:rPr>
      <w:sz w:val="30"/>
      <w:szCs w:val="30"/>
      <w:lang w:val="zh-TW" w:eastAsia="zh-TW" w:bidi="zh-TW"/>
    </w:rPr>
  </w:style>
  <w:style w:type="paragraph" w:customStyle="1" w:styleId="11">
    <w:name w:val="Heading #2|1"/>
    <w:basedOn w:val="1"/>
    <w:qFormat/>
    <w:uiPriority w:val="0"/>
    <w:pPr>
      <w:spacing w:after="230"/>
      <w:jc w:val="center"/>
      <w:outlineLvl w:val="1"/>
    </w:pPr>
    <w:rPr>
      <w:rFonts w:ascii="宋体" w:hAnsi="宋体" w:eastAsia="宋体" w:cs="宋体"/>
      <w:sz w:val="26"/>
      <w:szCs w:val="26"/>
      <w:lang w:val="zh-TW" w:eastAsia="zh-TW" w:bidi="zh-TW"/>
    </w:rPr>
  </w:style>
  <w:style w:type="paragraph" w:customStyle="1" w:styleId="12">
    <w:name w:val="Other|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13">
    <w:name w:val="Table caption|1"/>
    <w:basedOn w:val="1"/>
    <w:qFormat/>
    <w:uiPriority w:val="0"/>
    <w:rPr>
      <w:rFonts w:ascii="宋体" w:hAnsi="宋体" w:eastAsia="宋体" w:cs="宋体"/>
      <w:sz w:val="17"/>
      <w:szCs w:val="17"/>
      <w:lang w:val="zh-TW" w:eastAsia="zh-TW" w:bidi="zh-TW"/>
    </w:rPr>
  </w:style>
  <w:style w:type="paragraph" w:customStyle="1" w:styleId="14">
    <w:name w:val="Header or footer|1"/>
    <w:basedOn w:val="1"/>
    <w:qFormat/>
    <w:uiPriority w:val="0"/>
    <w:rPr>
      <w:b/>
      <w:bCs/>
      <w:sz w:val="17"/>
      <w:szCs w:val="17"/>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1252.34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Lbls>
            <c:delete val="1"/>
          </c:dLbls>
          <c:cat>
            <c:strRef>
              <c:f>Sheet1!$A$2:$A$4</c:f>
              <c:strCache>
                <c:ptCount val="3"/>
                <c:pt idx="0">
                  <c:v>一般公共服务支出</c:v>
                </c:pt>
                <c:pt idx="1">
                  <c:v>社会保障和就业支出</c:v>
                </c:pt>
                <c:pt idx="2">
                  <c:v>住房保障支出</c:v>
                </c:pt>
              </c:strCache>
            </c:strRef>
          </c:cat>
          <c:val>
            <c:numRef>
              <c:f>Sheet1!$B$2:$B$4</c:f>
              <c:numCache>
                <c:formatCode>General</c:formatCode>
                <c:ptCount val="3"/>
                <c:pt idx="0">
                  <c:v>818.66</c:v>
                </c:pt>
                <c:pt idx="1">
                  <c:v>61.31</c:v>
                </c:pt>
                <c:pt idx="2">
                  <c:v>53.31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951.68</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1252.34</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833.28</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当年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当年</c:v>
                </c:pt>
              </c:strCache>
            </c:strRef>
          </c:cat>
          <c:val>
            <c:numRef>
              <c:f>Sheet1!$D$2</c:f>
              <c:numCache>
                <c:formatCode>General</c:formatCode>
                <c:ptCount val="1"/>
                <c:pt idx="0">
                  <c:v>100</c:v>
                </c:pt>
              </c:numCache>
            </c:numRef>
          </c:val>
        </c:ser>
        <c:ser>
          <c:idx val="3"/>
          <c:order val="3"/>
          <c:tx>
            <c:strRef>
              <c:f>Sheet1!$E$1</c:f>
              <c:strCache>
                <c:ptCount val="1"/>
                <c:pt idx="0">
                  <c:v>公用经费</c:v>
                </c:pt>
              </c:strCache>
            </c:strRef>
          </c:tx>
          <c:invertIfNegative val="0"/>
          <c:dLbls>
            <c:delete val="1"/>
          </c:dLbls>
          <c:cat>
            <c:strRef>
              <c:f>Sheet1!$A$2</c:f>
              <c:strCache>
                <c:ptCount val="1"/>
                <c:pt idx="0">
                  <c:v>当年</c:v>
                </c:pt>
              </c:strCache>
            </c:strRef>
          </c:cat>
          <c:val>
            <c:numRef>
              <c:f>Sheet1!$E$2</c:f>
              <c:numCache>
                <c:formatCode>General</c:formatCode>
                <c:ptCount val="1"/>
                <c:pt idx="0">
                  <c:v>63.06</c:v>
                </c:pt>
              </c:numCache>
            </c:numRef>
          </c:val>
        </c:ser>
        <c:ser>
          <c:idx val="4"/>
          <c:order val="4"/>
          <c:tx>
            <c:strRef>
              <c:f>Sheet1!$F$1</c:f>
              <c:strCache>
                <c:ptCount val="1"/>
                <c:pt idx="0">
                  <c:v>人员经费</c:v>
                </c:pt>
              </c:strCache>
            </c:strRef>
          </c:tx>
          <c:invertIfNegative val="0"/>
          <c:dLbls>
            <c:delete val="1"/>
          </c:dLbls>
          <c:cat>
            <c:strRef>
              <c:f>Sheet1!$A$2</c:f>
              <c:strCache>
                <c:ptCount val="1"/>
                <c:pt idx="0">
                  <c:v>当年</c:v>
                </c:pt>
              </c:strCache>
            </c:strRef>
          </c:cat>
          <c:val>
            <c:numRef>
              <c:f>Sheet1!$F$2</c:f>
              <c:numCache>
                <c:formatCode>General</c:formatCode>
                <c:ptCount val="1"/>
                <c:pt idx="0">
                  <c:v>770.22</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770.22</c:v>
                </c:pt>
                <c:pt idx="1">
                  <c:v>63.06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5.52</c:v>
                </c:pt>
                <c:pt idx="2">
                  <c:v>6.9</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5.2</c:v>
                </c:pt>
                <c:pt idx="2">
                  <c:v>6.9</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2024-03-05T00:56:00Z</dcterms:created>
  <dc:creator>Administrator</dc:creator>
  <cp:lastModifiedBy>Administrator</cp:lastModifiedBy>
  <dcterms:modified xsi:type="dcterms:W3CDTF">2024-03-05T01:01:29Z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1C1F12FA0141438282662A5168568B30</vt:lpwstr>
  </property>
</Properties>
</file>