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环江毛南族自治县大才乡乡村振兴工作站</w:t>
      </w:r>
    </w:p>
    <w:p>
      <w:pPr>
        <w:pStyle w:val="10"/>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0"/>
      <w:bookmarkStart w:id="1" w:name="bookmark1"/>
      <w:bookmarkStart w:id="2" w:name="bookmark2"/>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环江毛南族自治县大才乡乡村振兴工作站单位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环江毛南族自治县大才乡乡村振兴工作站2024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环江毛南族自治县大才乡乡村振兴工作站2024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3"/>
      <w:bookmarkStart w:id="5" w:name="bookmark12"/>
      <w:r>
        <w:rPr>
          <w:b/>
          <w:bCs/>
          <w:sz w:val="40"/>
          <w:szCs w:val="40"/>
        </w:rPr>
        <w:t>第一部分</w:t>
      </w:r>
      <w:r>
        <w:rPr>
          <w:rFonts w:hint="eastAsia"/>
          <w:b/>
          <w:bCs/>
          <w:sz w:val="40"/>
          <w:szCs w:val="40"/>
          <w:lang w:eastAsia="zh-CN"/>
        </w:rPr>
        <w:t>：</w:t>
      </w:r>
      <w:r>
        <w:rPr>
          <w:b/>
          <w:sz w:val="40"/>
          <w:u w:color="auto"/>
        </w:rPr>
        <w:t>环江毛南族自治县大才乡乡村振兴工作站</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承担贯彻执行上级有关乡村振兴的法律法规和方针、政策，并组织实施；落实乡村振兴战略，促进农业农村发展；承担乡村规划建设、产业发展等工作，承办乡镇党委、政府和上级相关行政机关依法委托的业务等</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本部门人员编制数为2人，实际在编人数2人，本部门独立编制预算，经本机财政单独批复，独立公开预算，均在主管单位环江县财政局公开专栏独立公开</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8"/>
      <w:bookmarkStart w:id="8" w:name="bookmark69"/>
      <w:bookmarkStart w:id="9" w:name="bookmark70"/>
      <w:bookmarkStart w:id="10" w:name="bookmark26"/>
      <w:bookmarkStart w:id="11" w:name="bookmark28"/>
      <w:bookmarkStart w:id="12" w:name="bookmark27"/>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环江毛南族自治县大才乡乡村振兴工作站</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24.18</w:t>
      </w:r>
      <w:r>
        <w:rPr>
          <w:rFonts w:hint="eastAsia"/>
          <w:b w:val="0"/>
          <w:bCs w:val="0"/>
          <w:sz w:val="28"/>
          <w:szCs w:val="28"/>
        </w:rPr>
        <w:t>万元，总支出</w:t>
      </w:r>
      <w:r>
        <w:rPr>
          <w:rFonts w:hint="eastAsia"/>
          <w:sz w:val="28"/>
          <w:szCs w:val="28"/>
          <w:lang w:val="en-US" w:eastAsia="zh-CN"/>
        </w:rPr>
        <w:t>24.18</w:t>
      </w:r>
      <w:r>
        <w:rPr>
          <w:rFonts w:hint="eastAsia"/>
          <w:b w:val="0"/>
          <w:bCs w:val="0"/>
          <w:sz w:val="28"/>
          <w:szCs w:val="28"/>
        </w:rPr>
        <w:t>万元。总收入较2023年度预算数</w:t>
      </w:r>
      <w:r>
        <w:rPr>
          <w:rFonts w:hint="eastAsia"/>
          <w:sz w:val="28"/>
          <w:szCs w:val="28"/>
          <w:lang w:val="en-US" w:eastAsia="zh-CN"/>
        </w:rPr>
        <w:t>22.36</w:t>
      </w:r>
      <w:r>
        <w:rPr>
          <w:rFonts w:hint="eastAsia"/>
          <w:b w:val="0"/>
          <w:bCs w:val="0"/>
          <w:sz w:val="28"/>
          <w:szCs w:val="28"/>
        </w:rPr>
        <w:t>万元，</w:t>
      </w:r>
      <w:r>
        <w:rPr>
          <w:rFonts w:hint="eastAsia"/>
          <w:sz w:val="28"/>
          <w:szCs w:val="28"/>
        </w:rPr>
        <w:t>增加1.82</w:t>
      </w:r>
      <w:r>
        <w:rPr>
          <w:rFonts w:hint="eastAsia"/>
          <w:b w:val="0"/>
          <w:bCs w:val="0"/>
          <w:sz w:val="28"/>
          <w:szCs w:val="28"/>
        </w:rPr>
        <w:t>万元，</w:t>
      </w:r>
      <w:r>
        <w:rPr>
          <w:rFonts w:hint="eastAsia"/>
          <w:sz w:val="28"/>
          <w:szCs w:val="28"/>
        </w:rPr>
        <w:t>增长8.14%</w:t>
      </w:r>
      <w:r>
        <w:rPr>
          <w:rFonts w:hint="eastAsia"/>
          <w:b w:val="0"/>
          <w:bCs w:val="0"/>
          <w:sz w:val="28"/>
          <w:szCs w:val="28"/>
        </w:rPr>
        <w:t>，主要原因是</w:t>
      </w:r>
      <w:r>
        <w:rPr>
          <w:rFonts w:hint="eastAsia"/>
          <w:highlight w:val="none"/>
          <w:lang w:val="en-US" w:eastAsia="zh-CN"/>
        </w:rPr>
        <w:t>人员工资福利和经费支出增加，增加基础性绩效工资增量</w:t>
      </w:r>
      <w:r>
        <w:rPr>
          <w:rFonts w:hint="eastAsia"/>
          <w:b w:val="0"/>
          <w:bCs w:val="0"/>
          <w:sz w:val="28"/>
          <w:szCs w:val="28"/>
        </w:rPr>
        <w:t>。总支出较2023年度预算数</w:t>
      </w:r>
      <w:r>
        <w:rPr>
          <w:rFonts w:hint="eastAsia"/>
          <w:sz w:val="28"/>
          <w:szCs w:val="28"/>
          <w:lang w:val="en-US" w:eastAsia="zh-CN"/>
        </w:rPr>
        <w:t>22.36</w:t>
      </w:r>
      <w:r>
        <w:rPr>
          <w:rFonts w:hint="eastAsia"/>
          <w:b w:val="0"/>
          <w:bCs w:val="0"/>
          <w:sz w:val="28"/>
          <w:szCs w:val="28"/>
        </w:rPr>
        <w:t>万元，</w:t>
      </w:r>
      <w:r>
        <w:rPr>
          <w:rFonts w:hint="eastAsia"/>
          <w:sz w:val="28"/>
          <w:szCs w:val="28"/>
        </w:rPr>
        <w:t>增加1.82</w:t>
      </w:r>
      <w:r>
        <w:rPr>
          <w:rFonts w:hint="eastAsia"/>
          <w:b w:val="0"/>
          <w:bCs w:val="0"/>
          <w:sz w:val="28"/>
          <w:szCs w:val="28"/>
        </w:rPr>
        <w:t>万元，</w:t>
      </w:r>
      <w:r>
        <w:rPr>
          <w:rFonts w:hint="eastAsia"/>
          <w:sz w:val="28"/>
          <w:szCs w:val="28"/>
        </w:rPr>
        <w:t>增长8.14%</w:t>
      </w:r>
      <w:r>
        <w:rPr>
          <w:rFonts w:hint="eastAsia"/>
          <w:b w:val="0"/>
          <w:bCs w:val="0"/>
          <w:sz w:val="28"/>
          <w:szCs w:val="28"/>
        </w:rPr>
        <w:t>，主要原因是</w:t>
      </w:r>
      <w:r>
        <w:rPr>
          <w:rFonts w:hint="eastAsia"/>
          <w:highlight w:val="none"/>
          <w:lang w:val="en-US" w:eastAsia="zh-CN"/>
        </w:rPr>
        <w:t>人员工资福利和经费支出增加，增加基础性绩效工资增量</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5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24.18</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22.36</w:t>
      </w:r>
      <w:r>
        <w:rPr>
          <w:rFonts w:hint="eastAsia" w:ascii="宋体" w:hAnsi="宋体" w:eastAsia="宋体" w:cs="宋体"/>
          <w:sz w:val="28"/>
          <w:szCs w:val="28"/>
          <w:u w:color="auto"/>
        </w:rPr>
        <w:t>万元，</w:t>
      </w:r>
      <w:r>
        <w:rPr>
          <w:rFonts w:hint="eastAsia" w:ascii="宋体" w:hAnsi="宋体" w:eastAsia="宋体" w:cs="宋体"/>
          <w:sz w:val="28"/>
          <w:szCs w:val="28"/>
        </w:rPr>
        <w:t>增加1.82</w:t>
      </w:r>
      <w:r>
        <w:rPr>
          <w:rFonts w:hint="eastAsia" w:ascii="宋体" w:hAnsi="宋体" w:eastAsia="宋体" w:cs="宋体"/>
          <w:sz w:val="28"/>
          <w:szCs w:val="28"/>
          <w:u w:color="auto"/>
        </w:rPr>
        <w:t>万元，</w:t>
      </w:r>
      <w:r>
        <w:rPr>
          <w:rFonts w:hint="eastAsia" w:ascii="宋体" w:hAnsi="宋体" w:eastAsia="宋体" w:cs="宋体"/>
          <w:sz w:val="28"/>
          <w:szCs w:val="28"/>
        </w:rPr>
        <w:t>增长8.14%</w:t>
      </w:r>
      <w:r>
        <w:rPr>
          <w:rFonts w:hint="eastAsia" w:ascii="宋体" w:hAnsi="宋体" w:eastAsia="宋体" w:cs="宋体"/>
          <w:sz w:val="28"/>
          <w:szCs w:val="28"/>
          <w:u w:color="auto"/>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45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24.18</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22.36</w:t>
      </w:r>
      <w:r>
        <w:rPr>
          <w:rFonts w:hint="eastAsia" w:ascii="宋体" w:hAnsi="宋体" w:eastAsia="宋体" w:cs="宋体"/>
          <w:sz w:val="28"/>
          <w:szCs w:val="28"/>
          <w:lang w:eastAsia="zh-CN"/>
        </w:rPr>
        <w:t>万元，</w:t>
      </w:r>
      <w:r>
        <w:rPr>
          <w:rFonts w:hint="eastAsia" w:ascii="宋体" w:hAnsi="宋体" w:eastAsia="宋体" w:cs="宋体"/>
          <w:sz w:val="28"/>
          <w:szCs w:val="28"/>
        </w:rPr>
        <w:t>增加1.82</w:t>
      </w:r>
      <w:r>
        <w:rPr>
          <w:rFonts w:hint="eastAsia" w:ascii="宋体" w:hAnsi="宋体" w:eastAsia="宋体" w:cs="宋体"/>
          <w:sz w:val="28"/>
          <w:szCs w:val="28"/>
          <w:lang w:eastAsia="zh-CN"/>
        </w:rPr>
        <w:t>万元，</w:t>
      </w:r>
      <w:r>
        <w:rPr>
          <w:rFonts w:hint="eastAsia" w:ascii="宋体" w:hAnsi="宋体" w:eastAsia="宋体" w:cs="宋体"/>
          <w:sz w:val="28"/>
          <w:szCs w:val="28"/>
        </w:rPr>
        <w:t>增长8.14%</w:t>
      </w:r>
      <w:r>
        <w:rPr>
          <w:rFonts w:hint="eastAsia" w:ascii="宋体" w:hAnsi="宋体" w:eastAsia="宋体" w:cs="宋体"/>
          <w:sz w:val="28"/>
          <w:szCs w:val="28"/>
          <w:lang w:eastAsia="zh-CN"/>
        </w:rPr>
        <w:t>，主要原因是</w:t>
      </w:r>
      <w:r>
        <w:rPr>
          <w:rFonts w:hint="eastAsia"/>
          <w:highlight w:val="none"/>
          <w:lang w:val="en-US" w:eastAsia="zh-CN"/>
        </w:rPr>
        <w:t>人员工资福利和经费支出增加，增加基础性绩效工资增量</w:t>
      </w:r>
      <w:r>
        <w:rPr>
          <w:rFonts w:hint="eastAsia" w:ascii="Times New Roman" w:hAnsi="Times New Roman" w:cs="Times New Roman"/>
          <w:sz w:val="30"/>
          <w:szCs w:val="30"/>
          <w:lang w:eastAsia="zh-CN"/>
        </w:rPr>
        <w:t>。主要包括：</w:t>
      </w:r>
      <w:r>
        <w:rPr>
          <w:rFonts w:hint="eastAsia"/>
          <w:highlight w:val="none"/>
          <w:lang w:val="en-US" w:eastAsia="zh-CN"/>
        </w:rPr>
        <w:t>人员工资福利和经费支出增加，增加基础性绩效工资增量</w:t>
      </w:r>
      <w:r>
        <w:rPr>
          <w:rFonts w:hint="eastAsia" w:ascii="Times New Roman" w:hAnsi="Times New Roman" w:cs="Times New Roman"/>
          <w:sz w:val="30"/>
          <w:szCs w:val="30"/>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（一）按支出功能分类科目划分，共分为</w:t>
      </w:r>
      <w:r>
        <w:rPr>
          <w:rFonts w:hint="eastAsia"/>
          <w:lang w:val="en-US" w:eastAsia="zh-CN"/>
        </w:rPr>
        <w:t>4</w:t>
      </w:r>
      <w: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1)社会保障和就业支出</w:t>
      </w:r>
      <w:r>
        <w:rPr>
          <w:rFonts w:hint="eastAsia"/>
          <w:lang w:val="en-US" w:eastAsia="zh-CN"/>
        </w:rPr>
        <w:t>2.82</w:t>
      </w:r>
      <w:r>
        <w:rPr>
          <w:rFonts w:hint="eastAsia"/>
        </w:rPr>
        <w:t>万元，占支出总预算</w:t>
      </w:r>
      <w:r>
        <w:rPr>
          <w:rFonts w:hint="eastAsia"/>
          <w:lang w:val="en-US" w:eastAsia="zh-CN"/>
        </w:rPr>
        <w:t>11.66%</w:t>
      </w:r>
      <w:r>
        <w:rPr>
          <w:rFonts w:hint="eastAsia"/>
        </w:rPr>
        <w:t>,比上年</w:t>
      </w:r>
      <w:r>
        <w:rPr>
          <w:rFonts w:hint="eastAsia"/>
          <w:lang w:val="en-US" w:eastAsia="zh-CN"/>
        </w:rPr>
        <w:t>减少0.09</w:t>
      </w:r>
      <w:r>
        <w:rPr>
          <w:rFonts w:hint="eastAsia"/>
        </w:rPr>
        <w:t>万元，</w:t>
      </w:r>
      <w:r>
        <w:rPr>
          <w:rFonts w:hint="eastAsia"/>
          <w:lang w:val="en-US" w:eastAsia="zh-CN"/>
        </w:rPr>
        <w:t>减少3.09%</w:t>
      </w:r>
      <w:r>
        <w:rPr>
          <w:rFonts w:hint="eastAsia"/>
        </w:rPr>
        <w:t>,</w:t>
      </w:r>
      <w:r>
        <w:rPr>
          <w:rFonts w:hint="eastAsia"/>
          <w:highlight w:val="none"/>
        </w:rPr>
        <w:t>主要原因是：</w:t>
      </w:r>
      <w:r>
        <w:rPr>
          <w:rFonts w:hint="eastAsia"/>
          <w:highlight w:val="none"/>
          <w:lang w:val="en-US" w:eastAsia="zh-CN"/>
        </w:rPr>
        <w:t>践行中央过紧日子的文件精神，缩减经费开支</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2)住房保障支出</w:t>
      </w:r>
      <w:r>
        <w:rPr>
          <w:rFonts w:hint="eastAsia"/>
          <w:lang w:val="en-US" w:eastAsia="zh-CN"/>
        </w:rPr>
        <w:t>2.46</w:t>
      </w:r>
      <w:r>
        <w:rPr>
          <w:rFonts w:hint="eastAsia"/>
        </w:rPr>
        <w:t>万元，占支出总预算</w:t>
      </w:r>
      <w:r>
        <w:rPr>
          <w:rFonts w:hint="eastAsia"/>
          <w:lang w:val="en-US" w:eastAsia="zh-CN"/>
        </w:rPr>
        <w:t>10.17%</w:t>
      </w:r>
      <w:r>
        <w:rPr>
          <w:rFonts w:hint="eastAsia"/>
        </w:rPr>
        <w:t>,比上年</w:t>
      </w:r>
      <w:r>
        <w:rPr>
          <w:rFonts w:hint="eastAsia"/>
          <w:lang w:val="en-US" w:eastAsia="zh-CN"/>
        </w:rPr>
        <w:t>增长0.28</w:t>
      </w:r>
      <w:r>
        <w:rPr>
          <w:rFonts w:hint="eastAsia"/>
        </w:rPr>
        <w:t>万元，</w:t>
      </w:r>
      <w:r>
        <w:rPr>
          <w:rFonts w:hint="eastAsia"/>
          <w:lang w:val="en-US" w:eastAsia="zh-CN"/>
        </w:rPr>
        <w:t>增长12.84%</w:t>
      </w:r>
      <w:r>
        <w:rPr>
          <w:rFonts w:hint="eastAsia"/>
        </w:rPr>
        <w:t>,</w:t>
      </w:r>
      <w:r>
        <w:rPr>
          <w:rFonts w:hint="eastAsia"/>
          <w:highlight w:val="none"/>
        </w:rPr>
        <w:t>主要原因是：</w:t>
      </w:r>
      <w:r>
        <w:rPr>
          <w:rFonts w:hint="eastAsia"/>
          <w:highlight w:val="none"/>
          <w:lang w:val="en-US" w:eastAsia="zh-CN"/>
        </w:rPr>
        <w:t>人员工资福利和经费支出增加，增加基础性绩效工资增量</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3)农林水支出</w:t>
      </w:r>
      <w:r>
        <w:rPr>
          <w:rFonts w:hint="eastAsia"/>
          <w:lang w:val="en-US" w:eastAsia="zh-CN"/>
        </w:rPr>
        <w:t>18.68</w:t>
      </w:r>
      <w:r>
        <w:rPr>
          <w:rFonts w:hint="eastAsia"/>
        </w:rPr>
        <w:t>万元，占支出总预算</w:t>
      </w:r>
      <w:r>
        <w:rPr>
          <w:rFonts w:hint="eastAsia"/>
          <w:lang w:val="en-US" w:eastAsia="zh-CN"/>
        </w:rPr>
        <w:t>77.25%</w:t>
      </w:r>
      <w:r>
        <w:rPr>
          <w:rFonts w:hint="eastAsia"/>
        </w:rPr>
        <w:t>,比上年</w:t>
      </w:r>
      <w:r>
        <w:rPr>
          <w:rFonts w:hint="eastAsia"/>
          <w:lang w:val="en-US" w:eastAsia="zh-CN"/>
        </w:rPr>
        <w:t>增长1.76</w:t>
      </w:r>
      <w:r>
        <w:rPr>
          <w:rFonts w:hint="eastAsia"/>
        </w:rPr>
        <w:t>万元，</w:t>
      </w:r>
      <w:r>
        <w:rPr>
          <w:rFonts w:hint="eastAsia"/>
          <w:lang w:val="en-US" w:eastAsia="zh-CN"/>
        </w:rPr>
        <w:t>增长10.40%</w:t>
      </w:r>
      <w:r>
        <w:rPr>
          <w:rFonts w:hint="eastAsia"/>
        </w:rPr>
        <w:t>,</w:t>
      </w:r>
      <w:r>
        <w:rPr>
          <w:rFonts w:hint="eastAsia"/>
          <w:highlight w:val="none"/>
        </w:rPr>
        <w:t>主要原因是：</w:t>
      </w:r>
      <w:r>
        <w:rPr>
          <w:rFonts w:hint="eastAsia"/>
          <w:highlight w:val="none"/>
          <w:lang w:val="en-US" w:eastAsia="zh-CN"/>
        </w:rPr>
        <w:t>人员工资福利和经费支出增加，增加基础性绩效工资增量</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4)一般公共服务支出</w:t>
      </w:r>
      <w:r>
        <w:rPr>
          <w:rFonts w:hint="eastAsia"/>
          <w:lang w:val="en-US" w:eastAsia="zh-CN"/>
        </w:rPr>
        <w:t>0.23</w:t>
      </w:r>
      <w:r>
        <w:rPr>
          <w:rFonts w:hint="eastAsia"/>
        </w:rPr>
        <w:t>万元，占支出总预算</w:t>
      </w:r>
      <w:r>
        <w:rPr>
          <w:rFonts w:hint="eastAsia"/>
          <w:lang w:val="en-US" w:eastAsia="zh-CN"/>
        </w:rPr>
        <w:t>0.95%</w:t>
      </w:r>
      <w:r>
        <w:rPr>
          <w:rFonts w:hint="eastAsia"/>
        </w:rPr>
        <w:t>,比上年</w:t>
      </w:r>
      <w:r>
        <w:rPr>
          <w:rFonts w:hint="eastAsia"/>
          <w:lang w:val="en-US" w:eastAsia="zh-CN"/>
        </w:rPr>
        <w:t>减少0.13</w:t>
      </w:r>
      <w:r>
        <w:rPr>
          <w:rFonts w:hint="eastAsia"/>
        </w:rPr>
        <w:t>万元，</w:t>
      </w:r>
      <w:r>
        <w:rPr>
          <w:rFonts w:hint="eastAsia"/>
          <w:lang w:val="en-US" w:eastAsia="zh-CN"/>
        </w:rPr>
        <w:t>减少36.11%</w:t>
      </w:r>
      <w:r>
        <w:rPr>
          <w:rFonts w:hint="eastAsia"/>
        </w:rPr>
        <w:t>,</w:t>
      </w:r>
      <w:r>
        <w:rPr>
          <w:rFonts w:hint="eastAsia"/>
          <w:highlight w:val="none"/>
        </w:rPr>
        <w:t>主要原因是：</w:t>
      </w:r>
      <w:r>
        <w:rPr>
          <w:rFonts w:hint="eastAsia"/>
          <w:highlight w:val="none"/>
          <w:lang w:val="en-US" w:eastAsia="zh-CN"/>
        </w:rPr>
        <w:t>践行中央过紧日子的文件精神，缩减经费开支</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pPr>
      <w: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基本支出预算</w:t>
      </w:r>
      <w:r>
        <w:rPr>
          <w:rFonts w:hint="eastAsia"/>
          <w:lang w:val="en-US" w:eastAsia="zh-CN"/>
        </w:rPr>
        <w:t>24.18</w:t>
      </w:r>
      <w:r>
        <w:rPr>
          <w:rFonts w:hint="eastAsia"/>
        </w:rPr>
        <w:t>万元，占支出预算</w:t>
      </w:r>
      <w:r>
        <w:rPr>
          <w:u w:color="auto"/>
        </w:rPr>
        <w:t>100.00%,比上年增长1.82万元，增长8.14%</w:t>
      </w:r>
      <w:r>
        <w:t>。</w:t>
      </w:r>
      <w:r>
        <w:rPr>
          <w:rFonts w:hint="eastAsia"/>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23.47</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97.06%</w:t>
      </w:r>
      <w:r>
        <w:rPr>
          <w:rFonts w:hint="eastAsia" w:ascii="宋体" w:hAnsi="宋体" w:eastAsia="宋体" w:cs="宋体"/>
          <w:sz w:val="28"/>
          <w:szCs w:val="28"/>
        </w:rPr>
        <w:t>,比上年</w:t>
      </w:r>
      <w:r>
        <w:rPr>
          <w:rFonts w:ascii="宋体" w:hAnsi="宋体" w:eastAsia="宋体" w:cs="宋体"/>
          <w:sz w:val="28"/>
          <w:u w:color="auto"/>
        </w:rPr>
        <w:t>增长1.95万元，增长9.06%,主要原因是：人员工资福利和经费支出增加，增加基础性绩效工资增量</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0.71</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2.94%</w:t>
      </w:r>
      <w:r>
        <w:rPr>
          <w:rFonts w:hint="eastAsia" w:ascii="宋体" w:hAnsi="宋体" w:eastAsia="宋体" w:cs="宋体"/>
          <w:sz w:val="28"/>
          <w:szCs w:val="28"/>
        </w:rPr>
        <w:t>,比上年</w:t>
      </w:r>
      <w:r>
        <w:rPr>
          <w:rFonts w:ascii="宋体" w:hAnsi="宋体" w:eastAsia="宋体" w:cs="宋体"/>
          <w:sz w:val="28"/>
          <w:u w:color="auto"/>
        </w:rPr>
        <w:t>减少0.13万元，减少15.48%,主要原因是：践行中央过紧日子的文件精神，缩减经费开支</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45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24.18</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24.18</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22.36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增加1.82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增长8.14%</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22.36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增加1.82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增长8.14%</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45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24.18</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22.36</w:t>
      </w:r>
      <w:r>
        <w:rPr>
          <w:rFonts w:hint="eastAsia" w:ascii="宋体" w:hAnsi="宋体" w:eastAsia="宋体" w:cs="宋体"/>
          <w:sz w:val="28"/>
          <w:szCs w:val="28"/>
        </w:rPr>
        <w:t>万元，</w:t>
      </w:r>
      <w:r>
        <w:rPr>
          <w:rFonts w:hint="eastAsia" w:ascii="宋体" w:hAnsi="宋体" w:eastAsia="宋体" w:cs="宋体"/>
          <w:sz w:val="28"/>
          <w:szCs w:val="28"/>
          <w:lang w:val="en-US" w:eastAsia="zh-CN"/>
        </w:rPr>
        <w:t>增加1.82</w:t>
      </w:r>
      <w:r>
        <w:rPr>
          <w:rFonts w:hint="eastAsia" w:ascii="宋体" w:hAnsi="宋体" w:eastAsia="宋体" w:cs="宋体"/>
          <w:sz w:val="28"/>
          <w:szCs w:val="28"/>
        </w:rPr>
        <w:t>万元，</w:t>
      </w:r>
      <w:r>
        <w:rPr>
          <w:rFonts w:hint="eastAsia" w:ascii="宋体" w:hAnsi="宋体" w:eastAsia="宋体" w:cs="宋体"/>
          <w:sz w:val="28"/>
          <w:szCs w:val="28"/>
          <w:lang w:val="en-US" w:eastAsia="zh-CN"/>
        </w:rPr>
        <w:t>增长8.14%</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0.23</w:t>
      </w:r>
      <w:r>
        <w:rPr>
          <w:rFonts w:hint="eastAsia" w:ascii="宋体" w:hAnsi="宋体" w:eastAsia="宋体" w:cs="宋体"/>
          <w:sz w:val="28"/>
          <w:szCs w:val="28"/>
        </w:rPr>
        <w:t>万元，占支出总预算的</w:t>
      </w:r>
      <w:r>
        <w:rPr>
          <w:rFonts w:ascii="宋体" w:hAnsi="宋体" w:eastAsia="宋体" w:cs="宋体"/>
          <w:sz w:val="28"/>
          <w:u w:color="auto"/>
        </w:rPr>
        <w:t>0.95%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0.36</w:t>
      </w:r>
      <w:r>
        <w:rPr>
          <w:rFonts w:hint="eastAsia" w:ascii="宋体" w:hAnsi="宋体" w:eastAsia="宋体" w:cs="宋体"/>
          <w:sz w:val="28"/>
          <w:szCs w:val="28"/>
        </w:rPr>
        <w:t>万元，</w:t>
      </w:r>
      <w:r>
        <w:rPr>
          <w:rFonts w:ascii="宋体" w:hAnsi="宋体" w:eastAsia="宋体" w:cs="宋体"/>
          <w:sz w:val="28"/>
          <w:u w:color="auto"/>
        </w:rPr>
        <w:t>减少0.13</w:t>
      </w:r>
      <w:r>
        <w:rPr>
          <w:rFonts w:hint="eastAsia" w:ascii="宋体" w:hAnsi="宋体" w:eastAsia="宋体" w:cs="宋体"/>
          <w:sz w:val="28"/>
          <w:szCs w:val="28"/>
        </w:rPr>
        <w:t>万元，</w:t>
      </w:r>
      <w:r>
        <w:rPr>
          <w:rFonts w:ascii="宋体" w:hAnsi="宋体" w:eastAsia="宋体" w:cs="宋体"/>
          <w:sz w:val="28"/>
          <w:u w:color="auto"/>
        </w:rPr>
        <w:t>减少36.11%</w:t>
      </w:r>
      <w:r>
        <w:rPr>
          <w:rFonts w:hint="eastAsia" w:ascii="宋体" w:hAnsi="宋体" w:eastAsia="宋体" w:cs="宋体"/>
          <w:sz w:val="28"/>
          <w:szCs w:val="28"/>
        </w:rPr>
        <w:t>，主要原因是：</w:t>
      </w:r>
      <w:r>
        <w:rPr>
          <w:rFonts w:hint="eastAsia"/>
          <w:highlight w:val="none"/>
        </w:rPr>
        <w:t>践行中央过紧日子的文件精神，缩减经费开支</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2.46</w:t>
      </w:r>
      <w:r>
        <w:rPr>
          <w:rFonts w:hint="eastAsia" w:ascii="宋体" w:hAnsi="宋体" w:eastAsia="宋体" w:cs="宋体"/>
          <w:sz w:val="28"/>
          <w:szCs w:val="28"/>
        </w:rPr>
        <w:t>万元，占支出总预算的</w:t>
      </w:r>
      <w:r>
        <w:rPr>
          <w:rFonts w:ascii="宋体" w:hAnsi="宋体" w:eastAsia="宋体" w:cs="宋体"/>
          <w:sz w:val="28"/>
          <w:u w:color="auto"/>
        </w:rPr>
        <w:t>10.17%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2.18</w:t>
      </w:r>
      <w:r>
        <w:rPr>
          <w:rFonts w:hint="eastAsia" w:ascii="宋体" w:hAnsi="宋体" w:eastAsia="宋体" w:cs="宋体"/>
          <w:sz w:val="28"/>
          <w:szCs w:val="28"/>
        </w:rPr>
        <w:t>万元，</w:t>
      </w:r>
      <w:r>
        <w:rPr>
          <w:rFonts w:ascii="宋体" w:hAnsi="宋体" w:eastAsia="宋体" w:cs="宋体"/>
          <w:sz w:val="28"/>
          <w:u w:color="auto"/>
        </w:rPr>
        <w:t>增长0.28</w:t>
      </w:r>
      <w:r>
        <w:rPr>
          <w:rFonts w:hint="eastAsia" w:ascii="宋体" w:hAnsi="宋体" w:eastAsia="宋体" w:cs="宋体"/>
          <w:sz w:val="28"/>
          <w:szCs w:val="28"/>
        </w:rPr>
        <w:t>万元，</w:t>
      </w:r>
      <w:r>
        <w:rPr>
          <w:rFonts w:ascii="宋体" w:hAnsi="宋体" w:eastAsia="宋体" w:cs="宋体"/>
          <w:sz w:val="28"/>
          <w:u w:color="auto"/>
        </w:rPr>
        <w:t>增长12.84%</w:t>
      </w:r>
      <w:r>
        <w:rPr>
          <w:rFonts w:hint="eastAsia" w:ascii="宋体" w:hAnsi="宋体" w:eastAsia="宋体" w:cs="宋体"/>
          <w:sz w:val="28"/>
          <w:szCs w:val="28"/>
        </w:rPr>
        <w:t>，主要原因是：</w:t>
      </w:r>
      <w:r>
        <w:rPr>
          <w:rFonts w:hint="eastAsia"/>
          <w:highlight w:val="none"/>
        </w:rPr>
        <w:t>人员工资福利和经费支出增加，增加基础性绩效工资增量</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18.68</w:t>
      </w:r>
      <w:r>
        <w:rPr>
          <w:rFonts w:hint="eastAsia" w:ascii="宋体" w:hAnsi="宋体" w:eastAsia="宋体" w:cs="宋体"/>
          <w:sz w:val="28"/>
          <w:szCs w:val="28"/>
        </w:rPr>
        <w:t>万元，占支出总预算的</w:t>
      </w:r>
      <w:r>
        <w:rPr>
          <w:rFonts w:ascii="宋体" w:hAnsi="宋体" w:eastAsia="宋体" w:cs="宋体"/>
          <w:sz w:val="28"/>
          <w:u w:color="auto"/>
        </w:rPr>
        <w:t>77.25%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16.92</w:t>
      </w:r>
      <w:r>
        <w:rPr>
          <w:rFonts w:hint="eastAsia" w:ascii="宋体" w:hAnsi="宋体" w:eastAsia="宋体" w:cs="宋体"/>
          <w:sz w:val="28"/>
          <w:szCs w:val="28"/>
        </w:rPr>
        <w:t>万元，</w:t>
      </w:r>
      <w:r>
        <w:rPr>
          <w:rFonts w:ascii="宋体" w:hAnsi="宋体" w:eastAsia="宋体" w:cs="宋体"/>
          <w:sz w:val="28"/>
          <w:u w:color="auto"/>
        </w:rPr>
        <w:t>增长1.76</w:t>
      </w:r>
      <w:r>
        <w:rPr>
          <w:rFonts w:hint="eastAsia" w:ascii="宋体" w:hAnsi="宋体" w:eastAsia="宋体" w:cs="宋体"/>
          <w:sz w:val="28"/>
          <w:szCs w:val="28"/>
        </w:rPr>
        <w:t>万元，</w:t>
      </w:r>
      <w:r>
        <w:rPr>
          <w:rFonts w:ascii="宋体" w:hAnsi="宋体" w:eastAsia="宋体" w:cs="宋体"/>
          <w:sz w:val="28"/>
          <w:u w:color="auto"/>
        </w:rPr>
        <w:t>增长10.40%</w:t>
      </w:r>
      <w:r>
        <w:rPr>
          <w:rFonts w:hint="eastAsia" w:ascii="宋体" w:hAnsi="宋体" w:eastAsia="宋体" w:cs="宋体"/>
          <w:sz w:val="28"/>
          <w:szCs w:val="28"/>
        </w:rPr>
        <w:t>，主要原因是：</w:t>
      </w:r>
      <w:r>
        <w:rPr>
          <w:rFonts w:hint="eastAsia"/>
          <w:highlight w:val="none"/>
        </w:rPr>
        <w:t>人员工资福利和经费支出增加，增加基础性绩效工资增量</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2.82</w:t>
      </w:r>
      <w:r>
        <w:rPr>
          <w:rFonts w:hint="eastAsia" w:ascii="宋体" w:hAnsi="宋体" w:eastAsia="宋体" w:cs="宋体"/>
          <w:sz w:val="28"/>
          <w:szCs w:val="28"/>
        </w:rPr>
        <w:t>万元，占支出总预算的</w:t>
      </w:r>
      <w:r>
        <w:rPr>
          <w:rFonts w:ascii="宋体" w:hAnsi="宋体" w:eastAsia="宋体" w:cs="宋体"/>
          <w:sz w:val="28"/>
          <w:u w:color="auto"/>
        </w:rPr>
        <w:t>11.66%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2.91</w:t>
      </w:r>
      <w:r>
        <w:rPr>
          <w:rFonts w:hint="eastAsia" w:ascii="宋体" w:hAnsi="宋体" w:eastAsia="宋体" w:cs="宋体"/>
          <w:sz w:val="28"/>
          <w:szCs w:val="28"/>
        </w:rPr>
        <w:t>万元，</w:t>
      </w:r>
      <w:r>
        <w:rPr>
          <w:rFonts w:ascii="宋体" w:hAnsi="宋体" w:eastAsia="宋体" w:cs="宋体"/>
          <w:sz w:val="28"/>
          <w:u w:color="auto"/>
        </w:rPr>
        <w:t>减少0.09</w:t>
      </w:r>
      <w:r>
        <w:rPr>
          <w:rFonts w:hint="eastAsia" w:ascii="宋体" w:hAnsi="宋体" w:eastAsia="宋体" w:cs="宋体"/>
          <w:sz w:val="28"/>
          <w:szCs w:val="28"/>
        </w:rPr>
        <w:t>万元，</w:t>
      </w:r>
      <w:r>
        <w:rPr>
          <w:rFonts w:ascii="宋体" w:hAnsi="宋体" w:eastAsia="宋体" w:cs="宋体"/>
          <w:sz w:val="28"/>
          <w:u w:color="auto"/>
        </w:rPr>
        <w:t>减少3.09%</w:t>
      </w:r>
      <w:r>
        <w:rPr>
          <w:rFonts w:hint="eastAsia" w:ascii="宋体" w:hAnsi="宋体" w:eastAsia="宋体" w:cs="宋体"/>
          <w:sz w:val="28"/>
          <w:szCs w:val="28"/>
        </w:rPr>
        <w:t>，主要原因是：</w:t>
      </w:r>
      <w:r>
        <w:rPr>
          <w:rFonts w:hint="eastAsia"/>
          <w:highlight w:val="none"/>
        </w:rPr>
        <w:t>践行中央过紧日子的文件精神，缩减经费开支</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5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24.18</w:t>
      </w:r>
      <w:r>
        <w:rPr>
          <w:rFonts w:hint="eastAsia"/>
        </w:rPr>
        <w:t>万元，较2023年度预算数</w:t>
      </w:r>
      <w:r>
        <w:rPr>
          <w:rFonts w:hint="eastAsia"/>
          <w:lang w:val="en-US" w:eastAsia="zh-CN"/>
        </w:rPr>
        <w:t>22.36</w:t>
      </w:r>
      <w:r>
        <w:rPr>
          <w:rFonts w:hint="eastAsia"/>
        </w:rPr>
        <w:t>万元</w:t>
      </w:r>
      <w:r>
        <w:rPr>
          <w:rFonts w:hint="eastAsia"/>
          <w:lang w:val="en-US" w:eastAsia="zh-CN"/>
        </w:rPr>
        <w:t>,</w:t>
      </w:r>
      <w:r>
        <w:rPr>
          <w:u w:color="auto"/>
        </w:rPr>
        <w:t>增加1.82</w:t>
      </w:r>
      <w:r>
        <w:rPr>
          <w:rFonts w:hint="eastAsia"/>
        </w:rPr>
        <w:t>万元，</w:t>
      </w:r>
      <w:r>
        <w:rPr>
          <w:rFonts w:hint="eastAsia"/>
          <w:lang w:val="en-US" w:eastAsia="zh-CN"/>
        </w:rPr>
        <w:t>增长8.14%</w:t>
      </w:r>
      <w:r>
        <w:rPr>
          <w:rFonts w:hint="eastAsia"/>
        </w:rPr>
        <w:t>，主要原因是</w:t>
      </w:r>
      <w:r>
        <w:rPr>
          <w:rFonts w:hint="eastAsia"/>
          <w:highlight w:val="none"/>
          <w:lang w:val="en-US" w:eastAsia="zh-CN"/>
        </w:rPr>
        <w:t>人员工资福利和经费支出增加，增加基础性绩效工资增量</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23.47</w:t>
      </w:r>
      <w:r>
        <w:t>万元</w:t>
      </w:r>
      <w:r>
        <w:rPr>
          <w:rFonts w:hint="eastAsia"/>
          <w:lang w:eastAsia="zh-CN"/>
        </w:rPr>
        <w:t>，</w:t>
      </w:r>
      <w:r>
        <w:rPr>
          <w:rFonts w:hint="eastAsia"/>
        </w:rPr>
        <w:t>占基本支出预算的</w:t>
      </w:r>
      <w:r>
        <w:rPr>
          <w:rFonts w:hint="eastAsia"/>
          <w:lang w:val="en-US" w:eastAsia="zh-CN"/>
        </w:rPr>
        <w:t>97.06%</w:t>
      </w:r>
      <w:r>
        <w:rPr>
          <w:rFonts w:hint="eastAsia"/>
        </w:rPr>
        <w:t>，较2023年度预算数</w:t>
      </w:r>
      <w:r>
        <w:rPr>
          <w:rFonts w:hint="eastAsia"/>
          <w:lang w:val="en-US" w:eastAsia="zh-CN"/>
        </w:rPr>
        <w:t>21.52</w:t>
      </w:r>
      <w:r>
        <w:rPr>
          <w:rFonts w:hint="eastAsia"/>
        </w:rPr>
        <w:t>万元，</w:t>
      </w:r>
      <w:r>
        <w:rPr>
          <w:rFonts w:hint="eastAsia"/>
          <w:lang w:val="en-US" w:eastAsia="zh-CN"/>
        </w:rPr>
        <w:t>增长1.95</w:t>
      </w:r>
      <w:r>
        <w:rPr>
          <w:rFonts w:hint="eastAsia"/>
        </w:rPr>
        <w:t>万元，</w:t>
      </w:r>
      <w:r>
        <w:rPr>
          <w:rFonts w:hint="eastAsia"/>
          <w:lang w:val="en-US" w:eastAsia="zh-CN"/>
        </w:rPr>
        <w:t>增长9.06%</w:t>
      </w:r>
      <w:r>
        <w:rPr>
          <w:rFonts w:hint="eastAsia"/>
        </w:rPr>
        <w:t>，主要原因是：</w:t>
      </w:r>
      <w:r>
        <w:rPr>
          <w:rFonts w:hint="eastAsia"/>
          <w:highlight w:val="none"/>
        </w:rPr>
        <w:t>人员工资福利和经费支出增加，增加基础性绩效工资增量</w:t>
      </w:r>
      <w:r>
        <w:rPr>
          <w:rFonts w:hint="eastAsia"/>
          <w:highlight w:val="none"/>
          <w:lang w:val="en-US"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0.71</w:t>
      </w:r>
      <w:r>
        <w:t>万元</w:t>
      </w:r>
      <w:r>
        <w:rPr>
          <w:rFonts w:hint="eastAsia"/>
          <w:lang w:eastAsia="zh-CN"/>
        </w:rPr>
        <w:t>，</w:t>
      </w:r>
      <w:r>
        <w:rPr>
          <w:rFonts w:hint="eastAsia"/>
        </w:rPr>
        <w:t>占基本支出预算的</w:t>
      </w:r>
      <w:r>
        <w:rPr>
          <w:rFonts w:hint="eastAsia"/>
          <w:lang w:val="en-US" w:eastAsia="zh-CN"/>
        </w:rPr>
        <w:t>2.94%</w:t>
      </w:r>
      <w:r>
        <w:rPr>
          <w:rFonts w:hint="eastAsia"/>
        </w:rPr>
        <w:t>，较2023年度预算数</w:t>
      </w:r>
      <w:r>
        <w:rPr>
          <w:rFonts w:hint="eastAsia"/>
          <w:lang w:val="en-US" w:eastAsia="zh-CN"/>
        </w:rPr>
        <w:t>0.84</w:t>
      </w:r>
      <w:r>
        <w:rPr>
          <w:rFonts w:hint="eastAsia"/>
        </w:rPr>
        <w:t>万元，</w:t>
      </w:r>
      <w:r>
        <w:rPr>
          <w:rFonts w:hint="eastAsia"/>
          <w:lang w:val="en-US" w:eastAsia="zh-CN"/>
        </w:rPr>
        <w:t>减少0.13</w:t>
      </w:r>
      <w:r>
        <w:rPr>
          <w:rFonts w:hint="eastAsia"/>
        </w:rPr>
        <w:t>万元，</w:t>
      </w:r>
      <w:r>
        <w:rPr>
          <w:rFonts w:hint="eastAsia"/>
          <w:lang w:val="en-US" w:eastAsia="zh-CN"/>
        </w:rPr>
        <w:t>减少15.48%</w:t>
      </w:r>
      <w:r>
        <w:rPr>
          <w:rFonts w:hint="eastAsia"/>
        </w:rPr>
        <w:t>，主要原因是：</w:t>
      </w:r>
      <w:r>
        <w:rPr>
          <w:rFonts w:hint="eastAsia"/>
          <w:highlight w:val="none"/>
        </w:rPr>
        <w:t>践行中央过紧日子的文件精神，缩减经费开支</w:t>
      </w:r>
      <w:r>
        <w:rPr>
          <w:rFonts w:hint="eastAsia"/>
          <w:highlight w:val="none"/>
          <w:lang w:val="en-US" w:eastAsia="zh-CN"/>
        </w:rPr>
        <w:t>。</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5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本部门无因公出国（境）费用支出</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公务接待费统一在政府部门核算</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本部门本年度无新增公务车购置</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无公务用车运行维护费</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我部门2024年无部门政府性基金预算</w:t>
      </w:r>
      <w:r>
        <w:rPr>
          <w:rFonts w:hint="eastAsia"/>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我部门2024年无部门国有资本经营预算</w:t>
      </w:r>
      <w:r>
        <w:rPr>
          <w:rFonts w:hint="eastAsia"/>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2024年本部门机关运行经费预算</w:t>
      </w:r>
      <w:r>
        <w:rPr>
          <w:rFonts w:hint="eastAsia" w:ascii="宋体" w:hAnsi="宋体" w:eastAsia="宋体" w:cs="宋体"/>
          <w:sz w:val="28"/>
          <w:szCs w:val="28"/>
          <w:lang w:val="en-US" w:eastAsia="zh-CN"/>
        </w:rPr>
        <w:t>0.71</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0.84</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减少0.13</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下降15.48%</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践行中央过紧日子的文件精神，缩减经费开支</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主要用于：0</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0</w:t>
      </w:r>
      <w:r>
        <w:rPr>
          <w:rFonts w:hint="eastAsia" w:ascii="宋体" w:hAnsi="宋体" w:eastAsia="宋体" w:cs="宋体"/>
          <w:sz w:val="28"/>
          <w:szCs w:val="28"/>
          <w:lang w:eastAsia="zh-CN"/>
        </w:rPr>
        <w:t>个，预算资金</w:t>
      </w:r>
      <w:r>
        <w:rPr>
          <w:rFonts w:hint="eastAsia"/>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重点项目集中在政府部门预算，故我部门2024年无重点项目预算</w:t>
      </w:r>
    </w:p>
    <w:p>
      <w:pPr>
        <w:pStyle w:val="18"/>
        <w:spacing w:line="624" w:lineRule="exact"/>
        <w:ind w:firstLine="600"/>
        <w:jc w:val="left"/>
        <w:rPr>
          <w:rFonts w:hint="eastAsia"/>
          <w:highlight w:val="none"/>
          <w:lang w:val="en-US" w:eastAsia="zh-CN"/>
        </w:rPr>
      </w:pPr>
    </w:p>
    <w:p>
      <w:pPr>
        <w:pStyle w:val="18"/>
        <w:spacing w:line="624" w:lineRule="exact"/>
        <w:jc w:val="left"/>
        <w:rPr>
          <w:rFonts w:hint="default"/>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环江毛南族自治县大才乡乡村振兴工作站</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29"/>
      <w:bookmarkStart w:id="17" w:name="bookmark31"/>
      <w:bookmarkStart w:id="18" w:name="bookmark30"/>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环江毛南族自治县大才乡乡村振兴工作站</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24.18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0.23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24.18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2.82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18.68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24.18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24.18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24.18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24.18</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环江毛南族自治县大才乡乡村振兴工作站</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24.18</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24.18</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24.18</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702006</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24.18</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24.18</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24.18</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3"/>
      <w:bookmarkStart w:id="20" w:name="bookmark42"/>
      <w:bookmarkStart w:id="21" w:name="bookmark41"/>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环江毛南族自治县大才乡乡村振兴工作站</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24.18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24.18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702006</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24.18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24.18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2.82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2.82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事业运行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18.68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18.68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5"/>
      <w:bookmarkStart w:id="23" w:name="bookmark44"/>
      <w:bookmarkStart w:id="24" w:name="bookmark46"/>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环江毛南族自治县大才乡乡村振兴工作站</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24.18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0.23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24.18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2.82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18.68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24.18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24.18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24.18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24.18</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环江毛南族自治县大才乡乡村振兴工作站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702006</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24.18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24.18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23.47</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0.71</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0.23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0.23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0.23</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2.82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2.82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2.82</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2130104</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事业运行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18.68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18.68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18.20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0.48</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2.46</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2.46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2.46</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8"/>
      <w:bookmarkStart w:id="26" w:name="bookmark56"/>
      <w:bookmarkStart w:id="27" w:name="bookmark57"/>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环江毛南族自治县大才乡乡村振兴工作站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24.18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23.47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23.47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23.47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7.27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7.27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4.37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4.37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2.82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2.82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环江毛南族自治县大才乡乡村振兴工作站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702006</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环江毛南族自治县大才乡乡村振兴工作站</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2130104</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事业运行</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环江毛南族自治县大才乡乡村振兴工作站</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环江毛南族自治县大才乡乡村振兴工作站</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5"/>
      <w:bookmarkStart w:id="32" w:name="bookmark96"/>
      <w:bookmarkStart w:id="33" w:name="bookmark94"/>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OSaHPsDAgAACw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457"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CEfdM0JAgAACw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459"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Ljt2AAAAAcBAAAPAAAAAAAAAAEAIAAAACIA&#10;AABkcnMvZG93bnJldi54bWxQSwECFAAUAAAACACHTuJAOmx8LgkCAAALBAAADgAAAAAAAAABACAA&#10;AAAn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0"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LMUeRIDAgAACw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1"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OqQNOgDAgAADA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2"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JTCRpkDAgAADA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5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Amzm9HpAQAA5A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58"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KyCc8egBAADkAwAADgAAAAAAAAABACAAAAAqAQAAZHJzL2Uyb0RvYy54bWxQSwUGAAAAAAYA&#10;BgBZAQAAhA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singleLevel"/>
    <w:tmpl w:val="59ADCABA"/>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dit="readOnly" w:enforcement="1" w:cryptProviderType="rsaAES" w:cryptAlgorithmClass="hash" w:cryptAlgorithmType="typeAny" w:cryptAlgorithmSid="14" w:cryptSpinCount="100000" w:hash="DHWFfFrwOWsrI1K9fGtIV8Pj44u5B/1sVpbWB/mGnLER4iChSkv/2sZhbqWfn/P9qtW7NJxCSQ2mkq0DQMooUQ==" w:salt="BUvvqnwu0UEp9QYCedPsJg=="/>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MmYwZTNiZDI5Y2Q4YzI1NGE3NmVlMWM4ODU1YTUifQ=="/>
  </w:docVars>
  <w:rsids>
    <w:rsidRoot w:val="00000000"/>
    <w:rsid w:val="7272067C"/>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24.18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0.23</c:v>
                </c:pt>
                <c:pt idx="1">
                  <c:v>2.82</c:v>
                </c:pt>
                <c:pt idx="2">
                  <c:v>18.68</c:v>
                </c:pt>
                <c:pt idx="3">
                  <c:v>2.46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22.36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24.18</c:v>
                </c:pt>
              </c:numCache>
            </c:numRef>
          </c:val>
        </c:ser>
        <c:ser>
          <c:idx val="2"/>
          <c:order val="2"/>
          <c:tx>
            <c:strRef>
              <c:f>Sheet1!$D$1</c:f>
              <c:strCache>
                <c:ptCount val="1"/>
                <c:pt idx="0">
                  <c:v>MOF_DIV_CODE</c:v>
                </c:pt>
              </c:strCache>
            </c:strRef>
          </c:tx>
          <c:invertIfNegative val="0"/>
          <c:dLbls>
            <c:delete val="1"/>
          </c:dLbls>
          <c:cat>
            <c:strRef>
              <c:f>Sheet1!$A$2</c:f>
              <c:strCache>
                <c:ptCount val="1"/>
                <c:pt idx="0">
                  <c:v>收入</c:v>
                </c:pt>
              </c:strCache>
            </c:strRef>
          </c:cat>
          <c:val>
            <c:numRef>
              <c:f>Sheet1!$D$2</c:f>
              <c:numCache>
                <c:formatCode>General</c:formatCode>
                <c:ptCount val="1"/>
                <c:pt idx="0">
                  <c:v>451226000</c:v>
                </c:pt>
              </c:numCache>
            </c:numRef>
          </c:val>
        </c:ser>
        <c:ser>
          <c:idx val="3"/>
          <c:order val="3"/>
          <c:tx>
            <c:strRef>
              <c:f>Sheet1!$E$1</c:f>
              <c:strCache>
                <c:ptCount val="1"/>
                <c:pt idx="0">
                  <c:v>AGENCY_CODE</c:v>
                </c:pt>
              </c:strCache>
            </c:strRef>
          </c:tx>
          <c:invertIfNegative val="0"/>
          <c:dLbls>
            <c:delete val="1"/>
          </c:dLbls>
          <c:cat>
            <c:strRef>
              <c:f>Sheet1!$A$2</c:f>
              <c:strCache>
                <c:ptCount val="1"/>
                <c:pt idx="0">
                  <c:v>收入</c:v>
                </c:pt>
              </c:strCache>
            </c:strRef>
          </c:cat>
          <c:val>
            <c:numRef>
              <c:f>Sheet1!$E$2</c:f>
              <c:numCache>
                <c:formatCode>General</c:formatCode>
                <c:ptCount val="1"/>
                <c:pt idx="0">
                  <c:v>702006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24.18</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0.71</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23.47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23.47</c:v>
                </c:pt>
                <c:pt idx="1">
                  <c:v>0.71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7d3e6-c5e7-43d0-aa90-4c7d2a9a6a0e}">
  <ds:schemaRefs/>
</ds:datastoreItem>
</file>

<file path=customXml/itemProps3.xml><?xml version="1.0" encoding="utf-8"?>
<ds:datastoreItem xmlns:ds="http://schemas.openxmlformats.org/officeDocument/2006/customXml" ds:itemID="{9fe5b553-8216-4e77-a799-27553fe49c00}">
  <ds:schemaRefs/>
</ds:datastoreItem>
</file>

<file path=customXml/itemProps4.xml><?xml version="1.0" encoding="utf-8"?>
<ds:datastoreItem xmlns:ds="http://schemas.openxmlformats.org/officeDocument/2006/customXml" ds:itemID="{e91e9acf-4dfa-4b2e-b617-54defb55163b}">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HJCL</cp:lastModifiedBy>
  <dcterms:modified xsi:type="dcterms:W3CDTF">2024-02-29T01:20:19Z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039D9B51ECF0451B9172D1C6D52D92CB</vt:lpwstr>
  </property>
</Properties>
</file>