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环江毛南族自治县大才乡水利站</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0"/>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环江毛南族自治县大才乡水利站单位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环江毛南族自治县大才乡水利站2024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环江毛南族自治县大才乡水利站2024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2"/>
      <w:bookmarkStart w:id="5" w:name="bookmark14"/>
      <w:r>
        <w:rPr>
          <w:b/>
          <w:bCs/>
          <w:sz w:val="40"/>
          <w:szCs w:val="40"/>
        </w:rPr>
        <w:t>第一部分</w:t>
      </w:r>
      <w:r>
        <w:rPr>
          <w:rFonts w:hint="eastAsia"/>
          <w:b/>
          <w:bCs/>
          <w:sz w:val="40"/>
          <w:szCs w:val="40"/>
          <w:lang w:eastAsia="zh-CN"/>
        </w:rPr>
        <w:t>：</w:t>
      </w:r>
      <w:r>
        <w:rPr>
          <w:b/>
          <w:sz w:val="40"/>
          <w:u w:color="auto"/>
        </w:rPr>
        <w:t>环江毛南族自治县大才乡水利站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承担贯彻执行国家、自治区、市、县等有关:水利的法律法规、方针和政策;统一管理镇水资源(含空中水地表水、地下水),配合拟定镇水资源与环境保护规划;组织协调防汛抗旱、农田水利基本建设、人畜饮水、农业节水灌溉、乡镇供水等工作;组织指导水利工程日常维护和管理;组织水利科学技术推广,农村水利技术人员培训工作;完成上级业务部门和镇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本部门人员编制数为2人，实际在编人数2人，本部门独立编制预算，经本机财政单独批复，独立公开预算，均在主管单位环江县财政局公开专栏独立公开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69"/>
      <w:bookmarkStart w:id="9" w:name="bookmark70"/>
      <w:bookmarkStart w:id="10" w:name="bookmark28"/>
      <w:bookmarkStart w:id="11" w:name="bookmark26"/>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环江毛南族自治县大才乡水利站</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24.51</w:t>
      </w:r>
      <w:r>
        <w:rPr>
          <w:rFonts w:hint="eastAsia"/>
          <w:b w:val="0"/>
          <w:bCs w:val="0"/>
          <w:sz w:val="28"/>
          <w:szCs w:val="28"/>
        </w:rPr>
        <w:t>万元，总支出</w:t>
      </w:r>
      <w:r>
        <w:rPr>
          <w:rFonts w:hint="eastAsia"/>
          <w:sz w:val="28"/>
          <w:szCs w:val="28"/>
          <w:lang w:val="en-US" w:eastAsia="zh-CN"/>
        </w:rPr>
        <w:t>24.51</w:t>
      </w:r>
      <w:r>
        <w:rPr>
          <w:rFonts w:hint="eastAsia"/>
          <w:b w:val="0"/>
          <w:bCs w:val="0"/>
          <w:sz w:val="28"/>
          <w:szCs w:val="28"/>
        </w:rPr>
        <w:t>万元。总收入较2023年度预算数</w:t>
      </w:r>
      <w:r>
        <w:rPr>
          <w:rFonts w:hint="eastAsia"/>
          <w:sz w:val="28"/>
          <w:szCs w:val="28"/>
          <w:lang w:val="en-US" w:eastAsia="zh-CN"/>
        </w:rPr>
        <w:t>22.90</w:t>
      </w:r>
      <w:r>
        <w:rPr>
          <w:rFonts w:hint="eastAsia"/>
          <w:b w:val="0"/>
          <w:bCs w:val="0"/>
          <w:sz w:val="28"/>
          <w:szCs w:val="28"/>
        </w:rPr>
        <w:t>万元，</w:t>
      </w:r>
      <w:r>
        <w:rPr>
          <w:rFonts w:hint="eastAsia"/>
          <w:sz w:val="28"/>
          <w:szCs w:val="28"/>
        </w:rPr>
        <w:t>增加1.61</w:t>
      </w:r>
      <w:r>
        <w:rPr>
          <w:rFonts w:hint="eastAsia"/>
          <w:b w:val="0"/>
          <w:bCs w:val="0"/>
          <w:sz w:val="28"/>
          <w:szCs w:val="28"/>
        </w:rPr>
        <w:t>万元，</w:t>
      </w:r>
      <w:r>
        <w:rPr>
          <w:rFonts w:hint="eastAsia"/>
          <w:sz w:val="28"/>
          <w:szCs w:val="28"/>
        </w:rPr>
        <w:t>增长7.03%</w:t>
      </w:r>
      <w:r>
        <w:rPr>
          <w:rFonts w:hint="eastAsia"/>
          <w:b w:val="0"/>
          <w:bCs w:val="0"/>
          <w:sz w:val="28"/>
          <w:szCs w:val="28"/>
        </w:rPr>
        <w:t>，主要原因是</w:t>
      </w:r>
      <w:r>
        <w:rPr>
          <w:rFonts w:hint="eastAsia"/>
          <w:highlight w:val="none"/>
          <w:lang w:val="en-US" w:eastAsia="zh-CN"/>
        </w:rPr>
        <w:t>承担贯彻执行国家、自治区、市、县等有关:水利的法律法规、方针和政策;统一管理镇水资源(含空中水地表水、地下水),配合拟定镇水资源与环境保护规划;组织协调防汛抗旱、农田水利基本建设、人畜饮水、农业节水灌溉、乡镇供水等工作;组织指导水利工程日常维护和管理;组织水利科学技术推广,农村水利技术人员培训工作;完成上级业务部门和镇党委、政府交给的其他工作任务</w:t>
      </w:r>
      <w:r>
        <w:rPr>
          <w:rFonts w:hint="eastAsia"/>
          <w:b w:val="0"/>
          <w:bCs w:val="0"/>
          <w:sz w:val="28"/>
          <w:szCs w:val="28"/>
        </w:rPr>
        <w:t>。总支出较2023年度预算数</w:t>
      </w:r>
      <w:r>
        <w:rPr>
          <w:rFonts w:hint="eastAsia"/>
          <w:sz w:val="28"/>
          <w:szCs w:val="28"/>
          <w:lang w:val="en-US" w:eastAsia="zh-CN"/>
        </w:rPr>
        <w:t>22.90</w:t>
      </w:r>
      <w:r>
        <w:rPr>
          <w:rFonts w:hint="eastAsia"/>
          <w:b w:val="0"/>
          <w:bCs w:val="0"/>
          <w:sz w:val="28"/>
          <w:szCs w:val="28"/>
        </w:rPr>
        <w:t>万元，</w:t>
      </w:r>
      <w:r>
        <w:rPr>
          <w:rFonts w:hint="eastAsia"/>
          <w:sz w:val="28"/>
          <w:szCs w:val="28"/>
        </w:rPr>
        <w:t>增加1.61</w:t>
      </w:r>
      <w:r>
        <w:rPr>
          <w:rFonts w:hint="eastAsia"/>
          <w:b w:val="0"/>
          <w:bCs w:val="0"/>
          <w:sz w:val="28"/>
          <w:szCs w:val="28"/>
        </w:rPr>
        <w:t>万元，</w:t>
      </w:r>
      <w:r>
        <w:rPr>
          <w:rFonts w:hint="eastAsia"/>
          <w:sz w:val="28"/>
          <w:szCs w:val="28"/>
        </w:rPr>
        <w:t>增长7.03%</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8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24.51</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22.90</w:t>
      </w:r>
      <w:r>
        <w:rPr>
          <w:rFonts w:hint="eastAsia" w:ascii="宋体" w:hAnsi="宋体" w:eastAsia="宋体" w:cs="宋体"/>
          <w:sz w:val="28"/>
          <w:szCs w:val="28"/>
          <w:u w:color="auto"/>
        </w:rPr>
        <w:t>万元，</w:t>
      </w:r>
      <w:r>
        <w:rPr>
          <w:rFonts w:hint="eastAsia" w:ascii="宋体" w:hAnsi="宋体" w:eastAsia="宋体" w:cs="宋体"/>
          <w:sz w:val="28"/>
          <w:szCs w:val="28"/>
        </w:rPr>
        <w:t>增加1.61</w:t>
      </w:r>
      <w:r>
        <w:rPr>
          <w:rFonts w:hint="eastAsia" w:ascii="宋体" w:hAnsi="宋体" w:eastAsia="宋体" w:cs="宋体"/>
          <w:sz w:val="28"/>
          <w:szCs w:val="28"/>
          <w:u w:color="auto"/>
        </w:rPr>
        <w:t>万元，</w:t>
      </w:r>
      <w:r>
        <w:rPr>
          <w:rFonts w:hint="eastAsia" w:ascii="宋体" w:hAnsi="宋体" w:eastAsia="宋体" w:cs="宋体"/>
          <w:sz w:val="28"/>
          <w:szCs w:val="28"/>
        </w:rPr>
        <w:t>增长7.03%</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69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24.51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22.90</w:t>
      </w:r>
      <w:r>
        <w:rPr>
          <w:rFonts w:hint="eastAsia" w:ascii="宋体" w:hAnsi="宋体" w:eastAsia="宋体" w:cs="宋体"/>
          <w:sz w:val="28"/>
          <w:szCs w:val="28"/>
          <w:lang w:eastAsia="zh-CN"/>
        </w:rPr>
        <w:t>万元，</w:t>
      </w:r>
      <w:r>
        <w:rPr>
          <w:rFonts w:hint="eastAsia" w:ascii="宋体" w:hAnsi="宋体" w:eastAsia="宋体" w:cs="宋体"/>
          <w:sz w:val="28"/>
          <w:szCs w:val="28"/>
        </w:rPr>
        <w:t>增加1.61</w:t>
      </w:r>
      <w:r>
        <w:rPr>
          <w:rFonts w:hint="eastAsia" w:ascii="宋体" w:hAnsi="宋体" w:eastAsia="宋体" w:cs="宋体"/>
          <w:sz w:val="28"/>
          <w:szCs w:val="28"/>
          <w:lang w:eastAsia="zh-CN"/>
        </w:rPr>
        <w:t>万元，</w:t>
      </w:r>
      <w:r>
        <w:rPr>
          <w:rFonts w:hint="eastAsia" w:ascii="宋体" w:hAnsi="宋体" w:eastAsia="宋体" w:cs="宋体"/>
          <w:sz w:val="28"/>
          <w:szCs w:val="28"/>
        </w:rPr>
        <w:t>增长7.03%</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18.92</w:t>
      </w:r>
      <w:r>
        <w:rPr>
          <w:rFonts w:hint="eastAsia"/>
        </w:rPr>
        <w:t>万元，占支出总预算</w:t>
      </w:r>
      <w:r>
        <w:rPr>
          <w:rFonts w:hint="eastAsia"/>
          <w:lang w:val="en-US" w:eastAsia="zh-CN"/>
        </w:rPr>
        <w:t>77.19%</w:t>
      </w:r>
      <w:r>
        <w:rPr>
          <w:rFonts w:hint="eastAsia"/>
        </w:rPr>
        <w:t>,比上年</w:t>
      </w:r>
      <w:r>
        <w:rPr>
          <w:rFonts w:hint="eastAsia"/>
          <w:lang w:val="en-US" w:eastAsia="zh-CN"/>
        </w:rPr>
        <w:t>增长1.59</w:t>
      </w:r>
      <w:r>
        <w:rPr>
          <w:rFonts w:hint="eastAsia"/>
        </w:rPr>
        <w:t>万元，</w:t>
      </w:r>
      <w:r>
        <w:rPr>
          <w:rFonts w:hint="eastAsia"/>
          <w:lang w:val="en-US" w:eastAsia="zh-CN"/>
        </w:rPr>
        <w:t>增长9.17%</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2)社会保障和就业支出</w:t>
      </w:r>
      <w:r>
        <w:rPr>
          <w:rFonts w:hint="eastAsia"/>
          <w:lang w:val="en-US" w:eastAsia="zh-CN"/>
        </w:rPr>
        <w:t>2.86</w:t>
      </w:r>
      <w:r>
        <w:rPr>
          <w:rFonts w:hint="eastAsia"/>
        </w:rPr>
        <w:t>万元，占支出总预算</w:t>
      </w:r>
      <w:r>
        <w:rPr>
          <w:rFonts w:hint="eastAsia"/>
          <w:lang w:val="en-US" w:eastAsia="zh-CN"/>
        </w:rPr>
        <w:t>11.67%</w:t>
      </w:r>
      <w:r>
        <w:rPr>
          <w:rFonts w:hint="eastAsia"/>
        </w:rPr>
        <w:t>,比上年</w:t>
      </w:r>
      <w:r>
        <w:rPr>
          <w:rFonts w:hint="eastAsia"/>
          <w:lang w:val="en-US" w:eastAsia="zh-CN"/>
        </w:rPr>
        <w:t>减少0.11</w:t>
      </w:r>
      <w:r>
        <w:rPr>
          <w:rFonts w:hint="eastAsia"/>
        </w:rPr>
        <w:t>万元，</w:t>
      </w:r>
      <w:r>
        <w:rPr>
          <w:rFonts w:hint="eastAsia"/>
          <w:lang w:val="en-US" w:eastAsia="zh-CN"/>
        </w:rPr>
        <w:t>减少3.70%</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2.49</w:t>
      </w:r>
      <w:r>
        <w:rPr>
          <w:rFonts w:hint="eastAsia"/>
        </w:rPr>
        <w:t>万元，占支出总预算</w:t>
      </w:r>
      <w:r>
        <w:rPr>
          <w:rFonts w:hint="eastAsia"/>
          <w:lang w:val="en-US" w:eastAsia="zh-CN"/>
        </w:rPr>
        <w:t>10.16%</w:t>
      </w:r>
      <w:r>
        <w:rPr>
          <w:rFonts w:hint="eastAsia"/>
        </w:rPr>
        <w:t>,比上年</w:t>
      </w:r>
      <w:r>
        <w:rPr>
          <w:rFonts w:hint="eastAsia"/>
          <w:lang w:val="en-US" w:eastAsia="zh-CN"/>
        </w:rPr>
        <w:t>增长0.26</w:t>
      </w:r>
      <w:r>
        <w:rPr>
          <w:rFonts w:hint="eastAsia"/>
        </w:rPr>
        <w:t>万元，</w:t>
      </w:r>
      <w:r>
        <w:rPr>
          <w:rFonts w:hint="eastAsia"/>
          <w:lang w:val="en-US" w:eastAsia="zh-CN"/>
        </w:rPr>
        <w:t>增长11.66%</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4)一般公共服务支出</w:t>
      </w:r>
      <w:r>
        <w:rPr>
          <w:rFonts w:hint="eastAsia"/>
          <w:lang w:val="en-US" w:eastAsia="zh-CN"/>
        </w:rPr>
        <w:t>0.24</w:t>
      </w:r>
      <w:r>
        <w:rPr>
          <w:rFonts w:hint="eastAsia"/>
        </w:rPr>
        <w:t>万元，占支出总预算</w:t>
      </w:r>
      <w:r>
        <w:rPr>
          <w:rFonts w:hint="eastAsia"/>
          <w:lang w:val="en-US" w:eastAsia="zh-CN"/>
        </w:rPr>
        <w:t>0.98%</w:t>
      </w:r>
      <w:r>
        <w:rPr>
          <w:rFonts w:hint="eastAsia"/>
        </w:rPr>
        <w:t>,比上年</w:t>
      </w:r>
      <w:r>
        <w:rPr>
          <w:rFonts w:hint="eastAsia"/>
          <w:lang w:val="en-US" w:eastAsia="zh-CN"/>
        </w:rPr>
        <w:t>减少0.13</w:t>
      </w:r>
      <w:r>
        <w:rPr>
          <w:rFonts w:hint="eastAsia"/>
        </w:rPr>
        <w:t>万元，</w:t>
      </w:r>
      <w:r>
        <w:rPr>
          <w:rFonts w:hint="eastAsia"/>
          <w:lang w:val="en-US" w:eastAsia="zh-CN"/>
        </w:rPr>
        <w:t>减少35.14%</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24.51</w:t>
      </w:r>
      <w:r>
        <w:rPr>
          <w:rFonts w:hint="eastAsia"/>
        </w:rPr>
        <w:t>万元，占支出预算</w:t>
      </w:r>
      <w:r>
        <w:rPr>
          <w:u w:color="auto"/>
        </w:rPr>
        <w:t>100.00%,比上年增长1.61万元，增长7.03%</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23.80</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97.10%</w:t>
      </w:r>
      <w:r>
        <w:rPr>
          <w:rFonts w:hint="eastAsia" w:ascii="宋体" w:hAnsi="宋体" w:eastAsia="宋体" w:cs="宋体"/>
          <w:sz w:val="28"/>
          <w:szCs w:val="28"/>
        </w:rPr>
        <w:t>,比上年</w:t>
      </w:r>
      <w:r>
        <w:rPr>
          <w:rFonts w:ascii="宋体" w:hAnsi="宋体" w:eastAsia="宋体" w:cs="宋体"/>
          <w:sz w:val="28"/>
          <w:u w:color="auto"/>
        </w:rPr>
        <w:t>增长1.76万元，增长7.99%,主要原因是：人员工资福利和经费支出增加，增加基础性绩效工资增量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0.00%</w:t>
      </w:r>
      <w:r>
        <w:rPr>
          <w:rFonts w:hint="eastAsia" w:ascii="宋体" w:hAnsi="宋体" w:eastAsia="宋体" w:cs="宋体"/>
          <w:sz w:val="28"/>
          <w:szCs w:val="28"/>
        </w:rPr>
        <w:t>,比上年</w:t>
      </w:r>
      <w:r>
        <w:rPr>
          <w:rFonts w:ascii="宋体" w:hAnsi="宋体" w:eastAsia="宋体" w:cs="宋体"/>
          <w:sz w:val="28"/>
          <w:u w:color="auto"/>
        </w:rPr>
        <w:t>减少0.01万元，减少100.00%,主要原因是：践行中央过紧日子的文件精神，缩减经费开支</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0.72</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2.94%</w:t>
      </w:r>
      <w:r>
        <w:rPr>
          <w:rFonts w:hint="eastAsia" w:ascii="宋体" w:hAnsi="宋体" w:eastAsia="宋体" w:cs="宋体"/>
          <w:sz w:val="28"/>
          <w:szCs w:val="28"/>
        </w:rPr>
        <w:t>,比上年</w:t>
      </w:r>
      <w:r>
        <w:rPr>
          <w:rFonts w:ascii="宋体" w:hAnsi="宋体" w:eastAsia="宋体" w:cs="宋体"/>
          <w:sz w:val="28"/>
          <w:u w:color="auto"/>
        </w:rPr>
        <w:t>减少0.13万元，减少15.29%,主要原因是：践行中央过紧日子的文件精神，缩减经费开支</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9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24.51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24.51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22.90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增加1.61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增长7.03%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22.90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增加1.61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增长7.03%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69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24.51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22.90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增加1.61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增长7.03%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0.24</w:t>
      </w:r>
      <w:r>
        <w:rPr>
          <w:rFonts w:hint="eastAsia" w:ascii="宋体" w:hAnsi="宋体" w:eastAsia="宋体" w:cs="宋体"/>
          <w:sz w:val="28"/>
          <w:szCs w:val="28"/>
        </w:rPr>
        <w:t>万元，占支出总预算的</w:t>
      </w:r>
      <w:r>
        <w:rPr>
          <w:rFonts w:ascii="宋体" w:hAnsi="宋体" w:eastAsia="宋体" w:cs="宋体"/>
          <w:sz w:val="28"/>
          <w:u w:color="auto"/>
        </w:rPr>
        <w:t>0.98%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0.37</w:t>
      </w:r>
      <w:r>
        <w:rPr>
          <w:rFonts w:hint="eastAsia" w:ascii="宋体" w:hAnsi="宋体" w:eastAsia="宋体" w:cs="宋体"/>
          <w:sz w:val="28"/>
          <w:szCs w:val="28"/>
        </w:rPr>
        <w:t>万元，</w:t>
      </w:r>
      <w:r>
        <w:rPr>
          <w:rFonts w:ascii="宋体" w:hAnsi="宋体" w:eastAsia="宋体" w:cs="宋体"/>
          <w:sz w:val="28"/>
          <w:u w:color="auto"/>
        </w:rPr>
        <w:t>减少0.13</w:t>
      </w:r>
      <w:r>
        <w:rPr>
          <w:rFonts w:hint="eastAsia" w:ascii="宋体" w:hAnsi="宋体" w:eastAsia="宋体" w:cs="宋体"/>
          <w:sz w:val="28"/>
          <w:szCs w:val="28"/>
        </w:rPr>
        <w:t>万元，</w:t>
      </w:r>
      <w:r>
        <w:rPr>
          <w:rFonts w:ascii="宋体" w:hAnsi="宋体" w:eastAsia="宋体" w:cs="宋体"/>
          <w:sz w:val="28"/>
          <w:u w:color="auto"/>
        </w:rPr>
        <w:t>减少35.14%</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2.49</w:t>
      </w:r>
      <w:r>
        <w:rPr>
          <w:rFonts w:hint="eastAsia" w:ascii="宋体" w:hAnsi="宋体" w:eastAsia="宋体" w:cs="宋体"/>
          <w:sz w:val="28"/>
          <w:szCs w:val="28"/>
        </w:rPr>
        <w:t>万元，占支出总预算的</w:t>
      </w:r>
      <w:r>
        <w:rPr>
          <w:rFonts w:ascii="宋体" w:hAnsi="宋体" w:eastAsia="宋体" w:cs="宋体"/>
          <w:sz w:val="28"/>
          <w:u w:color="auto"/>
        </w:rPr>
        <w:t>10.16%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2.23</w:t>
      </w:r>
      <w:r>
        <w:rPr>
          <w:rFonts w:hint="eastAsia" w:ascii="宋体" w:hAnsi="宋体" w:eastAsia="宋体" w:cs="宋体"/>
          <w:sz w:val="28"/>
          <w:szCs w:val="28"/>
        </w:rPr>
        <w:t>万元，</w:t>
      </w:r>
      <w:r>
        <w:rPr>
          <w:rFonts w:ascii="宋体" w:hAnsi="宋体" w:eastAsia="宋体" w:cs="宋体"/>
          <w:sz w:val="28"/>
          <w:u w:color="auto"/>
        </w:rPr>
        <w:t>增长0.26</w:t>
      </w:r>
      <w:r>
        <w:rPr>
          <w:rFonts w:hint="eastAsia" w:ascii="宋体" w:hAnsi="宋体" w:eastAsia="宋体" w:cs="宋体"/>
          <w:sz w:val="28"/>
          <w:szCs w:val="28"/>
        </w:rPr>
        <w:t>万元，</w:t>
      </w:r>
      <w:r>
        <w:rPr>
          <w:rFonts w:ascii="宋体" w:hAnsi="宋体" w:eastAsia="宋体" w:cs="宋体"/>
          <w:sz w:val="28"/>
          <w:u w:color="auto"/>
        </w:rPr>
        <w:t>增长11.66%</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18.92</w:t>
      </w:r>
      <w:r>
        <w:rPr>
          <w:rFonts w:hint="eastAsia" w:ascii="宋体" w:hAnsi="宋体" w:eastAsia="宋体" w:cs="宋体"/>
          <w:sz w:val="28"/>
          <w:szCs w:val="28"/>
        </w:rPr>
        <w:t>万元，占支出总预算的</w:t>
      </w:r>
      <w:r>
        <w:rPr>
          <w:rFonts w:ascii="宋体" w:hAnsi="宋体" w:eastAsia="宋体" w:cs="宋体"/>
          <w:sz w:val="28"/>
          <w:u w:color="auto"/>
        </w:rPr>
        <w:t>77.19%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17.33</w:t>
      </w:r>
      <w:r>
        <w:rPr>
          <w:rFonts w:hint="eastAsia" w:ascii="宋体" w:hAnsi="宋体" w:eastAsia="宋体" w:cs="宋体"/>
          <w:sz w:val="28"/>
          <w:szCs w:val="28"/>
        </w:rPr>
        <w:t>万元，</w:t>
      </w:r>
      <w:r>
        <w:rPr>
          <w:rFonts w:ascii="宋体" w:hAnsi="宋体" w:eastAsia="宋体" w:cs="宋体"/>
          <w:sz w:val="28"/>
          <w:u w:color="auto"/>
        </w:rPr>
        <w:t>增长1.59</w:t>
      </w:r>
      <w:r>
        <w:rPr>
          <w:rFonts w:hint="eastAsia" w:ascii="宋体" w:hAnsi="宋体" w:eastAsia="宋体" w:cs="宋体"/>
          <w:sz w:val="28"/>
          <w:szCs w:val="28"/>
        </w:rPr>
        <w:t>万元，</w:t>
      </w:r>
      <w:r>
        <w:rPr>
          <w:rFonts w:ascii="宋体" w:hAnsi="宋体" w:eastAsia="宋体" w:cs="宋体"/>
          <w:sz w:val="28"/>
          <w:u w:color="auto"/>
        </w:rPr>
        <w:t>增长9.17%</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2.86</w:t>
      </w:r>
      <w:r>
        <w:rPr>
          <w:rFonts w:hint="eastAsia" w:ascii="宋体" w:hAnsi="宋体" w:eastAsia="宋体" w:cs="宋体"/>
          <w:sz w:val="28"/>
          <w:szCs w:val="28"/>
        </w:rPr>
        <w:t>万元，占支出总预算的</w:t>
      </w:r>
      <w:r>
        <w:rPr>
          <w:rFonts w:ascii="宋体" w:hAnsi="宋体" w:eastAsia="宋体" w:cs="宋体"/>
          <w:sz w:val="28"/>
          <w:u w:color="auto"/>
        </w:rPr>
        <w:t>11.67%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2.97</w:t>
      </w:r>
      <w:r>
        <w:rPr>
          <w:rFonts w:hint="eastAsia" w:ascii="宋体" w:hAnsi="宋体" w:eastAsia="宋体" w:cs="宋体"/>
          <w:sz w:val="28"/>
          <w:szCs w:val="28"/>
        </w:rPr>
        <w:t>万元，</w:t>
      </w:r>
      <w:r>
        <w:rPr>
          <w:rFonts w:ascii="宋体" w:hAnsi="宋体" w:eastAsia="宋体" w:cs="宋体"/>
          <w:sz w:val="28"/>
          <w:u w:color="auto"/>
        </w:rPr>
        <w:t>减少0.11</w:t>
      </w:r>
      <w:r>
        <w:rPr>
          <w:rFonts w:hint="eastAsia" w:ascii="宋体" w:hAnsi="宋体" w:eastAsia="宋体" w:cs="宋体"/>
          <w:sz w:val="28"/>
          <w:szCs w:val="28"/>
        </w:rPr>
        <w:t>万元，</w:t>
      </w:r>
      <w:r>
        <w:rPr>
          <w:rFonts w:ascii="宋体" w:hAnsi="宋体" w:eastAsia="宋体" w:cs="宋体"/>
          <w:sz w:val="28"/>
          <w:u w:color="auto"/>
        </w:rPr>
        <w:t>减少3.70%</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9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24.51</w:t>
      </w:r>
      <w:r>
        <w:rPr>
          <w:rFonts w:hint="eastAsia"/>
        </w:rPr>
        <w:t>万元，较2023年度预算数</w:t>
      </w:r>
      <w:r>
        <w:rPr>
          <w:rFonts w:hint="eastAsia"/>
          <w:lang w:val="en-US" w:eastAsia="zh-CN"/>
        </w:rPr>
        <w:t>22.90</w:t>
      </w:r>
      <w:r>
        <w:rPr>
          <w:rFonts w:hint="eastAsia"/>
        </w:rPr>
        <w:t>万元</w:t>
      </w:r>
      <w:r>
        <w:rPr>
          <w:rFonts w:hint="eastAsia"/>
          <w:lang w:val="en-US" w:eastAsia="zh-CN"/>
        </w:rPr>
        <w:t>,</w:t>
      </w:r>
      <w:r>
        <w:rPr>
          <w:u w:color="auto"/>
        </w:rPr>
        <w:t>增加1.61</w:t>
      </w:r>
      <w:r>
        <w:rPr>
          <w:rFonts w:hint="eastAsia"/>
        </w:rPr>
        <w:t>万元，</w:t>
      </w:r>
      <w:r>
        <w:rPr>
          <w:rFonts w:hint="eastAsia"/>
          <w:lang w:val="en-US" w:eastAsia="zh-CN"/>
        </w:rPr>
        <w:t>增长7.03%</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23.80</w:t>
      </w:r>
      <w:r>
        <w:t>万元</w:t>
      </w:r>
      <w:r>
        <w:rPr>
          <w:rFonts w:hint="eastAsia"/>
          <w:lang w:eastAsia="zh-CN"/>
        </w:rPr>
        <w:t>，</w:t>
      </w:r>
      <w:r>
        <w:rPr>
          <w:rFonts w:hint="eastAsia"/>
        </w:rPr>
        <w:t>占基本支出预算的</w:t>
      </w:r>
      <w:r>
        <w:rPr>
          <w:rFonts w:hint="eastAsia"/>
          <w:lang w:val="en-US" w:eastAsia="zh-CN"/>
        </w:rPr>
        <w:t>97.10%</w:t>
      </w:r>
      <w:r>
        <w:rPr>
          <w:rFonts w:hint="eastAsia"/>
        </w:rPr>
        <w:t>，较2023年度预算数</w:t>
      </w:r>
      <w:r>
        <w:rPr>
          <w:rFonts w:hint="eastAsia"/>
          <w:lang w:val="en-US" w:eastAsia="zh-CN"/>
        </w:rPr>
        <w:t>22.04</w:t>
      </w:r>
      <w:r>
        <w:rPr>
          <w:rFonts w:hint="eastAsia"/>
        </w:rPr>
        <w:t>万元，</w:t>
      </w:r>
      <w:r>
        <w:rPr>
          <w:rFonts w:hint="eastAsia"/>
          <w:lang w:val="en-US" w:eastAsia="zh-CN"/>
        </w:rPr>
        <w:t>增长1.76</w:t>
      </w:r>
      <w:r>
        <w:rPr>
          <w:rFonts w:hint="eastAsia"/>
        </w:rPr>
        <w:t>万元，</w:t>
      </w:r>
      <w:r>
        <w:rPr>
          <w:rFonts w:hint="eastAsia"/>
          <w:lang w:val="en-US" w:eastAsia="zh-CN"/>
        </w:rPr>
        <w:t>增长7.99%</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0.00</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减少0.01</w:t>
      </w:r>
      <w:r>
        <w:rPr>
          <w:rFonts w:hint="eastAsia"/>
        </w:rPr>
        <w:t>万元，</w:t>
      </w:r>
      <w:r>
        <w:rPr>
          <w:rFonts w:hint="eastAsia"/>
          <w:lang w:val="en-US" w:eastAsia="zh-CN"/>
        </w:rPr>
        <w:t>减少100.00%</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0.72</w:t>
      </w:r>
      <w:r>
        <w:t>万元</w:t>
      </w:r>
      <w:r>
        <w:rPr>
          <w:rFonts w:hint="eastAsia"/>
          <w:lang w:eastAsia="zh-CN"/>
        </w:rPr>
        <w:t>，</w:t>
      </w:r>
      <w:r>
        <w:rPr>
          <w:rFonts w:hint="eastAsia"/>
        </w:rPr>
        <w:t>占基本支出预算的</w:t>
      </w:r>
      <w:r>
        <w:rPr>
          <w:rFonts w:hint="eastAsia"/>
          <w:lang w:val="en-US" w:eastAsia="zh-CN"/>
        </w:rPr>
        <w:t>2.94%</w:t>
      </w:r>
      <w:r>
        <w:rPr>
          <w:rFonts w:hint="eastAsia"/>
        </w:rPr>
        <w:t>，较2023年度预算数</w:t>
      </w:r>
      <w:r>
        <w:rPr>
          <w:rFonts w:hint="eastAsia"/>
          <w:lang w:val="en-US" w:eastAsia="zh-CN"/>
        </w:rPr>
        <w:t>0.85</w:t>
      </w:r>
      <w:r>
        <w:rPr>
          <w:rFonts w:hint="eastAsia"/>
        </w:rPr>
        <w:t>万元，</w:t>
      </w:r>
      <w:r>
        <w:rPr>
          <w:rFonts w:hint="eastAsia"/>
          <w:lang w:val="en-US" w:eastAsia="zh-CN"/>
        </w:rPr>
        <w:t>减少0.13</w:t>
      </w:r>
      <w:r>
        <w:rPr>
          <w:rFonts w:hint="eastAsia"/>
        </w:rPr>
        <w:t>万元，</w:t>
      </w:r>
      <w:r>
        <w:rPr>
          <w:rFonts w:hint="eastAsia"/>
          <w:lang w:val="en-US" w:eastAsia="zh-CN"/>
        </w:rPr>
        <w:t>减少15.29%</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9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本部门本年度无新增公务车购置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部门2024年无部门政府性基金预算</w:t>
      </w:r>
      <w:r>
        <w:rPr>
          <w:rFonts w:hint="eastAsia"/>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2024年本部门机关运行经费预算</w:t>
      </w:r>
      <w:r>
        <w:rPr>
          <w:rFonts w:hint="eastAsia" w:ascii="宋体" w:hAnsi="宋体" w:eastAsia="宋体" w:cs="宋体"/>
          <w:sz w:val="28"/>
          <w:szCs w:val="28"/>
          <w:lang w:val="en-US" w:eastAsia="zh-CN"/>
        </w:rPr>
        <w:t>0.72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下降15.29%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践行中央过紧日子的文件精神，缩减经费开支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jc w:val="left"/>
        <w:rPr>
          <w:rFonts w:hint="default"/>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环江毛南族自治县大才乡水利站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环江毛南族自治县大才乡水利站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0.24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18.92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24.51</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环江毛南族自治县大才乡水利站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24.51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24.51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24.51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702008</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24.51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24.51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24.51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环江毛南族自治县大才乡水利站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702008</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4"/>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环江毛南族自治县大才乡水利站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0.24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18.92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24.51</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702008</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24.51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24.52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23.80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2.86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水利行业业务管理</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18.92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18.92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18.44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23.80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23.80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23.80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7.62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7.62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5"/>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环江毛南族自治县大才乡水利站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702008</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环江毛南族自治县大才乡水利站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水利行业业务管理</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环江毛南族自治县大才乡水利站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环江毛南族自治县大才乡水利站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EszmcCAgAACw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uuK3yyo8U5Yavn5+7fzj1/n&#10;n1/ZPBnU+VBS3oPf4rgLBJPavkGbvqSD9dnU09VU1UcmKThbzBeLKfkt6eyyIZ7i8XePIb5XYFkC&#10;FUfqWjZTHO9CHFIvKek2BxttDMVFadwfAeJMkSJVPNSYUOx3/Vj4DuoT6UUYBiF4udF0550IcSuQ&#10;Ok910tuI97Q0BrqKw4g4awG//Cue8qkhdMpZR5NUcUcPhzPzwVGj0tBdAF7A7gLcwb4DGs0ZZxhN&#10;hvSDcJLoKh45O3jU+zZXm5QG//YQSX52JWkbBI2SaUayr+M8pyF8us9Zj294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gSzOZwICAAAL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96"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RKmmUQgCAAAL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98"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X9qusgkCAAAL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Cb8NW0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0"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EcUQCwICAAAM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Gtdt0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9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l3+wgO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9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GUB43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2G9xsENZjiPbk7ATZMazvsW76/+8Unmb66woxKm9/EDExyDQy/cbhjiiSjFCQxR2Rn1HuledoI3TRw0jcYNzqQ==" w:salt="7CgWc12sk6+cCFQ+54pEi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61685AA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24.51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0.24</c:v>
                </c:pt>
                <c:pt idx="1">
                  <c:v>2.86</c:v>
                </c:pt>
                <c:pt idx="2">
                  <c:v>18.92</c:v>
                </c:pt>
                <c:pt idx="3">
                  <c:v>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22.9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24.51</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AGENCY_CODE</c:v>
                </c:pt>
              </c:strCache>
            </c:strRef>
          </c:tx>
          <c:invertIfNegative val="0"/>
          <c:dLbls>
            <c:delete val="1"/>
          </c:dLbls>
          <c:cat>
            <c:strRef>
              <c:f>Sheet1!$A$2</c:f>
              <c:strCache>
                <c:ptCount val="1"/>
                <c:pt idx="0">
                  <c:v>收入</c:v>
                </c:pt>
              </c:strCache>
            </c:strRef>
          </c:cat>
          <c:val>
            <c:numRef>
              <c:f>Sheet1!$E$2</c:f>
              <c:numCache>
                <c:formatCode>General</c:formatCode>
                <c:ptCount val="1"/>
                <c:pt idx="0">
                  <c:v>702008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24.51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0.72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23.8</c:v>
                </c:pt>
                <c:pt idx="1">
                  <c:v>0.72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23e42-379e-4850-a891-d3b52ad11ae7}">
  <ds:schemaRefs/>
</ds:datastoreItem>
</file>

<file path=customXml/itemProps3.xml><?xml version="1.0" encoding="utf-8"?>
<ds:datastoreItem xmlns:ds="http://schemas.openxmlformats.org/officeDocument/2006/customXml" ds:itemID="{a5f24914-1e30-4c70-bb49-5f546d708edb}">
  <ds:schemaRefs/>
</ds:datastoreItem>
</file>

<file path=customXml/itemProps4.xml><?xml version="1.0" encoding="utf-8"?>
<ds:datastoreItem xmlns:ds="http://schemas.openxmlformats.org/officeDocument/2006/customXml" ds:itemID="{1c7bba2e-4650-4148-84dc-a8f30370895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2024-02-29T01:47:39Z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0486CCABFB4E42AE82AD076241057BAD</vt:lpwstr>
  </property>
</Properties>
</file>