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环江毛南族自治县大才乡农业服务中心</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环江毛南族自治县大才乡农业服务中心单位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环江毛南族自治县大才乡农业服务中心2024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环江毛南族自治县大才乡农业服务中心2024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环江毛南族自治县大才乡农业服务中心</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承担贯彻执行上级有关农业的法律法规和方针、政策;负责农业关键技术和优良品种的引进、试验、示范及实用技术的推广普及,农业技术咨询与服务,农作物病虫草鼠害、农业灾害等的监测、预报、防治和处置,农作物苗情监测、农业标准化生产和农产品生产过程中的质量安全检测、监测和强制性检验,农业资源、农业生态环境及农业投入品使用监测及处置,农作物常规良种的保存和扩繁,农业生产规划布局指导、公共信息和教育培训服务等;完成上级业务部门和镇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本部门人员编制数为2人，实际在编人数2人，本部门独立编制预算，经本机财政单独批复，独立公开预算，均在主管单位环江县财政局公开专栏独立公开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环江毛南族自治县大才乡农业服务中心</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27.52</w:t>
      </w:r>
      <w:r>
        <w:rPr>
          <w:rFonts w:hint="eastAsia"/>
          <w:b w:val="0"/>
          <w:bCs w:val="0"/>
          <w:sz w:val="28"/>
          <w:szCs w:val="28"/>
        </w:rPr>
        <w:t>万元，总支出</w:t>
      </w:r>
      <w:r>
        <w:rPr>
          <w:rFonts w:hint="eastAsia"/>
          <w:sz w:val="28"/>
          <w:szCs w:val="28"/>
          <w:lang w:val="en-US" w:eastAsia="zh-CN"/>
        </w:rPr>
        <w:t>27.52</w:t>
      </w:r>
      <w:r>
        <w:rPr>
          <w:rFonts w:hint="eastAsia"/>
          <w:b w:val="0"/>
          <w:bCs w:val="0"/>
          <w:sz w:val="28"/>
          <w:szCs w:val="28"/>
        </w:rPr>
        <w:t>万元。总收入较2023年度预算数</w:t>
      </w:r>
      <w:r>
        <w:rPr>
          <w:rFonts w:hint="eastAsia"/>
          <w:sz w:val="28"/>
          <w:szCs w:val="28"/>
          <w:lang w:val="en-US" w:eastAsia="zh-CN"/>
        </w:rPr>
        <w:t>24.90</w:t>
      </w:r>
      <w:r>
        <w:rPr>
          <w:rFonts w:hint="eastAsia"/>
          <w:b w:val="0"/>
          <w:bCs w:val="0"/>
          <w:sz w:val="28"/>
          <w:szCs w:val="28"/>
        </w:rPr>
        <w:t>万元，</w:t>
      </w:r>
      <w:r>
        <w:rPr>
          <w:rFonts w:hint="eastAsia"/>
          <w:sz w:val="28"/>
          <w:szCs w:val="28"/>
        </w:rPr>
        <w:t>增加2.62</w:t>
      </w:r>
      <w:r>
        <w:rPr>
          <w:rFonts w:hint="eastAsia"/>
          <w:b w:val="0"/>
          <w:bCs w:val="0"/>
          <w:sz w:val="28"/>
          <w:szCs w:val="28"/>
        </w:rPr>
        <w:t>万元，</w:t>
      </w:r>
      <w:r>
        <w:rPr>
          <w:rFonts w:hint="eastAsia"/>
          <w:sz w:val="28"/>
          <w:szCs w:val="28"/>
        </w:rPr>
        <w:t>增长10.52%</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24.90</w:t>
      </w:r>
      <w:r>
        <w:rPr>
          <w:rFonts w:hint="eastAsia"/>
          <w:b w:val="0"/>
          <w:bCs w:val="0"/>
          <w:sz w:val="28"/>
          <w:szCs w:val="28"/>
        </w:rPr>
        <w:t>万元，</w:t>
      </w:r>
      <w:r>
        <w:rPr>
          <w:rFonts w:hint="eastAsia"/>
          <w:sz w:val="28"/>
          <w:szCs w:val="28"/>
        </w:rPr>
        <w:t>增加2.62</w:t>
      </w:r>
      <w:r>
        <w:rPr>
          <w:rFonts w:hint="eastAsia"/>
          <w:b w:val="0"/>
          <w:bCs w:val="0"/>
          <w:sz w:val="28"/>
          <w:szCs w:val="28"/>
        </w:rPr>
        <w:t>万元，</w:t>
      </w:r>
      <w:r>
        <w:rPr>
          <w:rFonts w:hint="eastAsia"/>
          <w:sz w:val="28"/>
          <w:szCs w:val="28"/>
        </w:rPr>
        <w:t>增长10.52%</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32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27.52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24.90</w:t>
      </w:r>
      <w:r>
        <w:rPr>
          <w:rFonts w:hint="eastAsia" w:ascii="宋体" w:hAnsi="宋体" w:eastAsia="宋体" w:cs="宋体"/>
          <w:sz w:val="28"/>
          <w:szCs w:val="28"/>
          <w:u w:color="auto"/>
        </w:rPr>
        <w:t>万元，</w:t>
      </w:r>
      <w:r>
        <w:rPr>
          <w:rFonts w:hint="eastAsia" w:ascii="宋体" w:hAnsi="宋体" w:eastAsia="宋体" w:cs="宋体"/>
          <w:sz w:val="28"/>
          <w:szCs w:val="28"/>
        </w:rPr>
        <w:t>增加2.62</w:t>
      </w:r>
      <w:r>
        <w:rPr>
          <w:rFonts w:hint="eastAsia" w:ascii="宋体" w:hAnsi="宋体" w:eastAsia="宋体" w:cs="宋体"/>
          <w:sz w:val="28"/>
          <w:szCs w:val="28"/>
          <w:u w:color="auto"/>
        </w:rPr>
        <w:t>万元，</w:t>
      </w:r>
      <w:r>
        <w:rPr>
          <w:rFonts w:hint="eastAsia" w:ascii="宋体" w:hAnsi="宋体" w:eastAsia="宋体" w:cs="宋体"/>
          <w:sz w:val="28"/>
          <w:szCs w:val="28"/>
        </w:rPr>
        <w:t>增长10.52%</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33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27.52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24.90</w:t>
      </w:r>
      <w:r>
        <w:rPr>
          <w:rFonts w:hint="eastAsia" w:ascii="宋体" w:hAnsi="宋体" w:eastAsia="宋体" w:cs="宋体"/>
          <w:sz w:val="28"/>
          <w:szCs w:val="28"/>
          <w:lang w:eastAsia="zh-CN"/>
        </w:rPr>
        <w:t>万元，</w:t>
      </w:r>
      <w:r>
        <w:rPr>
          <w:rFonts w:hint="eastAsia" w:ascii="宋体" w:hAnsi="宋体" w:eastAsia="宋体" w:cs="宋体"/>
          <w:sz w:val="28"/>
          <w:szCs w:val="28"/>
        </w:rPr>
        <w:t>增加2.62</w:t>
      </w:r>
      <w:r>
        <w:rPr>
          <w:rFonts w:hint="eastAsia" w:ascii="宋体" w:hAnsi="宋体" w:eastAsia="宋体" w:cs="宋体"/>
          <w:sz w:val="28"/>
          <w:szCs w:val="28"/>
          <w:lang w:eastAsia="zh-CN"/>
        </w:rPr>
        <w:t>万元，</w:t>
      </w:r>
      <w:r>
        <w:rPr>
          <w:rFonts w:hint="eastAsia" w:ascii="宋体" w:hAnsi="宋体" w:eastAsia="宋体" w:cs="宋体"/>
          <w:sz w:val="28"/>
          <w:szCs w:val="28"/>
        </w:rPr>
        <w:t>增长10.52%</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21.34</w:t>
      </w:r>
      <w:r>
        <w:rPr>
          <w:rFonts w:hint="eastAsia"/>
        </w:rPr>
        <w:t>万元，占支出总预算</w:t>
      </w:r>
      <w:r>
        <w:rPr>
          <w:rFonts w:hint="eastAsia"/>
          <w:lang w:val="en-US" w:eastAsia="zh-CN"/>
        </w:rPr>
        <w:t>77.54%</w:t>
      </w:r>
      <w:r>
        <w:rPr>
          <w:rFonts w:hint="eastAsia"/>
        </w:rPr>
        <w:t>,比上年</w:t>
      </w:r>
      <w:r>
        <w:rPr>
          <w:rFonts w:hint="eastAsia"/>
          <w:lang w:val="en-US" w:eastAsia="zh-CN"/>
        </w:rPr>
        <w:t>增长2.44</w:t>
      </w:r>
      <w:r>
        <w:rPr>
          <w:rFonts w:hint="eastAsia"/>
        </w:rPr>
        <w:t>万元，</w:t>
      </w:r>
      <w:r>
        <w:rPr>
          <w:rFonts w:hint="eastAsia"/>
          <w:lang w:val="en-US" w:eastAsia="zh-CN"/>
        </w:rPr>
        <w:t>增长12.91%</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0.28</w:t>
      </w:r>
      <w:r>
        <w:rPr>
          <w:rFonts w:hint="eastAsia"/>
        </w:rPr>
        <w:t>万元，占支出总预算</w:t>
      </w:r>
      <w:r>
        <w:rPr>
          <w:rFonts w:hint="eastAsia"/>
          <w:lang w:val="en-US" w:eastAsia="zh-CN"/>
        </w:rPr>
        <w:t>1.02%</w:t>
      </w:r>
      <w:r>
        <w:rPr>
          <w:rFonts w:hint="eastAsia"/>
        </w:rPr>
        <w:t>,比上年</w:t>
      </w:r>
      <w:r>
        <w:rPr>
          <w:rFonts w:hint="eastAsia"/>
          <w:lang w:val="en-US" w:eastAsia="zh-CN"/>
        </w:rPr>
        <w:t>减少0.12</w:t>
      </w:r>
      <w:r>
        <w:rPr>
          <w:rFonts w:hint="eastAsia"/>
        </w:rPr>
        <w:t>万元，</w:t>
      </w:r>
      <w:r>
        <w:rPr>
          <w:rFonts w:hint="eastAsia"/>
          <w:lang w:val="en-US" w:eastAsia="zh-CN"/>
        </w:rPr>
        <w:t>减少30.00%</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3)社会保障和就业支出</w:t>
      </w:r>
      <w:r>
        <w:rPr>
          <w:rFonts w:hint="eastAsia"/>
          <w:lang w:val="en-US" w:eastAsia="zh-CN"/>
        </w:rPr>
        <w:t>3.18</w:t>
      </w:r>
      <w:r>
        <w:rPr>
          <w:rFonts w:hint="eastAsia"/>
        </w:rPr>
        <w:t>万元，占支出总预算</w:t>
      </w:r>
      <w:r>
        <w:rPr>
          <w:rFonts w:hint="eastAsia"/>
          <w:lang w:val="en-US" w:eastAsia="zh-CN"/>
        </w:rPr>
        <w:t>11.56%</w:t>
      </w:r>
      <w:r>
        <w:rPr>
          <w:rFonts w:hint="eastAsia"/>
        </w:rPr>
        <w:t>,比上年</w:t>
      </w:r>
      <w:r>
        <w:rPr>
          <w:rFonts w:hint="eastAsia"/>
          <w:lang w:val="en-US" w:eastAsia="zh-CN"/>
        </w:rPr>
        <w:t>减少0.02</w:t>
      </w:r>
      <w:r>
        <w:rPr>
          <w:rFonts w:hint="eastAsia"/>
        </w:rPr>
        <w:t>万元，</w:t>
      </w:r>
      <w:r>
        <w:rPr>
          <w:rFonts w:hint="eastAsia"/>
          <w:lang w:val="en-US" w:eastAsia="zh-CN"/>
        </w:rPr>
        <w:t>减少0.63%</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4)住房保障支出</w:t>
      </w:r>
      <w:r>
        <w:rPr>
          <w:rFonts w:hint="eastAsia"/>
          <w:lang w:val="en-US" w:eastAsia="zh-CN"/>
        </w:rPr>
        <w:t>2.73</w:t>
      </w:r>
      <w:r>
        <w:rPr>
          <w:rFonts w:hint="eastAsia"/>
        </w:rPr>
        <w:t>万元，占支出总预算</w:t>
      </w:r>
      <w:r>
        <w:rPr>
          <w:rFonts w:hint="eastAsia"/>
          <w:lang w:val="en-US" w:eastAsia="zh-CN"/>
        </w:rPr>
        <w:t>9.92%</w:t>
      </w:r>
      <w:r>
        <w:rPr>
          <w:rFonts w:hint="eastAsia"/>
        </w:rPr>
        <w:t>,比上年</w:t>
      </w:r>
      <w:r>
        <w:rPr>
          <w:rFonts w:hint="eastAsia"/>
          <w:lang w:val="en-US" w:eastAsia="zh-CN"/>
        </w:rPr>
        <w:t>增长0.33</w:t>
      </w:r>
      <w:r>
        <w:rPr>
          <w:rFonts w:hint="eastAsia"/>
        </w:rPr>
        <w:t>万元，</w:t>
      </w:r>
      <w:r>
        <w:rPr>
          <w:rFonts w:hint="eastAsia"/>
          <w:lang w:val="en-US" w:eastAsia="zh-CN"/>
        </w:rPr>
        <w:t>增长13.75%</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27.52</w:t>
      </w:r>
      <w:r>
        <w:rPr>
          <w:rFonts w:hint="eastAsia"/>
        </w:rPr>
        <w:t>万元，占支出预算</w:t>
      </w:r>
      <w:r>
        <w:rPr>
          <w:u w:color="auto"/>
        </w:rPr>
        <w:t>100.00%,比上年增长2.62万元，增长10.52%</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26.77</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97.27%</w:t>
      </w:r>
      <w:r>
        <w:rPr>
          <w:rFonts w:hint="eastAsia" w:ascii="宋体" w:hAnsi="宋体" w:eastAsia="宋体" w:cs="宋体"/>
          <w:sz w:val="28"/>
          <w:szCs w:val="28"/>
        </w:rPr>
        <w:t>,比上年</w:t>
      </w:r>
      <w:r>
        <w:rPr>
          <w:rFonts w:ascii="宋体" w:hAnsi="宋体" w:eastAsia="宋体" w:cs="宋体"/>
          <w:sz w:val="28"/>
          <w:u w:color="auto"/>
        </w:rPr>
        <w:t>增长2.75万元，增长11.45%,主要原因是：人员工资福利和经费支出增加，增加基础性绩效工资增量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0.76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2.76%</w:t>
      </w:r>
      <w:r>
        <w:rPr>
          <w:rFonts w:hint="eastAsia" w:ascii="宋体" w:hAnsi="宋体" w:eastAsia="宋体" w:cs="宋体"/>
          <w:sz w:val="28"/>
          <w:szCs w:val="28"/>
        </w:rPr>
        <w:t>,比上年</w:t>
      </w:r>
      <w:r>
        <w:rPr>
          <w:rFonts w:ascii="宋体" w:hAnsi="宋体" w:eastAsia="宋体" w:cs="宋体"/>
          <w:sz w:val="28"/>
          <w:u w:color="auto"/>
        </w:rPr>
        <w:t>减少0.12万元，减少13.64%,主要原因是：践行中央过紧日子的文件精神，缩减经费开支</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33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27.52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27.52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24.90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增长10.52%</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24.90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增长10.52%</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33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27.52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24.90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增加2.62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增长10.52%</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0.28</w:t>
      </w:r>
      <w:r>
        <w:rPr>
          <w:rFonts w:hint="eastAsia" w:ascii="宋体" w:hAnsi="宋体" w:eastAsia="宋体" w:cs="宋体"/>
          <w:sz w:val="28"/>
          <w:szCs w:val="28"/>
        </w:rPr>
        <w:t>万元，占支出总预算的</w:t>
      </w:r>
      <w:r>
        <w:rPr>
          <w:rFonts w:ascii="宋体" w:hAnsi="宋体" w:eastAsia="宋体" w:cs="宋体"/>
          <w:sz w:val="28"/>
          <w:u w:color="auto"/>
        </w:rPr>
        <w:t>1.02%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0.40</w:t>
      </w:r>
      <w:r>
        <w:rPr>
          <w:rFonts w:hint="eastAsia" w:ascii="宋体" w:hAnsi="宋体" w:eastAsia="宋体" w:cs="宋体"/>
          <w:sz w:val="28"/>
          <w:szCs w:val="28"/>
        </w:rPr>
        <w:t>万元，</w:t>
      </w:r>
      <w:r>
        <w:rPr>
          <w:rFonts w:ascii="宋体" w:hAnsi="宋体" w:eastAsia="宋体" w:cs="宋体"/>
          <w:sz w:val="28"/>
          <w:u w:color="auto"/>
        </w:rPr>
        <w:t>减少0.12</w:t>
      </w:r>
      <w:r>
        <w:rPr>
          <w:rFonts w:hint="eastAsia" w:ascii="宋体" w:hAnsi="宋体" w:eastAsia="宋体" w:cs="宋体"/>
          <w:sz w:val="28"/>
          <w:szCs w:val="28"/>
        </w:rPr>
        <w:t>万元，</w:t>
      </w:r>
      <w:r>
        <w:rPr>
          <w:rFonts w:ascii="宋体" w:hAnsi="宋体" w:eastAsia="宋体" w:cs="宋体"/>
          <w:sz w:val="28"/>
          <w:u w:color="auto"/>
        </w:rPr>
        <w:t>减少30.00%</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2.73</w:t>
      </w:r>
      <w:r>
        <w:rPr>
          <w:rFonts w:hint="eastAsia" w:ascii="宋体" w:hAnsi="宋体" w:eastAsia="宋体" w:cs="宋体"/>
          <w:sz w:val="28"/>
          <w:szCs w:val="28"/>
        </w:rPr>
        <w:t>万元，占支出总预算的</w:t>
      </w:r>
      <w:r>
        <w:rPr>
          <w:rFonts w:ascii="宋体" w:hAnsi="宋体" w:eastAsia="宋体" w:cs="宋体"/>
          <w:sz w:val="28"/>
          <w:u w:color="auto"/>
        </w:rPr>
        <w:t>9.92%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2.40</w:t>
      </w:r>
      <w:r>
        <w:rPr>
          <w:rFonts w:hint="eastAsia" w:ascii="宋体" w:hAnsi="宋体" w:eastAsia="宋体" w:cs="宋体"/>
          <w:sz w:val="28"/>
          <w:szCs w:val="28"/>
        </w:rPr>
        <w:t>万元，</w:t>
      </w:r>
      <w:r>
        <w:rPr>
          <w:rFonts w:ascii="宋体" w:hAnsi="宋体" w:eastAsia="宋体" w:cs="宋体"/>
          <w:sz w:val="28"/>
          <w:u w:color="auto"/>
        </w:rPr>
        <w:t>增长0.33</w:t>
      </w:r>
      <w:r>
        <w:rPr>
          <w:rFonts w:hint="eastAsia" w:ascii="宋体" w:hAnsi="宋体" w:eastAsia="宋体" w:cs="宋体"/>
          <w:sz w:val="28"/>
          <w:szCs w:val="28"/>
        </w:rPr>
        <w:t>万元，</w:t>
      </w:r>
      <w:r>
        <w:rPr>
          <w:rFonts w:ascii="宋体" w:hAnsi="宋体" w:eastAsia="宋体" w:cs="宋体"/>
          <w:sz w:val="28"/>
          <w:u w:color="auto"/>
        </w:rPr>
        <w:t>增长13.75%</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21.34</w:t>
      </w:r>
      <w:r>
        <w:rPr>
          <w:rFonts w:hint="eastAsia" w:ascii="宋体" w:hAnsi="宋体" w:eastAsia="宋体" w:cs="宋体"/>
          <w:sz w:val="28"/>
          <w:szCs w:val="28"/>
        </w:rPr>
        <w:t>万元，占支出总预算的</w:t>
      </w:r>
      <w:r>
        <w:rPr>
          <w:rFonts w:ascii="宋体" w:hAnsi="宋体" w:eastAsia="宋体" w:cs="宋体"/>
          <w:sz w:val="28"/>
          <w:u w:color="auto"/>
        </w:rPr>
        <w:t>77.54%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18.90</w:t>
      </w:r>
      <w:r>
        <w:rPr>
          <w:rFonts w:hint="eastAsia" w:ascii="宋体" w:hAnsi="宋体" w:eastAsia="宋体" w:cs="宋体"/>
          <w:sz w:val="28"/>
          <w:szCs w:val="28"/>
        </w:rPr>
        <w:t>万元，</w:t>
      </w:r>
      <w:r>
        <w:rPr>
          <w:rFonts w:ascii="宋体" w:hAnsi="宋体" w:eastAsia="宋体" w:cs="宋体"/>
          <w:sz w:val="28"/>
          <w:u w:color="auto"/>
        </w:rPr>
        <w:t>增长2.44</w:t>
      </w:r>
      <w:r>
        <w:rPr>
          <w:rFonts w:hint="eastAsia" w:ascii="宋体" w:hAnsi="宋体" w:eastAsia="宋体" w:cs="宋体"/>
          <w:sz w:val="28"/>
          <w:szCs w:val="28"/>
        </w:rPr>
        <w:t>万元，</w:t>
      </w:r>
      <w:r>
        <w:rPr>
          <w:rFonts w:ascii="宋体" w:hAnsi="宋体" w:eastAsia="宋体" w:cs="宋体"/>
          <w:sz w:val="28"/>
          <w:u w:color="auto"/>
        </w:rPr>
        <w:t>增长12.91%</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3.18</w:t>
      </w:r>
      <w:r>
        <w:rPr>
          <w:rFonts w:hint="eastAsia" w:ascii="宋体" w:hAnsi="宋体" w:eastAsia="宋体" w:cs="宋体"/>
          <w:sz w:val="28"/>
          <w:szCs w:val="28"/>
        </w:rPr>
        <w:t>万元，占支出总预算的</w:t>
      </w:r>
      <w:r>
        <w:rPr>
          <w:rFonts w:ascii="宋体" w:hAnsi="宋体" w:eastAsia="宋体" w:cs="宋体"/>
          <w:sz w:val="28"/>
          <w:u w:color="auto"/>
        </w:rPr>
        <w:t>11.56%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3.20</w:t>
      </w:r>
      <w:r>
        <w:rPr>
          <w:rFonts w:hint="eastAsia" w:ascii="宋体" w:hAnsi="宋体" w:eastAsia="宋体" w:cs="宋体"/>
          <w:sz w:val="28"/>
          <w:szCs w:val="28"/>
        </w:rPr>
        <w:t>万元，</w:t>
      </w:r>
      <w:r>
        <w:rPr>
          <w:rFonts w:ascii="宋体" w:hAnsi="宋体" w:eastAsia="宋体" w:cs="宋体"/>
          <w:sz w:val="28"/>
          <w:u w:color="auto"/>
        </w:rPr>
        <w:t>减少0.02</w:t>
      </w:r>
      <w:r>
        <w:rPr>
          <w:rFonts w:hint="eastAsia" w:ascii="宋体" w:hAnsi="宋体" w:eastAsia="宋体" w:cs="宋体"/>
          <w:sz w:val="28"/>
          <w:szCs w:val="28"/>
        </w:rPr>
        <w:t>万元，</w:t>
      </w:r>
      <w:r>
        <w:rPr>
          <w:rFonts w:ascii="宋体" w:hAnsi="宋体" w:eastAsia="宋体" w:cs="宋体"/>
          <w:sz w:val="28"/>
          <w:u w:color="auto"/>
        </w:rPr>
        <w:t>减少0.63%</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33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27.52</w:t>
      </w:r>
      <w:r>
        <w:rPr>
          <w:rFonts w:hint="eastAsia"/>
        </w:rPr>
        <w:t>万元，较2023年度预算数</w:t>
      </w:r>
      <w:r>
        <w:rPr>
          <w:rFonts w:hint="eastAsia"/>
          <w:lang w:val="en-US" w:eastAsia="zh-CN"/>
        </w:rPr>
        <w:t>24.90</w:t>
      </w:r>
      <w:r>
        <w:rPr>
          <w:rFonts w:hint="eastAsia"/>
        </w:rPr>
        <w:t>万元</w:t>
      </w:r>
      <w:r>
        <w:rPr>
          <w:rFonts w:hint="eastAsia"/>
          <w:lang w:val="en-US" w:eastAsia="zh-CN"/>
        </w:rPr>
        <w:t>,</w:t>
      </w:r>
      <w:r>
        <w:rPr>
          <w:u w:color="auto"/>
        </w:rPr>
        <w:t>增加2.62</w:t>
      </w:r>
      <w:r>
        <w:rPr>
          <w:rFonts w:hint="eastAsia"/>
        </w:rPr>
        <w:t>万元，</w:t>
      </w:r>
      <w:r>
        <w:rPr>
          <w:rFonts w:hint="eastAsia"/>
          <w:lang w:val="en-US" w:eastAsia="zh-CN"/>
        </w:rPr>
        <w:t>增长10.52%</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26.77</w:t>
      </w:r>
      <w:r>
        <w:t>万元</w:t>
      </w:r>
      <w:r>
        <w:rPr>
          <w:rFonts w:hint="eastAsia"/>
          <w:lang w:eastAsia="zh-CN"/>
        </w:rPr>
        <w:t>，</w:t>
      </w:r>
      <w:r>
        <w:rPr>
          <w:rFonts w:hint="eastAsia"/>
        </w:rPr>
        <w:t>占基本支出预算的</w:t>
      </w:r>
      <w:r>
        <w:rPr>
          <w:rFonts w:hint="eastAsia"/>
          <w:lang w:val="en-US" w:eastAsia="zh-CN"/>
        </w:rPr>
        <w:t>97.27%</w:t>
      </w:r>
      <w:r>
        <w:rPr>
          <w:rFonts w:hint="eastAsia"/>
        </w:rPr>
        <w:t>，较2023年度预算数</w:t>
      </w:r>
      <w:r>
        <w:rPr>
          <w:rFonts w:hint="eastAsia"/>
          <w:lang w:val="en-US" w:eastAsia="zh-CN"/>
        </w:rPr>
        <w:t>24.02</w:t>
      </w:r>
      <w:r>
        <w:rPr>
          <w:rFonts w:hint="eastAsia"/>
        </w:rPr>
        <w:t>万元，</w:t>
      </w:r>
      <w:r>
        <w:rPr>
          <w:rFonts w:hint="eastAsia"/>
          <w:lang w:val="en-US" w:eastAsia="zh-CN"/>
        </w:rPr>
        <w:t>增长2.75</w:t>
      </w:r>
      <w:r>
        <w:rPr>
          <w:rFonts w:hint="eastAsia"/>
        </w:rPr>
        <w:t>万元，</w:t>
      </w:r>
      <w:r>
        <w:rPr>
          <w:rFonts w:hint="eastAsia"/>
          <w:lang w:val="en-US" w:eastAsia="zh-CN"/>
        </w:rPr>
        <w:t>增长11.45%</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0.76</w:t>
      </w:r>
      <w:r>
        <w:t>万元</w:t>
      </w:r>
      <w:r>
        <w:rPr>
          <w:rFonts w:hint="eastAsia"/>
          <w:lang w:eastAsia="zh-CN"/>
        </w:rPr>
        <w:t>，</w:t>
      </w:r>
      <w:r>
        <w:rPr>
          <w:rFonts w:hint="eastAsia"/>
        </w:rPr>
        <w:t>占基本支出预算的</w:t>
      </w:r>
      <w:r>
        <w:rPr>
          <w:rFonts w:hint="eastAsia"/>
          <w:lang w:val="en-US" w:eastAsia="zh-CN"/>
        </w:rPr>
        <w:t>2.76%</w:t>
      </w:r>
      <w:r>
        <w:rPr>
          <w:rFonts w:hint="eastAsia"/>
        </w:rPr>
        <w:t>，较2023年度预算数</w:t>
      </w:r>
      <w:r>
        <w:rPr>
          <w:rFonts w:hint="eastAsia"/>
          <w:lang w:val="en-US" w:eastAsia="zh-CN"/>
        </w:rPr>
        <w:t>0.88</w:t>
      </w:r>
      <w:r>
        <w:rPr>
          <w:rFonts w:hint="eastAsia"/>
        </w:rPr>
        <w:t>万元，</w:t>
      </w:r>
      <w:r>
        <w:rPr>
          <w:rFonts w:hint="eastAsia"/>
          <w:lang w:val="en-US" w:eastAsia="zh-CN"/>
        </w:rPr>
        <w:t>减少0.12</w:t>
      </w:r>
      <w:r>
        <w:rPr>
          <w:rFonts w:hint="eastAsia"/>
        </w:rPr>
        <w:t>万元，</w:t>
      </w:r>
      <w:r>
        <w:rPr>
          <w:rFonts w:hint="eastAsia"/>
          <w:lang w:val="en-US" w:eastAsia="zh-CN"/>
        </w:rPr>
        <w:t>减少13.64%</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33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本部门无因公出国（境）费用支出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公务接待费统一在政府部门核算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本部门本年度无新增公务车购置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我部门2024年无部门政府性基金预算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我部门2024年无部门国有资本经营预算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0.76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下降13.64%</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践行中央过紧日子的文件精神，缩减经费开支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重点项目集中在政府部门预算，故我部门2024年无重点项目预算</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环江毛南族自治县大才乡农业服务中心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环江毛南族自治县大才乡农业服务中心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0.28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3.18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21.34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27.52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环江毛南族自治县大才乡农业服务中心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27.52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27.52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27.52</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702010</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27.52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27.52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27.52</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环江毛南族自治县大才乡农业服务中心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702010</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环江毛南族自治县大才乡农业服务中心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0.28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3.18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21.34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27.52</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环江毛南族自治县大才乡农业服务中心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702010</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27.52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27.53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26.77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3.18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21.34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21.34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20.86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2.73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环江毛南族自治县大才乡农业服务中心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27.53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26.77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8.59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8.59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环江毛南族自治县大才乡农业服务中心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702010</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环江毛南族自治县大才乡农业服务中心</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环江毛南族自治县大才乡农业服务中心</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环江毛南族自治县大才乡农业服务中心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mtGLsDAgAADA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muahNdz6rwTlnp+/v7t/OPX&#10;+edXNk8OdT6UlHjvtzjuAsEkt2/Qpi8JYX129XR1VfWRSQrOFvPFYkqGSzq7bIinePjdY4jvFViW&#10;QMWR2pbdFMfbEIfUS0q6zcFGG0NxURr3R4A4U6RIFQ81JhT7XT8WvoP6RIIRhkkIXm403XkrQtwK&#10;pNZTnfQ44h0tjYGu4jAizlrAL/+Kp3zqCJ1y1tEoVdzRy+HMfHDUqTR1F4AXsLsAd7DvgGZzxhlG&#10;kyH9IJwkuopHzg4e9b7N1Salwb89RJKfXUnaBkGjZBqS7Os40GkKH+9z1sMjX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NmtGLs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336"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BwocI0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338"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B1t4bg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feOx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0"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N4egDAgAADQ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hz4EAgAADQQAAA4AAABkcnMvZTJvRG9jLnhtbK1TwY7TMBC9I/EP&#10;lu80bU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E2T8PLVjDMnLPX8/O3r+fvP&#10;848vbDZPFnU+lJR577c47gLBpLdv0KYvKWF9tvV0tVX1kUkKzhbzxWJKjks6u2yIp3j43WOI7xRY&#10;lkDFkfqW7RTH2xCH1EtKus3BRhtDcVEa90eAOFOkSBUPNSYU+10/Fr6D+kSKEYZRCF5uNN15K0Lc&#10;CqTeU530OuIdLY2BruIwIs5awM//iqd8agmdctbRLFXc0dPhzLx31Ko0dheAF7C7AHewb4GGk7zH&#10;aDKkH4STRFfxyNnBo963udqkNPg3h0jysytJ2yBolExTkn0dJzqN4e/7nPXwi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vpYc+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3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BUgoAX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3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MPLFwj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singleLevel"/>
    <w:tmpl w:val="03D62EC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OCCwNviW1u4HyDemzEFG0emVGw/JKXaexyz7f7ygThnmyeIXTei+J1r/2qhwcTXqyhaInouNO9fg+Cf0zsBcPQ==" w:salt="hU1PDkfa4nKBeTvSaB5p1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554C72B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27.52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0.28</c:v>
                </c:pt>
                <c:pt idx="1">
                  <c:v>3.18</c:v>
                </c:pt>
                <c:pt idx="2">
                  <c:v>21.34</c:v>
                </c:pt>
                <c:pt idx="3">
                  <c:v>2.73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24.9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27.52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27.52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0.76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26.77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26.77</c:v>
                </c:pt>
                <c:pt idx="1">
                  <c:v>0.76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93d8f-ca54-4d21-8cb6-e8ab62167c22}">
  <ds:schemaRefs/>
</ds:datastoreItem>
</file>

<file path=customXml/itemProps3.xml><?xml version="1.0" encoding="utf-8"?>
<ds:datastoreItem xmlns:ds="http://schemas.openxmlformats.org/officeDocument/2006/customXml" ds:itemID="{8d093918-c47d-4d46-bc74-1caa29fa90dd}">
  <ds:schemaRefs/>
</ds:datastoreItem>
</file>

<file path=customXml/itemProps4.xml><?xml version="1.0" encoding="utf-8"?>
<ds:datastoreItem xmlns:ds="http://schemas.openxmlformats.org/officeDocument/2006/customXml" ds:itemID="{fdd1ded5-d88c-4de9-ad81-db2a183b99e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33</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2024-02-29T03:14:02Z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A16697994CE7472FBA24271026D0DD4A</vt:lpwstr>
  </property>
</Properties>
</file>