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sz w:val="56"/>
          <w:szCs w:val="56"/>
          <w:lang w:eastAsia="zh-CN"/>
        </w:rPr>
      </w:pPr>
      <w:r>
        <w:rPr>
          <w:rFonts w:hint="eastAsia"/>
          <w:sz w:val="56"/>
          <w:szCs w:val="56"/>
          <w:lang w:eastAsia="zh-CN"/>
        </w:rPr>
        <w:t>环江毛南族自治县</w:t>
      </w:r>
      <w:bookmarkStart w:id="43" w:name="_GoBack"/>
      <w:r>
        <w:rPr>
          <w:rFonts w:hint="eastAsia"/>
          <w:sz w:val="56"/>
          <w:szCs w:val="56"/>
          <w:lang w:eastAsia="zh-CN"/>
        </w:rPr>
        <w:t>水源镇扶贫站</w:t>
      </w:r>
    </w:p>
    <w:bookmarkEnd w:id="43"/>
    <w:p>
      <w:pPr>
        <w:pStyle w:val="7"/>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8"/>
        <w:keepNext/>
        <w:keepLines/>
        <w:spacing w:after="240"/>
        <w:jc w:val="center"/>
      </w:pPr>
      <w:bookmarkStart w:id="0" w:name="bookmark0"/>
      <w:bookmarkStart w:id="1" w:name="bookmark2"/>
      <w:bookmarkStart w:id="2" w:name="bookmark1"/>
      <w:r>
        <w:t>目录</w:t>
      </w:r>
      <w:bookmarkEnd w:id="0"/>
      <w:bookmarkEnd w:id="1"/>
      <w:bookmarkEnd w:id="2"/>
    </w:p>
    <w:p>
      <w:pPr>
        <w:pStyle w:val="9"/>
        <w:ind w:left="0" w:leftChars="0" w:firstLine="320" w:firstLineChars="100"/>
        <w:jc w:val="left"/>
      </w:pPr>
      <w:r>
        <w:t>第一部分</w:t>
      </w:r>
      <w:r>
        <w:rPr>
          <w:rFonts w:hint="eastAsia"/>
          <w:lang w:eastAsia="zh-CN"/>
        </w:rPr>
        <w:t>：</w:t>
      </w:r>
      <w:r>
        <w:rPr>
          <w:u w:color="auto"/>
        </w:rPr>
        <w:t>环江毛南族自治县水源镇扶贫站单位</w:t>
      </w:r>
      <w:r>
        <w:t>概况</w:t>
      </w:r>
    </w:p>
    <w:p>
      <w:pPr>
        <w:pStyle w:val="9"/>
        <w:jc w:val="left"/>
      </w:pPr>
      <w:r>
        <w:rPr>
          <w:lang w:val="en-US" w:eastAsia="zh-CN" w:bidi="en-US"/>
        </w:rPr>
        <w:t>—</w:t>
      </w:r>
      <w:r>
        <w:t>、主要职责</w:t>
      </w:r>
    </w:p>
    <w:p>
      <w:pPr>
        <w:pStyle w:val="9"/>
        <w:jc w:val="left"/>
        <w:rPr>
          <w:rFonts w:hint="eastAsia"/>
        </w:rPr>
      </w:pPr>
      <w:r>
        <w:rPr>
          <w:rFonts w:hint="eastAsia"/>
          <w:lang w:val="en-US" w:eastAsia="zh-CN"/>
        </w:rPr>
        <w:t>二、</w:t>
      </w:r>
      <w:r>
        <w:rPr>
          <w:rFonts w:hint="eastAsia"/>
        </w:rPr>
        <w:t>机构设置情况</w:t>
      </w:r>
    </w:p>
    <w:p>
      <w:pPr>
        <w:pStyle w:val="9"/>
        <w:ind w:left="0" w:leftChars="0" w:firstLine="320" w:firstLineChars="100"/>
        <w:jc w:val="left"/>
      </w:pPr>
      <w:r>
        <w:t>第二部分</w:t>
      </w:r>
      <w:r>
        <w:rPr>
          <w:rFonts w:hint="eastAsia"/>
          <w:lang w:eastAsia="zh-CN"/>
        </w:rPr>
        <w:t>：</w:t>
      </w:r>
      <w:r>
        <w:rPr>
          <w:u w:color="auto"/>
        </w:rPr>
        <w:t>环江毛南族自治县水源镇扶贫站2024</w:t>
      </w:r>
      <w:r>
        <w:t>部门预算情况说明</w:t>
      </w:r>
    </w:p>
    <w:p>
      <w:pPr>
        <w:pStyle w:val="9"/>
        <w:numPr>
          <w:ilvl w:val="0"/>
          <w:numId w:val="0"/>
        </w:numPr>
        <w:ind w:firstLine="640" w:firstLineChars="200"/>
        <w:jc w:val="left"/>
        <w:rPr>
          <w:rFonts w:hint="eastAsia"/>
        </w:rPr>
      </w:pPr>
      <w:r>
        <w:rPr>
          <w:rFonts w:hint="eastAsia"/>
        </w:rPr>
        <w:t>一、部门收支总体情况说明</w:t>
      </w:r>
    </w:p>
    <w:p>
      <w:pPr>
        <w:pStyle w:val="9"/>
        <w:numPr>
          <w:ilvl w:val="0"/>
          <w:numId w:val="0"/>
        </w:numPr>
        <w:ind w:firstLine="640" w:firstLineChars="200"/>
        <w:jc w:val="left"/>
        <w:rPr>
          <w:rFonts w:hint="eastAsia"/>
        </w:rPr>
      </w:pPr>
      <w:r>
        <w:rPr>
          <w:rFonts w:hint="eastAsia"/>
        </w:rPr>
        <w:t>二、部门收入总体情况说明</w:t>
      </w:r>
    </w:p>
    <w:p>
      <w:pPr>
        <w:pStyle w:val="9"/>
        <w:numPr>
          <w:ilvl w:val="0"/>
          <w:numId w:val="0"/>
        </w:numPr>
        <w:ind w:firstLine="640" w:firstLineChars="200"/>
        <w:jc w:val="left"/>
        <w:rPr>
          <w:rFonts w:hint="eastAsia"/>
        </w:rPr>
      </w:pPr>
      <w:r>
        <w:rPr>
          <w:rFonts w:hint="eastAsia"/>
        </w:rPr>
        <w:t>三、部门支出总体情况说明</w:t>
      </w:r>
    </w:p>
    <w:p>
      <w:pPr>
        <w:pStyle w:val="9"/>
        <w:numPr>
          <w:ilvl w:val="0"/>
          <w:numId w:val="0"/>
        </w:numPr>
        <w:ind w:firstLine="640" w:firstLineChars="200"/>
        <w:jc w:val="left"/>
        <w:rPr>
          <w:rFonts w:hint="eastAsia"/>
        </w:rPr>
      </w:pPr>
      <w:r>
        <w:rPr>
          <w:rFonts w:hint="eastAsia"/>
        </w:rPr>
        <w:t>四、财政拨款收支总体情况说明</w:t>
      </w:r>
    </w:p>
    <w:p>
      <w:pPr>
        <w:pStyle w:val="9"/>
        <w:numPr>
          <w:ilvl w:val="0"/>
          <w:numId w:val="0"/>
        </w:numPr>
        <w:ind w:firstLine="640" w:firstLineChars="200"/>
        <w:jc w:val="left"/>
        <w:rPr>
          <w:rFonts w:hint="eastAsia"/>
        </w:rPr>
      </w:pPr>
      <w:r>
        <w:rPr>
          <w:rFonts w:hint="eastAsia"/>
        </w:rPr>
        <w:t>五、一般公共预算支出情况说明</w:t>
      </w:r>
    </w:p>
    <w:p>
      <w:pPr>
        <w:pStyle w:val="9"/>
        <w:numPr>
          <w:ilvl w:val="0"/>
          <w:numId w:val="0"/>
        </w:numPr>
        <w:ind w:firstLine="640" w:firstLineChars="200"/>
        <w:jc w:val="left"/>
        <w:rPr>
          <w:rFonts w:hint="eastAsia"/>
        </w:rPr>
      </w:pPr>
      <w:r>
        <w:rPr>
          <w:rFonts w:hint="eastAsia"/>
        </w:rPr>
        <w:t>六、一般公共预算基本支出情况说明</w:t>
      </w:r>
    </w:p>
    <w:p>
      <w:pPr>
        <w:pStyle w:val="9"/>
        <w:numPr>
          <w:ilvl w:val="0"/>
          <w:numId w:val="0"/>
        </w:numPr>
        <w:ind w:firstLine="640" w:firstLineChars="200"/>
        <w:jc w:val="left"/>
        <w:rPr>
          <w:rFonts w:hint="eastAsia"/>
        </w:rPr>
      </w:pPr>
      <w:r>
        <w:rPr>
          <w:rFonts w:hint="eastAsia"/>
        </w:rPr>
        <w:t>七、一般公共预算“三公”经费支出情况说明</w:t>
      </w:r>
    </w:p>
    <w:p>
      <w:pPr>
        <w:pStyle w:val="9"/>
        <w:numPr>
          <w:ilvl w:val="0"/>
          <w:numId w:val="0"/>
        </w:numPr>
        <w:ind w:firstLine="640" w:firstLineChars="200"/>
        <w:jc w:val="left"/>
        <w:rPr>
          <w:rFonts w:hint="eastAsia"/>
        </w:rPr>
      </w:pPr>
      <w:r>
        <w:rPr>
          <w:rFonts w:hint="eastAsia"/>
        </w:rPr>
        <w:t>八、政府性基金预算支出情况说明</w:t>
      </w:r>
    </w:p>
    <w:p>
      <w:pPr>
        <w:pStyle w:val="9"/>
        <w:numPr>
          <w:ilvl w:val="0"/>
          <w:numId w:val="0"/>
        </w:numPr>
        <w:ind w:firstLine="640" w:firstLineChars="200"/>
        <w:jc w:val="left"/>
        <w:rPr>
          <w:rFonts w:hint="eastAsia"/>
        </w:rPr>
      </w:pPr>
      <w:r>
        <w:rPr>
          <w:rFonts w:hint="eastAsia"/>
        </w:rPr>
        <w:t>九、国有资本经营预算支出情况说明</w:t>
      </w:r>
    </w:p>
    <w:p>
      <w:pPr>
        <w:pStyle w:val="9"/>
        <w:numPr>
          <w:ilvl w:val="0"/>
          <w:numId w:val="0"/>
        </w:numPr>
        <w:ind w:firstLine="640" w:firstLineChars="200"/>
        <w:jc w:val="left"/>
      </w:pPr>
      <w:r>
        <w:rPr>
          <w:rFonts w:hint="eastAsia"/>
        </w:rPr>
        <w:t>十、其他重要事项情况说明</w:t>
      </w:r>
    </w:p>
    <w:p>
      <w:pPr>
        <w:pStyle w:val="9"/>
        <w:ind w:left="0" w:leftChars="0" w:firstLine="320" w:firstLineChars="100"/>
        <w:jc w:val="left"/>
      </w:pPr>
      <w:r>
        <w:t>第三部分</w:t>
      </w:r>
      <w:r>
        <w:rPr>
          <w:rFonts w:hint="eastAsia"/>
          <w:lang w:eastAsia="zh-CN"/>
        </w:rPr>
        <w:t>：</w:t>
      </w:r>
      <w:r>
        <w:rPr>
          <w:u w:color="auto"/>
        </w:rPr>
        <w:t>环江毛南族自治县水源镇扶贫站2024</w:t>
      </w:r>
      <w:r>
        <w:rPr>
          <w:rFonts w:ascii="Times New Roman" w:hAnsi="Times New Roman" w:cs="Times New Roman"/>
          <w:u w:color="auto"/>
        </w:rPr>
        <w:t>年</w:t>
      </w:r>
      <w:r>
        <w:t>部门预算</w:t>
      </w:r>
      <w:r>
        <w:rPr>
          <w:rFonts w:hint="eastAsia"/>
          <w:lang w:val="en-US" w:eastAsia="zh-CN"/>
        </w:rPr>
        <w:t>相关报</w:t>
      </w:r>
      <w:r>
        <w:t>表</w:t>
      </w:r>
    </w:p>
    <w:p>
      <w:pPr>
        <w:pStyle w:val="9"/>
        <w:jc w:val="left"/>
        <w:rPr>
          <w:rFonts w:hint="eastAsia"/>
        </w:rPr>
      </w:pPr>
      <w:r>
        <w:rPr>
          <w:rFonts w:hint="eastAsia"/>
        </w:rPr>
        <w:t>一、部门收支总体情况表</w:t>
      </w:r>
    </w:p>
    <w:p>
      <w:pPr>
        <w:pStyle w:val="9"/>
        <w:jc w:val="left"/>
        <w:rPr>
          <w:rFonts w:hint="eastAsia"/>
        </w:rPr>
      </w:pPr>
      <w:r>
        <w:rPr>
          <w:rFonts w:hint="eastAsia"/>
        </w:rPr>
        <w:t>二、部门收入总体情况表</w:t>
      </w:r>
    </w:p>
    <w:p>
      <w:pPr>
        <w:pStyle w:val="9"/>
        <w:jc w:val="left"/>
        <w:rPr>
          <w:rFonts w:hint="eastAsia"/>
        </w:rPr>
      </w:pPr>
      <w:r>
        <w:rPr>
          <w:rFonts w:hint="eastAsia"/>
        </w:rPr>
        <w:t>三、部门支出总体情况表</w:t>
      </w:r>
    </w:p>
    <w:p>
      <w:pPr>
        <w:pStyle w:val="9"/>
        <w:jc w:val="left"/>
        <w:rPr>
          <w:rFonts w:hint="eastAsia"/>
        </w:rPr>
      </w:pPr>
      <w:r>
        <w:rPr>
          <w:rFonts w:hint="eastAsia"/>
        </w:rPr>
        <w:t>四、财政拨款收支总体情况表</w:t>
      </w:r>
    </w:p>
    <w:p>
      <w:pPr>
        <w:pStyle w:val="9"/>
        <w:jc w:val="left"/>
        <w:rPr>
          <w:rFonts w:hint="eastAsia"/>
        </w:rPr>
      </w:pPr>
      <w:r>
        <w:rPr>
          <w:rFonts w:hint="eastAsia"/>
        </w:rPr>
        <w:t>五、一般公共预算支出情况表</w:t>
      </w:r>
    </w:p>
    <w:p>
      <w:pPr>
        <w:pStyle w:val="9"/>
        <w:jc w:val="left"/>
        <w:rPr>
          <w:rFonts w:hint="eastAsia"/>
        </w:rPr>
      </w:pPr>
      <w:r>
        <w:rPr>
          <w:rFonts w:hint="eastAsia"/>
        </w:rPr>
        <w:t>六、一般公共预算基本支出情况表</w:t>
      </w:r>
    </w:p>
    <w:p>
      <w:pPr>
        <w:pStyle w:val="9"/>
        <w:jc w:val="left"/>
        <w:rPr>
          <w:rFonts w:hint="eastAsia"/>
        </w:rPr>
      </w:pPr>
      <w:r>
        <w:rPr>
          <w:rFonts w:hint="eastAsia"/>
        </w:rPr>
        <w:t>七、一般公开预算“三公”经费支出情况表</w:t>
      </w:r>
    </w:p>
    <w:p>
      <w:pPr>
        <w:pStyle w:val="9"/>
        <w:jc w:val="left"/>
        <w:rPr>
          <w:rFonts w:hint="eastAsia"/>
        </w:rPr>
      </w:pPr>
      <w:r>
        <w:rPr>
          <w:rFonts w:hint="eastAsia"/>
        </w:rPr>
        <w:t>八、政府性基金预算支出情况表</w:t>
      </w:r>
    </w:p>
    <w:p>
      <w:pPr>
        <w:pStyle w:val="9"/>
        <w:jc w:val="left"/>
        <w:rPr>
          <w:rFonts w:hint="eastAsia"/>
        </w:rPr>
      </w:pPr>
      <w:r>
        <w:rPr>
          <w:rFonts w:hint="eastAsia"/>
        </w:rPr>
        <w:t>九、国有资本经营预算支出情况表</w:t>
      </w:r>
    </w:p>
    <w:p>
      <w:pPr>
        <w:pStyle w:val="9"/>
        <w:jc w:val="left"/>
        <w:rPr>
          <w:rFonts w:hint="eastAsia" w:eastAsia="宋体"/>
          <w:lang w:eastAsia="zh-CN"/>
        </w:rPr>
      </w:pPr>
      <w:r>
        <w:rPr>
          <w:rFonts w:hint="eastAsia"/>
        </w:rPr>
        <w:t>十、2024年度预算项目绩效目标公开表</w:t>
      </w:r>
    </w:p>
    <w:p>
      <w:pPr>
        <w:pStyle w:val="9"/>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8"/>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第一部分</w:t>
      </w:r>
      <w:r>
        <w:rPr>
          <w:rFonts w:hint="eastAsia"/>
          <w:b/>
          <w:bCs/>
          <w:sz w:val="40"/>
          <w:szCs w:val="40"/>
          <w:lang w:eastAsia="zh-CN"/>
        </w:rPr>
        <w:t>：</w:t>
      </w:r>
      <w:r>
        <w:rPr>
          <w:b/>
          <w:sz w:val="40"/>
          <w:u w:color="auto"/>
        </w:rPr>
        <w:t>环江毛南族自治县水源镇扶贫站</w:t>
      </w:r>
      <w:r>
        <w:rPr>
          <w:b/>
          <w:bCs/>
          <w:sz w:val="40"/>
          <w:szCs w:val="40"/>
        </w:rPr>
        <w:t>概况</w:t>
      </w:r>
      <w:bookmarkEnd w:id="3"/>
      <w:bookmarkEnd w:id="4"/>
      <w:bookmarkEnd w:id="5"/>
    </w:p>
    <w:p>
      <w:pPr>
        <w:pStyle w:val="9"/>
        <w:spacing w:after="0" w:line="619" w:lineRule="exact"/>
        <w:ind w:firstLine="620"/>
        <w:jc w:val="left"/>
        <w:rPr>
          <w:b/>
          <w:bCs/>
        </w:rPr>
      </w:pPr>
      <w:r>
        <w:rPr>
          <w:rFonts w:hint="eastAsia"/>
          <w:b/>
          <w:bCs/>
          <w:lang w:val="en-US" w:eastAsia="zh-CN"/>
        </w:rPr>
        <w:t>一、</w:t>
      </w:r>
      <w:r>
        <w:rPr>
          <w:b/>
          <w:bCs/>
        </w:rPr>
        <w:t>主要职责</w:t>
      </w:r>
    </w:p>
    <w:p>
      <w:pPr>
        <w:pStyle w:val="6"/>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环江毛南族自治县水源镇水源镇扶贫工作站职责:</w:t>
      </w:r>
    </w:p>
    <w:p>
      <w:pPr>
        <w:pStyle w:val="6"/>
        <w:spacing w:line="623" w:lineRule="exact"/>
        <w:ind w:left="0" w:leftChars="0" w:firstLine="560" w:firstLineChars="200"/>
        <w:jc w:val="left"/>
        <w:rPr>
          <w:rFonts w:hint="default"/>
          <w:highlight w:val="yellow"/>
          <w:lang w:val="en-US" w:eastAsia="zh-CN"/>
        </w:rPr>
      </w:pPr>
      <w:r>
        <w:rPr>
          <w:rFonts w:hint="eastAsia"/>
          <w:highlight w:val="none"/>
          <w:lang w:val="en-US" w:eastAsia="zh-CN"/>
        </w:rPr>
        <w:t>（1）负责贯彻执行党和国家及省、市、区关于扶贫开发工作方针、政策和法律、法规;研究制定和草拟本镇扶贫开发中长期规划和年度计划,提出全镇扶贫开发目标、任务和措施，并组织实施。</w:t>
      </w:r>
    </w:p>
    <w:p>
      <w:pPr>
        <w:pStyle w:val="6"/>
        <w:spacing w:line="623" w:lineRule="exact"/>
        <w:ind w:left="0" w:leftChars="0" w:firstLine="560" w:firstLineChars="200"/>
        <w:jc w:val="left"/>
        <w:rPr>
          <w:rFonts w:hint="default"/>
          <w:highlight w:val="yellow"/>
          <w:lang w:val="en-US" w:eastAsia="zh-CN"/>
        </w:rPr>
      </w:pPr>
      <w:r>
        <w:rPr>
          <w:rFonts w:hint="eastAsia"/>
          <w:highlight w:val="none"/>
          <w:lang w:val="en-US" w:eastAsia="zh-CN"/>
        </w:rPr>
        <w:t>（2）负责本镇扶贫开发项目规划、设计、论证和申报工作,编制项目实施方案,做好项目的协调、管理和验收。</w:t>
      </w:r>
    </w:p>
    <w:p>
      <w:pPr>
        <w:pStyle w:val="6"/>
        <w:spacing w:line="623" w:lineRule="exact"/>
        <w:ind w:left="0" w:leftChars="0" w:firstLine="560" w:firstLineChars="200"/>
        <w:jc w:val="left"/>
        <w:rPr>
          <w:rFonts w:hint="default"/>
          <w:highlight w:val="yellow"/>
          <w:lang w:val="en-US" w:eastAsia="zh-CN"/>
        </w:rPr>
      </w:pPr>
      <w:r>
        <w:rPr>
          <w:rFonts w:hint="eastAsia"/>
          <w:highlight w:val="none"/>
          <w:lang w:val="en-US" w:eastAsia="zh-CN"/>
        </w:rPr>
        <w:t>（3）开展本镇农村劳动力转移培训、产业化技能培训和“雨露计划”培训工作;负责本镇扶贫开发统计,贫困人口摸底调查、统计、建档立卡、动态监测等。</w:t>
      </w:r>
    </w:p>
    <w:p>
      <w:pPr>
        <w:pStyle w:val="6"/>
        <w:spacing w:line="623" w:lineRule="exact"/>
        <w:ind w:left="0" w:leftChars="0" w:firstLine="560" w:firstLineChars="200"/>
        <w:jc w:val="left"/>
        <w:rPr>
          <w:rFonts w:hint="default"/>
          <w:highlight w:val="yellow"/>
          <w:lang w:val="en-US" w:eastAsia="zh-CN"/>
        </w:rPr>
      </w:pPr>
      <w:r>
        <w:rPr>
          <w:rFonts w:hint="eastAsia"/>
          <w:highlight w:val="none"/>
          <w:lang w:val="en-US" w:eastAsia="zh-CN"/>
        </w:rPr>
        <w:t>（4）协助县级及以上部门做好扶贫资金的请款报账及扶贫项目物资的管理、发放等工作;会同纪检监察部门做好扶贫项目资金的监管工作。</w:t>
      </w:r>
    </w:p>
    <w:p>
      <w:pPr>
        <w:pStyle w:val="6"/>
        <w:spacing w:line="623" w:lineRule="exact"/>
        <w:ind w:left="0" w:leftChars="0" w:firstLine="560" w:firstLineChars="200"/>
        <w:jc w:val="left"/>
        <w:rPr>
          <w:rFonts w:hint="default"/>
          <w:highlight w:val="yellow"/>
          <w:lang w:val="en-US" w:eastAsia="zh-CN"/>
        </w:rPr>
      </w:pPr>
      <w:r>
        <w:rPr>
          <w:rFonts w:hint="eastAsia"/>
          <w:highlight w:val="none"/>
          <w:lang w:val="en-US" w:eastAsia="zh-CN"/>
        </w:rPr>
        <w:t>（5）承办县扶贫开发办公室和本镇党委政府交办的其他工作等。</w:t>
      </w:r>
    </w:p>
    <w:p>
      <w:pPr>
        <w:pStyle w:val="9"/>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6"/>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水源镇水源镇扶贫工作站是环江县水源镇人民政府直接管理的相当副科级财政全额拨款事业单位，本部门设有站长、副站长、办事员等三个职能岗位。本部门人员编制总数为4人，其中：行政编制0人，参公编制0人，事业编制4人，工勤编制0人；在职人员总数4人，其中：行政在职0人，参公在职0人，事业在职4人。</w:t>
      </w:r>
    </w:p>
    <w:p/>
    <w:p>
      <w:pPr>
        <w:pStyle w:val="8"/>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7"/>
      <w:bookmarkStart w:id="11" w:name="bookmark28"/>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环江毛南族自治县水源镇扶贫站</w:t>
      </w:r>
      <w:r>
        <w:rPr>
          <w:b/>
          <w:sz w:val="40"/>
          <w:u w:color="auto"/>
        </w:rPr>
        <w:t>2024年部门预算情况说明</w:t>
      </w:r>
    </w:p>
    <w:p>
      <w:pPr>
        <w:pStyle w:val="9"/>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66.27</w:t>
      </w:r>
      <w:r>
        <w:rPr>
          <w:rFonts w:hint="eastAsia"/>
          <w:b w:val="0"/>
          <w:bCs w:val="0"/>
          <w:sz w:val="28"/>
          <w:szCs w:val="28"/>
        </w:rPr>
        <w:t>万元，总支出</w:t>
      </w:r>
      <w:r>
        <w:rPr>
          <w:rFonts w:hint="eastAsia"/>
          <w:sz w:val="28"/>
          <w:szCs w:val="28"/>
          <w:lang w:val="en-US" w:eastAsia="zh-CN"/>
        </w:rPr>
        <w:t>66.27</w:t>
      </w:r>
      <w:r>
        <w:rPr>
          <w:rFonts w:hint="eastAsia"/>
          <w:b w:val="0"/>
          <w:bCs w:val="0"/>
          <w:sz w:val="28"/>
          <w:szCs w:val="28"/>
        </w:rPr>
        <w:t>万元。总收入较2023年度预算数</w:t>
      </w:r>
      <w:r>
        <w:rPr>
          <w:rFonts w:hint="eastAsia"/>
          <w:sz w:val="28"/>
          <w:szCs w:val="28"/>
          <w:lang w:val="en-US" w:eastAsia="zh-CN"/>
        </w:rPr>
        <w:t>61.54</w:t>
      </w:r>
      <w:r>
        <w:rPr>
          <w:rFonts w:hint="eastAsia"/>
          <w:b w:val="0"/>
          <w:bCs w:val="0"/>
          <w:sz w:val="28"/>
          <w:szCs w:val="28"/>
        </w:rPr>
        <w:t>万元，</w:t>
      </w:r>
      <w:r>
        <w:rPr>
          <w:rFonts w:hint="eastAsia"/>
          <w:sz w:val="28"/>
          <w:szCs w:val="28"/>
        </w:rPr>
        <w:t>增加4.73</w:t>
      </w:r>
      <w:r>
        <w:rPr>
          <w:rFonts w:hint="eastAsia"/>
          <w:b w:val="0"/>
          <w:bCs w:val="0"/>
          <w:sz w:val="28"/>
          <w:szCs w:val="28"/>
        </w:rPr>
        <w:t>万元，</w:t>
      </w:r>
      <w:r>
        <w:rPr>
          <w:rFonts w:hint="eastAsia"/>
          <w:sz w:val="28"/>
          <w:szCs w:val="28"/>
        </w:rPr>
        <w:t>增长7.69%</w:t>
      </w:r>
      <w:r>
        <w:rPr>
          <w:rFonts w:hint="eastAsia"/>
          <w:b w:val="0"/>
          <w:bCs w:val="0"/>
          <w:sz w:val="28"/>
          <w:szCs w:val="28"/>
        </w:rPr>
        <w:t>，主要原因是</w:t>
      </w:r>
      <w:r>
        <w:rPr>
          <w:rFonts w:hint="eastAsia"/>
          <w:highlight w:val="none"/>
          <w:lang w:val="en-US" w:eastAsia="zh-CN"/>
        </w:rPr>
        <w:t>2024年度调整基本工资，公积金缴费基数，基础性绩效工资增量调增，导致预算增加</w:t>
      </w:r>
      <w:r>
        <w:rPr>
          <w:rFonts w:hint="eastAsia"/>
          <w:b w:val="0"/>
          <w:bCs w:val="0"/>
          <w:sz w:val="28"/>
          <w:szCs w:val="28"/>
        </w:rPr>
        <w:t>。总支出较2023年度预算数</w:t>
      </w:r>
      <w:r>
        <w:rPr>
          <w:rFonts w:hint="eastAsia"/>
          <w:sz w:val="28"/>
          <w:szCs w:val="28"/>
          <w:lang w:val="en-US" w:eastAsia="zh-CN"/>
        </w:rPr>
        <w:t>61.54</w:t>
      </w:r>
      <w:r>
        <w:rPr>
          <w:rFonts w:hint="eastAsia"/>
          <w:b w:val="0"/>
          <w:bCs w:val="0"/>
          <w:sz w:val="28"/>
          <w:szCs w:val="28"/>
        </w:rPr>
        <w:t>万元，</w:t>
      </w:r>
      <w:r>
        <w:rPr>
          <w:rFonts w:hint="eastAsia"/>
          <w:sz w:val="28"/>
          <w:szCs w:val="28"/>
        </w:rPr>
        <w:t>增加4.73</w:t>
      </w:r>
      <w:r>
        <w:rPr>
          <w:rFonts w:hint="eastAsia"/>
          <w:b w:val="0"/>
          <w:bCs w:val="0"/>
          <w:sz w:val="28"/>
          <w:szCs w:val="28"/>
        </w:rPr>
        <w:t>万元，</w:t>
      </w:r>
      <w:r>
        <w:rPr>
          <w:rFonts w:hint="eastAsia"/>
          <w:sz w:val="28"/>
          <w:szCs w:val="28"/>
        </w:rPr>
        <w:t>增长7.69%</w:t>
      </w:r>
      <w:r>
        <w:rPr>
          <w:rFonts w:hint="eastAsia"/>
          <w:b w:val="0"/>
          <w:bCs w:val="0"/>
          <w:sz w:val="28"/>
          <w:szCs w:val="28"/>
        </w:rPr>
        <w:t>，主要原因是</w:t>
      </w:r>
      <w:r>
        <w:rPr>
          <w:rFonts w:hint="eastAsia"/>
          <w:highlight w:val="none"/>
          <w:lang w:val="en-US" w:eastAsia="zh-CN"/>
        </w:rPr>
        <w:t>2024年度调整基本工资，公积金缴费基数，基础性绩效工资增量调增，导致预算增加</w:t>
      </w:r>
      <w:r>
        <w:rPr>
          <w:rFonts w:hint="eastAsia"/>
          <w:b w:val="0"/>
          <w:bCs w:val="0"/>
          <w:sz w:val="28"/>
          <w:szCs w:val="28"/>
        </w:rPr>
        <w:t>。</w:t>
      </w:r>
    </w:p>
    <w:p>
      <w:pPr>
        <w:pStyle w:val="9"/>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6"/>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27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66.27</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61.54</w:t>
      </w:r>
      <w:r>
        <w:rPr>
          <w:rFonts w:hint="eastAsia" w:ascii="宋体" w:hAnsi="宋体" w:eastAsia="宋体" w:cs="宋体"/>
          <w:sz w:val="28"/>
          <w:szCs w:val="28"/>
          <w:u w:color="auto"/>
        </w:rPr>
        <w:t>万元，</w:t>
      </w:r>
      <w:r>
        <w:rPr>
          <w:rFonts w:hint="eastAsia" w:ascii="宋体" w:hAnsi="宋体" w:eastAsia="宋体" w:cs="宋体"/>
          <w:sz w:val="28"/>
          <w:szCs w:val="28"/>
        </w:rPr>
        <w:t>增加4.73</w:t>
      </w:r>
      <w:r>
        <w:rPr>
          <w:rFonts w:hint="eastAsia" w:ascii="宋体" w:hAnsi="宋体" w:eastAsia="宋体" w:cs="宋体"/>
          <w:sz w:val="28"/>
          <w:szCs w:val="28"/>
          <w:u w:color="auto"/>
        </w:rPr>
        <w:t>万元，</w:t>
      </w:r>
      <w:r>
        <w:rPr>
          <w:rFonts w:hint="eastAsia" w:ascii="宋体" w:hAnsi="宋体" w:eastAsia="宋体" w:cs="宋体"/>
          <w:sz w:val="28"/>
          <w:szCs w:val="28"/>
        </w:rPr>
        <w:t>增长7.69%</w:t>
      </w:r>
      <w:r>
        <w:rPr>
          <w:rFonts w:hint="eastAsia" w:ascii="宋体" w:hAnsi="宋体" w:eastAsia="宋体" w:cs="宋体"/>
          <w:sz w:val="28"/>
          <w:szCs w:val="28"/>
          <w:u w:color="auto"/>
        </w:rPr>
        <w:t>，主要原因是</w:t>
      </w:r>
      <w:r>
        <w:rPr>
          <w:rFonts w:hint="eastAsia"/>
          <w:highlight w:val="none"/>
          <w:lang w:val="en-US" w:eastAsia="zh-CN"/>
        </w:rPr>
        <w:t>2024年度调整基本工资，公积金缴费基数，基础性绩效工资增量调增，导致预算增加</w:t>
      </w:r>
      <w:r>
        <w:rPr>
          <w:rFonts w:hint="eastAsia" w:ascii="宋体" w:hAnsi="宋体" w:eastAsia="宋体" w:cs="宋体"/>
          <w:sz w:val="28"/>
          <w:szCs w:val="28"/>
          <w:u w:color="auto"/>
        </w:rPr>
        <w:t>。</w:t>
      </w:r>
    </w:p>
    <w:p>
      <w:pPr>
        <w:pStyle w:val="9"/>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6"/>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427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66.27</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61.54</w:t>
      </w:r>
      <w:r>
        <w:rPr>
          <w:rFonts w:hint="eastAsia" w:ascii="宋体" w:hAnsi="宋体" w:eastAsia="宋体" w:cs="宋体"/>
          <w:sz w:val="28"/>
          <w:szCs w:val="28"/>
          <w:lang w:eastAsia="zh-CN"/>
        </w:rPr>
        <w:t>万元，</w:t>
      </w:r>
      <w:r>
        <w:rPr>
          <w:rFonts w:hint="eastAsia" w:ascii="宋体" w:hAnsi="宋体" w:eastAsia="宋体" w:cs="宋体"/>
          <w:sz w:val="28"/>
          <w:szCs w:val="28"/>
        </w:rPr>
        <w:t>增加4.73</w:t>
      </w:r>
      <w:r>
        <w:rPr>
          <w:rFonts w:hint="eastAsia" w:ascii="宋体" w:hAnsi="宋体" w:eastAsia="宋体" w:cs="宋体"/>
          <w:sz w:val="28"/>
          <w:szCs w:val="28"/>
          <w:lang w:eastAsia="zh-CN"/>
        </w:rPr>
        <w:t>万元，</w:t>
      </w:r>
      <w:r>
        <w:rPr>
          <w:rFonts w:hint="eastAsia" w:ascii="宋体" w:hAnsi="宋体" w:eastAsia="宋体" w:cs="宋体"/>
          <w:sz w:val="28"/>
          <w:szCs w:val="28"/>
        </w:rPr>
        <w:t>增长7.69%</w:t>
      </w:r>
      <w:r>
        <w:rPr>
          <w:rFonts w:hint="eastAsia" w:ascii="宋体" w:hAnsi="宋体" w:eastAsia="宋体" w:cs="宋体"/>
          <w:sz w:val="28"/>
          <w:szCs w:val="28"/>
          <w:lang w:eastAsia="zh-CN"/>
        </w:rPr>
        <w:t>，主要原因是</w:t>
      </w:r>
      <w:r>
        <w:rPr>
          <w:rFonts w:hint="eastAsia"/>
          <w:highlight w:val="none"/>
          <w:lang w:val="en-US" w:eastAsia="zh-CN"/>
        </w:rPr>
        <w:t>2024年度调整基本工资，公积金缴费基数，基础性绩效工资增量调增，导致预算收入增加</w:t>
      </w:r>
      <w:r>
        <w:rPr>
          <w:rFonts w:hint="eastAsia" w:ascii="Times New Roman" w:hAnsi="Times New Roman" w:cs="Times New Roman"/>
          <w:sz w:val="30"/>
          <w:szCs w:val="30"/>
          <w:lang w:eastAsia="zh-CN"/>
        </w:rPr>
        <w:t>。主要包括：</w:t>
      </w:r>
      <w:r>
        <w:rPr>
          <w:rFonts w:hint="eastAsia"/>
          <w:highlight w:val="none"/>
          <w:lang w:val="en-US" w:eastAsia="zh-CN"/>
        </w:rPr>
        <w:t>人员工资调整支出、基础性绩效工资增量支出和住房公积金缴费支出</w:t>
      </w:r>
      <w:r>
        <w:rPr>
          <w:rFonts w:hint="eastAsia" w:ascii="Times New Roman" w:hAnsi="Times New Roman" w:cs="Times New Roman"/>
          <w:sz w:val="30"/>
          <w:szCs w:val="30"/>
          <w:lang w:eastAsia="zh-CN"/>
        </w:rPr>
        <w:t>。</w:t>
      </w:r>
    </w:p>
    <w:p>
      <w:pPr>
        <w:pStyle w:val="6"/>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4</w:t>
      </w:r>
      <w:r>
        <w:t>类，其中:</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1)农林水支出</w:t>
      </w:r>
      <w:r>
        <w:rPr>
          <w:rFonts w:hint="eastAsia"/>
          <w:lang w:val="en-US" w:eastAsia="zh-CN"/>
        </w:rPr>
        <w:t>51.61</w:t>
      </w:r>
      <w:r>
        <w:rPr>
          <w:rFonts w:hint="eastAsia"/>
        </w:rPr>
        <w:t>万元，占支出总预算</w:t>
      </w:r>
      <w:r>
        <w:rPr>
          <w:rFonts w:hint="eastAsia"/>
          <w:lang w:val="en-US" w:eastAsia="zh-CN"/>
        </w:rPr>
        <w:t>77.88%</w:t>
      </w:r>
      <w:r>
        <w:rPr>
          <w:rFonts w:hint="eastAsia"/>
        </w:rPr>
        <w:t>,比上年</w:t>
      </w:r>
      <w:r>
        <w:rPr>
          <w:rFonts w:hint="eastAsia"/>
          <w:lang w:val="en-US" w:eastAsia="zh-CN"/>
        </w:rPr>
        <w:t>增长4.64</w:t>
      </w:r>
      <w:r>
        <w:rPr>
          <w:rFonts w:hint="eastAsia"/>
        </w:rPr>
        <w:t>万元，</w:t>
      </w:r>
      <w:r>
        <w:rPr>
          <w:rFonts w:hint="eastAsia"/>
          <w:lang w:val="en-US" w:eastAsia="zh-CN"/>
        </w:rPr>
        <w:t>增长9.88%</w:t>
      </w:r>
      <w:r>
        <w:rPr>
          <w:rFonts w:hint="eastAsia"/>
        </w:rPr>
        <w:t>,</w:t>
      </w:r>
      <w:r>
        <w:rPr>
          <w:rFonts w:hint="eastAsia"/>
          <w:highlight w:val="none"/>
        </w:rPr>
        <w:t>主要原因是：</w:t>
      </w:r>
      <w:r>
        <w:rPr>
          <w:rFonts w:hint="eastAsia"/>
          <w:highlight w:val="none"/>
          <w:lang w:val="en-US" w:eastAsia="zh-CN"/>
        </w:rPr>
        <w:t>调整人员工资和基础性绩效工资增量</w:t>
      </w:r>
      <w:r>
        <w:rPr>
          <w:rFonts w:hint="eastAsia"/>
          <w:highlight w:val="none"/>
        </w:rPr>
        <w:t>。</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2)一般公共服务支出</w:t>
      </w:r>
      <w:r>
        <w:rPr>
          <w:rFonts w:hint="eastAsia"/>
          <w:lang w:val="en-US" w:eastAsia="zh-CN"/>
        </w:rPr>
        <w:t>0.70</w:t>
      </w:r>
      <w:r>
        <w:rPr>
          <w:rFonts w:hint="eastAsia"/>
        </w:rPr>
        <w:t>万元，占支出总预算</w:t>
      </w:r>
      <w:r>
        <w:rPr>
          <w:rFonts w:hint="eastAsia"/>
          <w:lang w:val="en-US" w:eastAsia="zh-CN"/>
        </w:rPr>
        <w:t>1.06%</w:t>
      </w:r>
      <w:r>
        <w:rPr>
          <w:rFonts w:hint="eastAsia"/>
        </w:rPr>
        <w:t>,比上年</w:t>
      </w:r>
      <w:r>
        <w:rPr>
          <w:rFonts w:hint="eastAsia"/>
          <w:lang w:val="en-US" w:eastAsia="zh-CN"/>
        </w:rPr>
        <w:t>减少0.27</w:t>
      </w:r>
      <w:r>
        <w:rPr>
          <w:rFonts w:hint="eastAsia"/>
        </w:rPr>
        <w:t>万元，</w:t>
      </w:r>
      <w:r>
        <w:rPr>
          <w:rFonts w:hint="eastAsia"/>
          <w:lang w:val="en-US" w:eastAsia="zh-CN"/>
        </w:rPr>
        <w:t>减少27.84%</w:t>
      </w:r>
      <w:r>
        <w:rPr>
          <w:rFonts w:hint="eastAsia"/>
        </w:rPr>
        <w:t>,</w:t>
      </w:r>
      <w:r>
        <w:rPr>
          <w:rFonts w:hint="eastAsia"/>
          <w:highlight w:val="none"/>
        </w:rPr>
        <w:t>主要原因是：</w:t>
      </w:r>
      <w:r>
        <w:rPr>
          <w:rFonts w:hint="eastAsia"/>
          <w:highlight w:val="none"/>
          <w:lang w:val="en-US" w:eastAsia="zh-CN"/>
        </w:rPr>
        <w:t>2024年我部门工会经费预算支出减半</w:t>
      </w:r>
      <w:r>
        <w:rPr>
          <w:rFonts w:hint="eastAsia"/>
          <w:highlight w:val="none"/>
        </w:rPr>
        <w:t>。</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3)住房保障支出</w:t>
      </w:r>
      <w:r>
        <w:rPr>
          <w:rFonts w:hint="eastAsia"/>
          <w:lang w:val="en-US" w:eastAsia="zh-CN"/>
        </w:rPr>
        <w:t>6.37</w:t>
      </w:r>
      <w:r>
        <w:rPr>
          <w:rFonts w:hint="eastAsia"/>
        </w:rPr>
        <w:t>万元，占支出总预算</w:t>
      </w:r>
      <w:r>
        <w:rPr>
          <w:rFonts w:hint="eastAsia"/>
          <w:lang w:val="en-US" w:eastAsia="zh-CN"/>
        </w:rPr>
        <w:t>9.61%</w:t>
      </w:r>
      <w:r>
        <w:rPr>
          <w:rFonts w:hint="eastAsia"/>
        </w:rPr>
        <w:t>,比上年</w:t>
      </w:r>
      <w:r>
        <w:rPr>
          <w:rFonts w:hint="eastAsia"/>
          <w:lang w:val="en-US" w:eastAsia="zh-CN"/>
        </w:rPr>
        <w:t>增长0.54</w:t>
      </w:r>
      <w:r>
        <w:rPr>
          <w:rFonts w:hint="eastAsia"/>
        </w:rPr>
        <w:t>万元，</w:t>
      </w:r>
      <w:r>
        <w:rPr>
          <w:rFonts w:hint="eastAsia"/>
          <w:lang w:val="en-US" w:eastAsia="zh-CN"/>
        </w:rPr>
        <w:t>增长9.26%</w:t>
      </w:r>
      <w:r>
        <w:rPr>
          <w:rFonts w:hint="eastAsia"/>
        </w:rPr>
        <w:t>,</w:t>
      </w:r>
      <w:r>
        <w:rPr>
          <w:rFonts w:hint="eastAsia"/>
          <w:highlight w:val="none"/>
        </w:rPr>
        <w:t>主要原因是：</w:t>
      </w:r>
      <w:r>
        <w:rPr>
          <w:rFonts w:hint="eastAsia"/>
          <w:highlight w:val="none"/>
          <w:lang w:val="en-US" w:eastAsia="zh-CN"/>
        </w:rPr>
        <w:t>调增住房公积金基数</w:t>
      </w:r>
      <w:r>
        <w:rPr>
          <w:rFonts w:hint="eastAsia"/>
          <w:highlight w:val="none"/>
        </w:rPr>
        <w:t>。</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4)社会保障和就业支出</w:t>
      </w:r>
      <w:r>
        <w:rPr>
          <w:rFonts w:hint="eastAsia"/>
          <w:lang w:val="en-US" w:eastAsia="zh-CN"/>
        </w:rPr>
        <w:t>7.58</w:t>
      </w:r>
      <w:r>
        <w:rPr>
          <w:rFonts w:hint="eastAsia"/>
        </w:rPr>
        <w:t>万元，占支出总预算</w:t>
      </w:r>
      <w:r>
        <w:rPr>
          <w:rFonts w:hint="eastAsia"/>
          <w:lang w:val="en-US" w:eastAsia="zh-CN"/>
        </w:rPr>
        <w:t>11.44%</w:t>
      </w:r>
      <w:r>
        <w:rPr>
          <w:rFonts w:hint="eastAsia"/>
        </w:rPr>
        <w:t>,比上年</w:t>
      </w:r>
      <w:r>
        <w:rPr>
          <w:rFonts w:hint="eastAsia"/>
          <w:lang w:val="en-US" w:eastAsia="zh-CN"/>
        </w:rPr>
        <w:t>减少0.19</w:t>
      </w:r>
      <w:r>
        <w:rPr>
          <w:rFonts w:hint="eastAsia"/>
        </w:rPr>
        <w:t>万元，</w:t>
      </w:r>
      <w:r>
        <w:rPr>
          <w:rFonts w:hint="eastAsia"/>
          <w:lang w:val="en-US" w:eastAsia="zh-CN"/>
        </w:rPr>
        <w:t>减少2.45%</w:t>
      </w:r>
      <w:r>
        <w:rPr>
          <w:rFonts w:hint="eastAsia"/>
        </w:rPr>
        <w:t>,</w:t>
      </w:r>
      <w:r>
        <w:rPr>
          <w:rFonts w:hint="eastAsia"/>
          <w:highlight w:val="none"/>
        </w:rPr>
        <w:t>主要原因是：</w:t>
      </w:r>
      <w:r>
        <w:rPr>
          <w:rFonts w:hint="eastAsia"/>
          <w:highlight w:val="none"/>
          <w:lang w:val="en-US" w:eastAsia="zh-CN"/>
        </w:rPr>
        <w:t>调整养老保险缴存基数</w:t>
      </w:r>
      <w:r>
        <w:rPr>
          <w:rFonts w:hint="eastAsia"/>
          <w:highlight w:val="none"/>
        </w:rPr>
        <w:t>。</w:t>
      </w:r>
    </w:p>
    <w:p>
      <w:pPr>
        <w:pStyle w:val="6"/>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6"/>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66.27</w:t>
      </w:r>
      <w:r>
        <w:rPr>
          <w:rFonts w:hint="eastAsia"/>
        </w:rPr>
        <w:t>万元，占支出预算</w:t>
      </w:r>
      <w:r>
        <w:rPr>
          <w:u w:color="auto"/>
        </w:rPr>
        <w:t>100.00%,比上年增长4.73万元，增长7.69%</w:t>
      </w:r>
      <w:r>
        <w:t>。</w:t>
      </w:r>
      <w:r>
        <w:rPr>
          <w:rFonts w:hint="eastAsia"/>
          <w:lang w:val="en-US" w:eastAsia="zh-CN"/>
        </w:rPr>
        <w:t>其中：</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64.61</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97.50%</w:t>
      </w:r>
      <w:r>
        <w:rPr>
          <w:rFonts w:hint="eastAsia" w:ascii="宋体" w:hAnsi="宋体" w:eastAsia="宋体" w:cs="宋体"/>
          <w:sz w:val="28"/>
          <w:szCs w:val="28"/>
        </w:rPr>
        <w:t>,比上年</w:t>
      </w:r>
      <w:r>
        <w:rPr>
          <w:rFonts w:ascii="宋体" w:hAnsi="宋体" w:eastAsia="宋体" w:cs="宋体"/>
          <w:sz w:val="28"/>
          <w:u w:color="auto"/>
        </w:rPr>
        <w:t>增长5.00万元，增长8.39%,主要原因是：调整人员工资和基础性绩效工资增量</w:t>
      </w:r>
      <w:r>
        <w:rPr>
          <w:rFonts w:hint="eastAsia" w:ascii="宋体" w:hAnsi="宋体" w:eastAsia="宋体" w:cs="宋体"/>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1.66</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2.50%</w:t>
      </w:r>
      <w:r>
        <w:rPr>
          <w:rFonts w:hint="eastAsia" w:ascii="宋体" w:hAnsi="宋体" w:eastAsia="宋体" w:cs="宋体"/>
          <w:sz w:val="28"/>
          <w:szCs w:val="28"/>
        </w:rPr>
        <w:t>,比上年</w:t>
      </w:r>
      <w:r>
        <w:rPr>
          <w:rFonts w:ascii="宋体" w:hAnsi="宋体" w:eastAsia="宋体" w:cs="宋体"/>
          <w:sz w:val="28"/>
          <w:u w:color="auto"/>
        </w:rPr>
        <w:t>减少0.27万元，减少13.99%,主要原因是：2024年度我部门工会经费预算支出减半</w:t>
      </w:r>
      <w:r>
        <w:rPr>
          <w:rFonts w:hint="eastAsia" w:ascii="宋体" w:hAnsi="宋体" w:eastAsia="宋体" w:cs="宋体"/>
          <w:sz w:val="28"/>
          <w:szCs w:val="28"/>
          <w:lang w:val="en-US" w:eastAsia="zh-CN"/>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6"/>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9"/>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6"/>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427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66.27</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66.27</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61.54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增加4.73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增长7.69%</w:t>
      </w:r>
      <w:r>
        <w:rPr>
          <w:rFonts w:hint="eastAsia" w:ascii="宋体" w:hAnsi="宋体" w:eastAsia="宋体" w:cs="宋体"/>
          <w:sz w:val="28"/>
          <w:szCs w:val="28"/>
        </w:rPr>
        <w:t>，主要原因是</w:t>
      </w:r>
      <w:r>
        <w:rPr>
          <w:rFonts w:hint="eastAsia"/>
          <w:highlight w:val="none"/>
          <w:lang w:val="en-US" w:eastAsia="zh-CN"/>
        </w:rPr>
        <w:t>2024年度调整基本工资，公积金缴费基数，基础性绩效工资增量调增，导致预算收入增加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61.54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增加4.73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增长7.69%</w:t>
      </w:r>
      <w:r>
        <w:rPr>
          <w:rFonts w:hint="eastAsia" w:ascii="宋体" w:hAnsi="宋体" w:eastAsia="宋体" w:cs="宋体"/>
          <w:sz w:val="28"/>
          <w:szCs w:val="28"/>
        </w:rPr>
        <w:t>，主要原因是</w:t>
      </w:r>
      <w:r>
        <w:rPr>
          <w:rFonts w:hint="eastAsia"/>
          <w:highlight w:val="none"/>
          <w:lang w:val="en-US" w:eastAsia="zh-CN"/>
        </w:rPr>
        <w:t>2024年度调整基本工资，公积金缴费基数，基础性绩效工资增量调增，导致预算支出增加</w:t>
      </w:r>
      <w:r>
        <w:rPr>
          <w:rFonts w:hint="eastAsia" w:ascii="宋体" w:hAnsi="宋体" w:eastAsia="宋体" w:cs="宋体"/>
          <w:sz w:val="28"/>
          <w:szCs w:val="28"/>
        </w:rPr>
        <w:t>。</w:t>
      </w:r>
    </w:p>
    <w:p>
      <w:pPr>
        <w:pStyle w:val="9"/>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6"/>
        <w:spacing w:line="240" w:lineRule="auto"/>
        <w:ind w:firstLine="0"/>
        <w:jc w:val="left"/>
        <w:rPr>
          <w:lang w:eastAsia="zh-CN"/>
        </w:rPr>
      </w:pPr>
      <w:r>
        <w:rPr>
          <w:lang w:eastAsia="zh-CN"/>
        </w:rPr>
        <w:drawing>
          <wp:inline distT="0" distB="0" distL="114300" distR="114300">
            <wp:extent cx="5080000" cy="3810000"/>
            <wp:effectExtent l="4445" t="4445" r="20955" b="14605"/>
            <wp:docPr id="427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66.27</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61.54</w:t>
      </w:r>
      <w:r>
        <w:rPr>
          <w:rFonts w:hint="eastAsia" w:ascii="宋体" w:hAnsi="宋体" w:eastAsia="宋体" w:cs="宋体"/>
          <w:sz w:val="28"/>
          <w:szCs w:val="28"/>
        </w:rPr>
        <w:t>万元，</w:t>
      </w:r>
      <w:r>
        <w:rPr>
          <w:rFonts w:hint="eastAsia" w:ascii="宋体" w:hAnsi="宋体" w:eastAsia="宋体" w:cs="宋体"/>
          <w:sz w:val="28"/>
          <w:szCs w:val="28"/>
          <w:lang w:val="en-US" w:eastAsia="zh-CN"/>
        </w:rPr>
        <w:t>增加4.73</w:t>
      </w:r>
      <w:r>
        <w:rPr>
          <w:rFonts w:hint="eastAsia" w:ascii="宋体" w:hAnsi="宋体" w:eastAsia="宋体" w:cs="宋体"/>
          <w:sz w:val="28"/>
          <w:szCs w:val="28"/>
        </w:rPr>
        <w:t>万元，</w:t>
      </w:r>
      <w:r>
        <w:rPr>
          <w:rFonts w:hint="eastAsia" w:ascii="宋体" w:hAnsi="宋体" w:eastAsia="宋体" w:cs="宋体"/>
          <w:sz w:val="28"/>
          <w:szCs w:val="28"/>
          <w:lang w:val="en-US" w:eastAsia="zh-CN"/>
        </w:rPr>
        <w:t>增长7.69%</w:t>
      </w:r>
      <w:r>
        <w:rPr>
          <w:rFonts w:hint="eastAsia" w:ascii="宋体" w:hAnsi="宋体" w:eastAsia="宋体" w:cs="宋体"/>
          <w:sz w:val="28"/>
          <w:szCs w:val="28"/>
        </w:rPr>
        <w:t>，主要原因是</w:t>
      </w:r>
      <w:r>
        <w:rPr>
          <w:rFonts w:hint="eastAsia"/>
          <w:highlight w:val="none"/>
          <w:lang w:val="en-US" w:eastAsia="zh-CN"/>
        </w:rPr>
        <w:t>2024年度调整基本工资，公积金缴费基数，基础性绩效工资增量调增</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0.70</w:t>
      </w:r>
      <w:r>
        <w:rPr>
          <w:rFonts w:hint="eastAsia" w:ascii="宋体" w:hAnsi="宋体" w:eastAsia="宋体" w:cs="宋体"/>
          <w:sz w:val="28"/>
          <w:szCs w:val="28"/>
        </w:rPr>
        <w:t>万元，占支出总预算的</w:t>
      </w:r>
      <w:r>
        <w:rPr>
          <w:rFonts w:ascii="宋体" w:hAnsi="宋体" w:eastAsia="宋体" w:cs="宋体"/>
          <w:sz w:val="28"/>
          <w:u w:color="auto"/>
        </w:rPr>
        <w:t>1.06%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0.97</w:t>
      </w:r>
      <w:r>
        <w:rPr>
          <w:rFonts w:hint="eastAsia" w:ascii="宋体" w:hAnsi="宋体" w:eastAsia="宋体" w:cs="宋体"/>
          <w:sz w:val="28"/>
          <w:szCs w:val="28"/>
        </w:rPr>
        <w:t>万元，</w:t>
      </w:r>
      <w:r>
        <w:rPr>
          <w:rFonts w:ascii="宋体" w:hAnsi="宋体" w:eastAsia="宋体" w:cs="宋体"/>
          <w:sz w:val="28"/>
          <w:u w:color="auto"/>
        </w:rPr>
        <w:t>减少0.27</w:t>
      </w:r>
      <w:r>
        <w:rPr>
          <w:rFonts w:hint="eastAsia" w:ascii="宋体" w:hAnsi="宋体" w:eastAsia="宋体" w:cs="宋体"/>
          <w:sz w:val="28"/>
          <w:szCs w:val="28"/>
        </w:rPr>
        <w:t>万元，</w:t>
      </w:r>
      <w:r>
        <w:rPr>
          <w:rFonts w:ascii="宋体" w:hAnsi="宋体" w:eastAsia="宋体" w:cs="宋体"/>
          <w:sz w:val="28"/>
          <w:u w:color="auto"/>
        </w:rPr>
        <w:t>减少27.84%</w:t>
      </w:r>
      <w:r>
        <w:rPr>
          <w:rFonts w:hint="eastAsia" w:ascii="宋体" w:hAnsi="宋体" w:eastAsia="宋体" w:cs="宋体"/>
          <w:sz w:val="28"/>
          <w:szCs w:val="28"/>
        </w:rPr>
        <w:t>，主要原因是：</w:t>
      </w:r>
      <w:r>
        <w:rPr>
          <w:rFonts w:hint="eastAsia"/>
          <w:highlight w:val="none"/>
        </w:rPr>
        <w:t>2024年度我部门工会经费预算支出减半</w:t>
      </w:r>
      <w:r>
        <w:rPr>
          <w:rFonts w:hint="eastAsia" w:ascii="宋体" w:hAnsi="宋体" w:eastAsia="宋体" w:cs="宋体"/>
          <w:sz w:val="28"/>
          <w:szCs w:val="28"/>
        </w:rPr>
        <w:t>。</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6.37</w:t>
      </w:r>
      <w:r>
        <w:rPr>
          <w:rFonts w:hint="eastAsia" w:ascii="宋体" w:hAnsi="宋体" w:eastAsia="宋体" w:cs="宋体"/>
          <w:sz w:val="28"/>
          <w:szCs w:val="28"/>
        </w:rPr>
        <w:t>万元，占支出总预算的</w:t>
      </w:r>
      <w:r>
        <w:rPr>
          <w:rFonts w:ascii="宋体" w:hAnsi="宋体" w:eastAsia="宋体" w:cs="宋体"/>
          <w:sz w:val="28"/>
          <w:u w:color="auto"/>
        </w:rPr>
        <w:t>9.61%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5.83</w:t>
      </w:r>
      <w:r>
        <w:rPr>
          <w:rFonts w:hint="eastAsia" w:ascii="宋体" w:hAnsi="宋体" w:eastAsia="宋体" w:cs="宋体"/>
          <w:sz w:val="28"/>
          <w:szCs w:val="28"/>
        </w:rPr>
        <w:t>万元，</w:t>
      </w:r>
      <w:r>
        <w:rPr>
          <w:rFonts w:ascii="宋体" w:hAnsi="宋体" w:eastAsia="宋体" w:cs="宋体"/>
          <w:sz w:val="28"/>
          <w:u w:color="auto"/>
        </w:rPr>
        <w:t>增长0.54</w:t>
      </w:r>
      <w:r>
        <w:rPr>
          <w:rFonts w:hint="eastAsia" w:ascii="宋体" w:hAnsi="宋体" w:eastAsia="宋体" w:cs="宋体"/>
          <w:sz w:val="28"/>
          <w:szCs w:val="28"/>
        </w:rPr>
        <w:t>万元，</w:t>
      </w:r>
      <w:r>
        <w:rPr>
          <w:rFonts w:ascii="宋体" w:hAnsi="宋体" w:eastAsia="宋体" w:cs="宋体"/>
          <w:sz w:val="28"/>
          <w:u w:color="auto"/>
        </w:rPr>
        <w:t>增长9.26%</w:t>
      </w:r>
      <w:r>
        <w:rPr>
          <w:rFonts w:hint="eastAsia" w:ascii="宋体" w:hAnsi="宋体" w:eastAsia="宋体" w:cs="宋体"/>
          <w:sz w:val="28"/>
          <w:szCs w:val="28"/>
        </w:rPr>
        <w:t>，主要原因是：</w:t>
      </w:r>
      <w:r>
        <w:rPr>
          <w:rFonts w:hint="eastAsia"/>
          <w:highlight w:val="none"/>
        </w:rPr>
        <w:t>2024年我部门调整公积金基数</w:t>
      </w:r>
      <w:r>
        <w:rPr>
          <w:rFonts w:hint="eastAsia" w:ascii="宋体" w:hAnsi="宋体" w:eastAsia="宋体" w:cs="宋体"/>
          <w:sz w:val="28"/>
          <w:szCs w:val="28"/>
        </w:rPr>
        <w:t>。</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51.61</w:t>
      </w:r>
      <w:r>
        <w:rPr>
          <w:rFonts w:hint="eastAsia" w:ascii="宋体" w:hAnsi="宋体" w:eastAsia="宋体" w:cs="宋体"/>
          <w:sz w:val="28"/>
          <w:szCs w:val="28"/>
        </w:rPr>
        <w:t>万元，占支出总预算的</w:t>
      </w:r>
      <w:r>
        <w:rPr>
          <w:rFonts w:ascii="宋体" w:hAnsi="宋体" w:eastAsia="宋体" w:cs="宋体"/>
          <w:sz w:val="28"/>
          <w:u w:color="auto"/>
        </w:rPr>
        <w:t>77.88%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46.97</w:t>
      </w:r>
      <w:r>
        <w:rPr>
          <w:rFonts w:hint="eastAsia" w:ascii="宋体" w:hAnsi="宋体" w:eastAsia="宋体" w:cs="宋体"/>
          <w:sz w:val="28"/>
          <w:szCs w:val="28"/>
        </w:rPr>
        <w:t>万元，</w:t>
      </w:r>
      <w:r>
        <w:rPr>
          <w:rFonts w:ascii="宋体" w:hAnsi="宋体" w:eastAsia="宋体" w:cs="宋体"/>
          <w:sz w:val="28"/>
          <w:u w:color="auto"/>
        </w:rPr>
        <w:t>增长4.64</w:t>
      </w:r>
      <w:r>
        <w:rPr>
          <w:rFonts w:hint="eastAsia" w:ascii="宋体" w:hAnsi="宋体" w:eastAsia="宋体" w:cs="宋体"/>
          <w:sz w:val="28"/>
          <w:szCs w:val="28"/>
        </w:rPr>
        <w:t>万元，</w:t>
      </w:r>
      <w:r>
        <w:rPr>
          <w:rFonts w:ascii="宋体" w:hAnsi="宋体" w:eastAsia="宋体" w:cs="宋体"/>
          <w:sz w:val="28"/>
          <w:u w:color="auto"/>
        </w:rPr>
        <w:t>增长9.88%</w:t>
      </w:r>
      <w:r>
        <w:rPr>
          <w:rFonts w:hint="eastAsia" w:ascii="宋体" w:hAnsi="宋体" w:eastAsia="宋体" w:cs="宋体"/>
          <w:sz w:val="28"/>
          <w:szCs w:val="28"/>
        </w:rPr>
        <w:t>，主要原因是：</w:t>
      </w:r>
      <w:r>
        <w:rPr>
          <w:rFonts w:hint="eastAsia"/>
          <w:highlight w:val="none"/>
        </w:rPr>
        <w:t>调整人员工资和基础性绩效工资增量</w:t>
      </w:r>
      <w:r>
        <w:rPr>
          <w:rFonts w:hint="eastAsia" w:ascii="宋体" w:hAnsi="宋体" w:eastAsia="宋体" w:cs="宋体"/>
          <w:sz w:val="28"/>
          <w:szCs w:val="28"/>
        </w:rPr>
        <w:t>。</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7.58</w:t>
      </w:r>
      <w:r>
        <w:rPr>
          <w:rFonts w:hint="eastAsia" w:ascii="宋体" w:hAnsi="宋体" w:eastAsia="宋体" w:cs="宋体"/>
          <w:sz w:val="28"/>
          <w:szCs w:val="28"/>
        </w:rPr>
        <w:t>万元，占支出总预算的</w:t>
      </w:r>
      <w:r>
        <w:rPr>
          <w:rFonts w:ascii="宋体" w:hAnsi="宋体" w:eastAsia="宋体" w:cs="宋体"/>
          <w:sz w:val="28"/>
          <w:u w:color="auto"/>
        </w:rPr>
        <w:t>11.44%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7.77</w:t>
      </w:r>
      <w:r>
        <w:rPr>
          <w:rFonts w:hint="eastAsia" w:ascii="宋体" w:hAnsi="宋体" w:eastAsia="宋体" w:cs="宋体"/>
          <w:sz w:val="28"/>
          <w:szCs w:val="28"/>
        </w:rPr>
        <w:t>万元，</w:t>
      </w:r>
      <w:r>
        <w:rPr>
          <w:rFonts w:ascii="宋体" w:hAnsi="宋体" w:eastAsia="宋体" w:cs="宋体"/>
          <w:sz w:val="28"/>
          <w:u w:color="auto"/>
        </w:rPr>
        <w:t>减少0.19</w:t>
      </w:r>
      <w:r>
        <w:rPr>
          <w:rFonts w:hint="eastAsia" w:ascii="宋体" w:hAnsi="宋体" w:eastAsia="宋体" w:cs="宋体"/>
          <w:sz w:val="28"/>
          <w:szCs w:val="28"/>
        </w:rPr>
        <w:t>万元，</w:t>
      </w:r>
      <w:r>
        <w:rPr>
          <w:rFonts w:ascii="宋体" w:hAnsi="宋体" w:eastAsia="宋体" w:cs="宋体"/>
          <w:sz w:val="28"/>
          <w:u w:color="auto"/>
        </w:rPr>
        <w:t>减少2.45%</w:t>
      </w:r>
      <w:r>
        <w:rPr>
          <w:rFonts w:hint="eastAsia" w:ascii="宋体" w:hAnsi="宋体" w:eastAsia="宋体" w:cs="宋体"/>
          <w:sz w:val="28"/>
          <w:szCs w:val="28"/>
        </w:rPr>
        <w:t>，主要原因是：</w:t>
      </w:r>
      <w:r>
        <w:rPr>
          <w:rFonts w:hint="eastAsia"/>
          <w:highlight w:val="none"/>
        </w:rPr>
        <w:t>2024年调整养老保险缴存基数</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9"/>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27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66.27</w:t>
      </w:r>
      <w:r>
        <w:rPr>
          <w:rFonts w:hint="eastAsia"/>
        </w:rPr>
        <w:t>万元，较2023年度预算数</w:t>
      </w:r>
      <w:r>
        <w:rPr>
          <w:rFonts w:hint="eastAsia"/>
          <w:lang w:val="en-US" w:eastAsia="zh-CN"/>
        </w:rPr>
        <w:t>61.54</w:t>
      </w:r>
      <w:r>
        <w:rPr>
          <w:rFonts w:hint="eastAsia"/>
        </w:rPr>
        <w:t>万元</w:t>
      </w:r>
      <w:r>
        <w:rPr>
          <w:rFonts w:hint="eastAsia"/>
          <w:lang w:val="en-US" w:eastAsia="zh-CN"/>
        </w:rPr>
        <w:t>,</w:t>
      </w:r>
      <w:r>
        <w:rPr>
          <w:u w:color="auto"/>
        </w:rPr>
        <w:t>增加4.73</w:t>
      </w:r>
      <w:r>
        <w:rPr>
          <w:rFonts w:hint="eastAsia"/>
        </w:rPr>
        <w:t>万元，</w:t>
      </w:r>
      <w:r>
        <w:rPr>
          <w:rFonts w:hint="eastAsia"/>
          <w:lang w:val="en-US" w:eastAsia="zh-CN"/>
        </w:rPr>
        <w:t>增长7.69%</w:t>
      </w:r>
      <w:r>
        <w:rPr>
          <w:rFonts w:hint="eastAsia"/>
        </w:rPr>
        <w:t>，主要原因是</w:t>
      </w:r>
      <w:r>
        <w:rPr>
          <w:rFonts w:hint="eastAsia"/>
          <w:highlight w:val="none"/>
          <w:lang w:val="en-US" w:eastAsia="zh-CN"/>
        </w:rPr>
        <w:t>2024年度调整基本工资，公积金缴费基数，基础性绩效工资增量调增</w:t>
      </w:r>
      <w:r>
        <w:rPr>
          <w:rFonts w:hint="eastAsia"/>
        </w:rPr>
        <w:t>。具体情况为：</w:t>
      </w:r>
    </w:p>
    <w:p>
      <w:pPr>
        <w:pStyle w:val="6"/>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64.61</w:t>
      </w:r>
      <w:r>
        <w:t>万元</w:t>
      </w:r>
      <w:r>
        <w:rPr>
          <w:rFonts w:hint="eastAsia"/>
          <w:lang w:eastAsia="zh-CN"/>
        </w:rPr>
        <w:t>，</w:t>
      </w:r>
      <w:r>
        <w:rPr>
          <w:rFonts w:hint="eastAsia"/>
        </w:rPr>
        <w:t>占基本支出预算的</w:t>
      </w:r>
      <w:r>
        <w:rPr>
          <w:rFonts w:hint="eastAsia"/>
          <w:lang w:val="en-US" w:eastAsia="zh-CN"/>
        </w:rPr>
        <w:t>97.50%</w:t>
      </w:r>
      <w:r>
        <w:rPr>
          <w:rFonts w:hint="eastAsia"/>
        </w:rPr>
        <w:t>，较2023年度预算数</w:t>
      </w:r>
      <w:r>
        <w:rPr>
          <w:rFonts w:hint="eastAsia"/>
          <w:lang w:val="en-US" w:eastAsia="zh-CN"/>
        </w:rPr>
        <w:t>59.61</w:t>
      </w:r>
      <w:r>
        <w:rPr>
          <w:rFonts w:hint="eastAsia"/>
        </w:rPr>
        <w:t>万元，</w:t>
      </w:r>
      <w:r>
        <w:rPr>
          <w:rFonts w:hint="eastAsia"/>
          <w:lang w:val="en-US" w:eastAsia="zh-CN"/>
        </w:rPr>
        <w:t>增长5.00</w:t>
      </w:r>
      <w:r>
        <w:rPr>
          <w:rFonts w:hint="eastAsia"/>
        </w:rPr>
        <w:t>万元，</w:t>
      </w:r>
      <w:r>
        <w:rPr>
          <w:rFonts w:hint="eastAsia"/>
          <w:lang w:val="en-US" w:eastAsia="zh-CN"/>
        </w:rPr>
        <w:t>增长8.39%</w:t>
      </w:r>
      <w:r>
        <w:rPr>
          <w:rFonts w:hint="eastAsia"/>
        </w:rPr>
        <w:t>，主要原因是：</w:t>
      </w:r>
      <w:r>
        <w:rPr>
          <w:rFonts w:hint="eastAsia"/>
          <w:highlight w:val="none"/>
        </w:rPr>
        <w:t>2024年度调整基本工资，公积金缴费基数，基础性绩效工资增量调增</w:t>
      </w:r>
      <w:r>
        <w:rPr>
          <w:rFonts w:hint="eastAsia"/>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1.66</w:t>
      </w:r>
      <w:r>
        <w:t>万元</w:t>
      </w:r>
      <w:r>
        <w:rPr>
          <w:rFonts w:hint="eastAsia"/>
          <w:lang w:eastAsia="zh-CN"/>
        </w:rPr>
        <w:t>，</w:t>
      </w:r>
      <w:r>
        <w:rPr>
          <w:rFonts w:hint="eastAsia"/>
        </w:rPr>
        <w:t>占基本支出预算的</w:t>
      </w:r>
      <w:r>
        <w:rPr>
          <w:rFonts w:hint="eastAsia"/>
          <w:lang w:val="en-US" w:eastAsia="zh-CN"/>
        </w:rPr>
        <w:t>2.50%</w:t>
      </w:r>
      <w:r>
        <w:rPr>
          <w:rFonts w:hint="eastAsia"/>
        </w:rPr>
        <w:t>，较2023年度预算数</w:t>
      </w:r>
      <w:r>
        <w:rPr>
          <w:rFonts w:hint="eastAsia"/>
          <w:lang w:val="en-US" w:eastAsia="zh-CN"/>
        </w:rPr>
        <w:t>1.93</w:t>
      </w:r>
      <w:r>
        <w:rPr>
          <w:rFonts w:hint="eastAsia"/>
        </w:rPr>
        <w:t>万元，</w:t>
      </w:r>
      <w:r>
        <w:rPr>
          <w:rFonts w:hint="eastAsia"/>
          <w:lang w:val="en-US" w:eastAsia="zh-CN"/>
        </w:rPr>
        <w:t>减少0.27</w:t>
      </w:r>
      <w:r>
        <w:rPr>
          <w:rFonts w:hint="eastAsia"/>
        </w:rPr>
        <w:t>万元，</w:t>
      </w:r>
      <w:r>
        <w:rPr>
          <w:rFonts w:hint="eastAsia"/>
          <w:lang w:val="en-US" w:eastAsia="zh-CN"/>
        </w:rPr>
        <w:t>减少13.99%</w:t>
      </w:r>
      <w:r>
        <w:rPr>
          <w:rFonts w:hint="eastAsia"/>
        </w:rPr>
        <w:t>，主要原因是：</w:t>
      </w:r>
      <w:r>
        <w:rPr>
          <w:rFonts w:hint="eastAsia"/>
          <w:highlight w:val="none"/>
        </w:rPr>
        <w:t>2024年我部门工会经费预算减半</w:t>
      </w:r>
      <w:r>
        <w:rPr>
          <w:rFonts w:hint="eastAsia"/>
          <w:highlight w:val="none"/>
          <w:lang w:val="en-US" w:eastAsia="zh-CN"/>
        </w:rPr>
        <w:t>。</w:t>
      </w:r>
    </w:p>
    <w:p>
      <w:pPr>
        <w:pStyle w:val="9"/>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9"/>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20955" b="14605"/>
            <wp:docPr id="427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9"/>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9"/>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9"/>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万元，增长0%，主要原因是</w:t>
      </w:r>
      <w:r>
        <w:rPr>
          <w:rFonts w:hint="eastAsia"/>
          <w:sz w:val="28"/>
          <w:szCs w:val="28"/>
          <w:highlight w:val="none"/>
          <w:lang w:val="en-US" w:eastAsia="zh-CN"/>
        </w:rPr>
        <w:t>2024年我部门无因公出国（境）业务</w:t>
      </w:r>
      <w:r>
        <w:rPr>
          <w:rFonts w:hint="eastAsia"/>
          <w:b w:val="0"/>
          <w:bCs w:val="0"/>
          <w:sz w:val="28"/>
          <w:szCs w:val="28"/>
        </w:rPr>
        <w:t>。</w:t>
      </w:r>
    </w:p>
    <w:p>
      <w:pPr>
        <w:pStyle w:val="9"/>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2024年我部门无公务接待业务</w:t>
      </w:r>
      <w:r>
        <w:rPr>
          <w:rFonts w:hint="eastAsia"/>
          <w:b w:val="0"/>
          <w:bCs w:val="0"/>
          <w:sz w:val="28"/>
          <w:szCs w:val="28"/>
        </w:rPr>
        <w:t>。</w:t>
      </w:r>
    </w:p>
    <w:p>
      <w:pPr>
        <w:pStyle w:val="9"/>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9"/>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2024年我部门无公务用车购置</w:t>
      </w:r>
      <w:r>
        <w:rPr>
          <w:rFonts w:hint="eastAsia"/>
          <w:b w:val="0"/>
          <w:bCs w:val="0"/>
          <w:sz w:val="28"/>
          <w:szCs w:val="28"/>
        </w:rPr>
        <w:t>。</w:t>
      </w:r>
    </w:p>
    <w:p>
      <w:pPr>
        <w:pStyle w:val="9"/>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2024年我部门无公务用车运行维护费</w:t>
      </w:r>
      <w:r>
        <w:rPr>
          <w:rFonts w:hint="eastAsia"/>
          <w:b w:val="0"/>
          <w:bCs w:val="0"/>
          <w:sz w:val="28"/>
          <w:szCs w:val="28"/>
        </w:rPr>
        <w:t>。</w:t>
      </w:r>
    </w:p>
    <w:p>
      <w:pPr>
        <w:pStyle w:val="9"/>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2024年我部门无政府性基金预算</w:t>
      </w:r>
      <w:r>
        <w:rPr>
          <w:rFonts w:hint="eastAsia"/>
          <w:sz w:val="28"/>
          <w:szCs w:val="28"/>
        </w:rPr>
        <w:t>。</w:t>
      </w:r>
    </w:p>
    <w:p>
      <w:pPr>
        <w:pStyle w:val="9"/>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2024年我部门无国有资本经营预算</w:t>
      </w:r>
      <w:r>
        <w:rPr>
          <w:rFonts w:hint="eastAsia"/>
          <w:sz w:val="28"/>
          <w:szCs w:val="28"/>
        </w:rPr>
        <w:t>。</w:t>
      </w:r>
    </w:p>
    <w:p>
      <w:pPr>
        <w:pStyle w:val="9"/>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1.66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1.93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减少0.27</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下降13.99%</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2024年我部门工会经费预算减半</w:t>
      </w:r>
      <w:r>
        <w:rPr>
          <w:rFonts w:hint="eastAsia" w:ascii="宋体" w:hAnsi="宋体" w:eastAsia="宋体" w:cs="宋体"/>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主要用于：2024年我部门无政府采购预算</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6"/>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2024年我部门无重点项目预算</w:t>
      </w:r>
    </w:p>
    <w:p>
      <w:pPr>
        <w:pStyle w:val="6"/>
        <w:spacing w:line="624" w:lineRule="exact"/>
        <w:ind w:firstLine="600"/>
        <w:jc w:val="left"/>
        <w:rPr>
          <w:rFonts w:hint="eastAsia"/>
          <w:sz w:val="28"/>
          <w:szCs w:val="28"/>
          <w:highlight w:val="none"/>
          <w:lang w:val="en-US" w:eastAsia="zh-CN"/>
        </w:rPr>
      </w:pPr>
    </w:p>
    <w:p>
      <w:pPr>
        <w:pStyle w:val="6"/>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8"/>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环江毛南族自治县水源镇扶贫站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1"/>
        <w:keepNext/>
        <w:keepLines/>
        <w:spacing w:after="240"/>
        <w:jc w:val="center"/>
      </w:pPr>
      <w:bookmarkStart w:id="16" w:name="bookmark30"/>
      <w:bookmarkStart w:id="17" w:name="bookmark29"/>
      <w:bookmarkStart w:id="18" w:name="bookmark31"/>
      <w:r>
        <w:t>收支总体情况表</w:t>
      </w:r>
      <w:bookmarkEnd w:id="16"/>
      <w:bookmarkEnd w:id="17"/>
      <w:bookmarkEnd w:id="18"/>
    </w:p>
    <w:tbl>
      <w:tblPr>
        <w:tblStyle w:val="3"/>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环江毛南族自治县水源镇扶贫站</w:t>
            </w:r>
          </w:p>
        </w:tc>
        <w:tc>
          <w:tcPr>
            <w:tcW w:w="3571" w:type="dxa"/>
            <w:tcBorders>
              <w:bottom w:val="single" w:color="auto" w:sz="4" w:space="0"/>
            </w:tcBorders>
            <w:shd w:val="clear" w:color="auto" w:fill="FFFFFF"/>
          </w:tcPr>
          <w:p>
            <w:pPr>
              <w:pStyle w:val="12"/>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66.27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0.70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66.27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7.58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51.61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6.37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66.27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66.27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66.27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66.27</w:t>
            </w:r>
          </w:p>
        </w:tc>
      </w:tr>
    </w:tbl>
    <w:p>
      <w:pPr>
        <w:pStyle w:val="13"/>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3"/>
              <w:jc w:val="both"/>
              <w:rPr>
                <w:rFonts w:hint="eastAsia"/>
                <w:lang w:val="en-US" w:eastAsia="zh-CN"/>
              </w:rPr>
            </w:pPr>
            <w:r>
              <w:rPr>
                <w:sz w:val="17"/>
                <w:szCs w:val="17"/>
              </w:rPr>
              <w:t>单位名称：</w:t>
            </w:r>
            <w:r>
              <w:rPr>
                <w:rFonts w:hint="eastAsia"/>
                <w:sz w:val="17"/>
                <w:szCs w:val="17"/>
                <w:lang w:eastAsia="zh-CN"/>
              </w:rPr>
              <w:t>环江毛南族自治县水源镇扶贫站</w:t>
            </w:r>
            <w:r>
              <w:rPr>
                <w:rFonts w:hint="eastAsia"/>
                <w:lang w:val="en-US" w:eastAsia="zh-CN"/>
              </w:rPr>
              <w:t xml:space="preserve">                                                                                  </w:t>
            </w:r>
          </w:p>
        </w:tc>
        <w:tc>
          <w:tcPr>
            <w:tcW w:w="2076" w:type="dxa"/>
            <w:gridSpan w:val="3"/>
            <w:tcBorders>
              <w:top w:val="nil"/>
              <w:left w:val="nil"/>
              <w:right w:val="nil"/>
            </w:tcBorders>
          </w:tcPr>
          <w:p>
            <w:pPr>
              <w:pStyle w:val="13"/>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2"/>
              <w:spacing w:line="240" w:lineRule="auto"/>
              <w:ind w:firstLine="300" w:firstLineChars="0"/>
              <w:jc w:val="left"/>
              <w:rPr>
                <w:rFonts w:hint="eastAsia" w:eastAsia="宋体"/>
                <w:vertAlign w:val="baseline"/>
                <w:lang w:val="en-US" w:eastAsia="zh-CN"/>
              </w:rPr>
            </w:pP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2"/>
              <w:spacing w:line="312" w:lineRule="exact"/>
              <w:ind w:firstLine="0"/>
              <w:jc w:val="left"/>
              <w:rPr>
                <w:sz w:val="17"/>
                <w:szCs w:val="17"/>
              </w:rPr>
            </w:pPr>
            <w:r>
              <w:rPr>
                <w:sz w:val="17"/>
                <w:szCs w:val="17"/>
              </w:rPr>
              <w:t>财政专户管理资金</w:t>
            </w:r>
          </w:p>
          <w:p>
            <w:pPr>
              <w:pStyle w:val="12"/>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2"/>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2"/>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2"/>
              <w:spacing w:line="312" w:lineRule="exact"/>
              <w:ind w:firstLine="0"/>
              <w:jc w:val="left"/>
              <w:rPr>
                <w:sz w:val="17"/>
                <w:szCs w:val="17"/>
              </w:rPr>
            </w:pPr>
            <w:r>
              <w:rPr>
                <w:sz w:val="17"/>
                <w:szCs w:val="17"/>
              </w:rPr>
              <w:t>财政专户管理资金</w:t>
            </w:r>
          </w:p>
          <w:p>
            <w:pPr>
              <w:pStyle w:val="12"/>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2"/>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2"/>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2"/>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2"/>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2"/>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66.27</w:t>
            </w: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66.27</w:t>
            </w:r>
          </w:p>
        </w:tc>
        <w:tc>
          <w:tcPr>
            <w:tcW w:w="909" w:type="dxa"/>
            <w:vAlign w:val="center"/>
          </w:tcPr>
          <w:p>
            <w:pPr>
              <w:pStyle w:val="12"/>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66.27</w:t>
            </w:r>
          </w:p>
        </w:tc>
        <w:tc>
          <w:tcPr>
            <w:tcW w:w="1161" w:type="dxa"/>
            <w:vAlign w:val="center"/>
          </w:tcPr>
          <w:p>
            <w:pPr>
              <w:pStyle w:val="12"/>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2"/>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2"/>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2"/>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2"/>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703006</w:t>
            </w:r>
          </w:p>
        </w:tc>
        <w:tc>
          <w:tcPr>
            <w:tcW w:w="1279" w:type="dxa"/>
          </w:tcPr>
          <w:p>
            <w:pPr>
              <w:pStyle w:val="12"/>
              <w:spacing w:line="326" w:lineRule="exact"/>
              <w:ind w:firstLine="0" w:firstLineChars="0"/>
              <w:jc w:val="left"/>
              <w:rPr>
                <w:rFonts w:hint="eastAsia" w:eastAsia="宋体"/>
                <w:vertAlign w:val="baseline"/>
                <w:lang w:val="en-US" w:eastAsia="zh-CN"/>
              </w:rPr>
            </w:pPr>
          </w:p>
        </w:tc>
        <w:tc>
          <w:tcPr>
            <w:tcW w:w="990"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66.27</w:t>
            </w: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66.27</w:t>
            </w:r>
          </w:p>
        </w:tc>
        <w:tc>
          <w:tcPr>
            <w:tcW w:w="909" w:type="dxa"/>
            <w:vAlign w:val="center"/>
          </w:tcPr>
          <w:p>
            <w:pPr>
              <w:pStyle w:val="12"/>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66.27</w:t>
            </w:r>
          </w:p>
        </w:tc>
        <w:tc>
          <w:tcPr>
            <w:tcW w:w="1161" w:type="dxa"/>
            <w:vAlign w:val="center"/>
          </w:tcPr>
          <w:p>
            <w:pPr>
              <w:pStyle w:val="12"/>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2"/>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2"/>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2"/>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2"/>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3"/>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11"/>
        <w:keepNext/>
        <w:keepLines/>
        <w:spacing w:after="240"/>
        <w:jc w:val="center"/>
      </w:pPr>
      <w:bookmarkStart w:id="19" w:name="bookmark43"/>
      <w:bookmarkStart w:id="20" w:name="bookmark41"/>
      <w:bookmarkStart w:id="21" w:name="bookmark42"/>
      <w:r>
        <w:t>支出总体情况表</w:t>
      </w:r>
      <w:bookmarkEnd w:id="19"/>
      <w:bookmarkEnd w:id="20"/>
      <w:bookmarkEnd w:id="21"/>
    </w:p>
    <w:tbl>
      <w:tblPr>
        <w:tblStyle w:val="3"/>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环江毛南族自治县水源镇扶贫站</w:t>
            </w:r>
          </w:p>
        </w:tc>
        <w:tc>
          <w:tcPr>
            <w:tcW w:w="2371" w:type="dxa"/>
            <w:shd w:val="clear" w:color="auto" w:fill="FFFFFF"/>
          </w:tcPr>
          <w:p>
            <w:pPr>
              <w:pStyle w:val="12"/>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2"/>
              <w:spacing w:after="120" w:line="240" w:lineRule="auto"/>
              <w:ind w:firstLine="0"/>
              <w:jc w:val="left"/>
              <w:rPr>
                <w:sz w:val="17"/>
                <w:szCs w:val="17"/>
              </w:rPr>
            </w:pPr>
            <w:r>
              <w:rPr>
                <w:sz w:val="17"/>
                <w:szCs w:val="17"/>
              </w:rPr>
              <w:t>部门（单位）名称</w:t>
            </w:r>
          </w:p>
          <w:p>
            <w:pPr>
              <w:pStyle w:val="12"/>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66.27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66.27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703006</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66.27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66.27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7.58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7.58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51.61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51.61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6.37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6.37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3"/>
        <w:ind w:left="672"/>
        <w:jc w:val="left"/>
      </w:pPr>
      <w:r>
        <w:t>注：本报表金额单位转换时可能存在四舍五入尾数误差。</w:t>
      </w:r>
      <w:r>
        <w:br w:type="page"/>
      </w:r>
    </w:p>
    <w:p>
      <w:pPr>
        <w:pStyle w:val="11"/>
        <w:keepNext/>
        <w:keepLines/>
        <w:spacing w:after="240"/>
        <w:jc w:val="center"/>
      </w:pPr>
      <w:bookmarkStart w:id="22" w:name="bookmark45"/>
      <w:bookmarkStart w:id="23" w:name="bookmark46"/>
      <w:bookmarkStart w:id="24" w:name="bookmark44"/>
      <w:r>
        <w:t>财政拨款收支总体情况表</w:t>
      </w:r>
      <w:bookmarkEnd w:id="22"/>
      <w:bookmarkEnd w:id="23"/>
      <w:bookmarkEnd w:id="24"/>
    </w:p>
    <w:tbl>
      <w:tblPr>
        <w:tblStyle w:val="3"/>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2"/>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环江毛南族自治县水源镇扶贫站</w:t>
            </w:r>
            <w:r>
              <w:rPr>
                <w:rFonts w:hint="eastAsia"/>
                <w:sz w:val="17"/>
                <w:szCs w:val="17"/>
                <w:lang w:val="en-US" w:eastAsia="zh-CN"/>
              </w:rPr>
              <w:t xml:space="preserve">                         </w:t>
            </w:r>
          </w:p>
        </w:tc>
        <w:tc>
          <w:tcPr>
            <w:tcW w:w="3845" w:type="dxa"/>
            <w:shd w:val="clear" w:color="auto" w:fill="FFFFFF"/>
          </w:tcPr>
          <w:p>
            <w:pPr>
              <w:pStyle w:val="12"/>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2"/>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2"/>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2"/>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2"/>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2"/>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66.27</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0.70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66.27</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7.58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51.61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6.37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66.27</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66.27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66.27</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66.27</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环江毛南族自治县水源镇扶贫站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2"/>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2"/>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2"/>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2"/>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2"/>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2"/>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p>
        </w:tc>
        <w:tc>
          <w:tcPr>
            <w:tcW w:w="1676"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703006</w:t>
            </w:r>
          </w:p>
        </w:tc>
        <w:tc>
          <w:tcPr>
            <w:tcW w:w="1662" w:type="dxa"/>
            <w:vAlign w:val="center"/>
          </w:tcPr>
          <w:p>
            <w:pPr>
              <w:pStyle w:val="12"/>
              <w:spacing w:line="240" w:lineRule="auto"/>
              <w:ind w:firstLine="0" w:firstLineChars="0"/>
              <w:jc w:val="center"/>
              <w:rPr>
                <w:rFonts w:hint="eastAsia"/>
                <w:vertAlign w:val="baseline"/>
                <w:lang w:eastAsia="zh-CN"/>
              </w:rPr>
            </w:pP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66.27</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66.27</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64.61</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1.66</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0.70</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0.70</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7.58</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7.58</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7.58</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2130104</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51.61</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51.61</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50.65</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0.96</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6.37</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6.37</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6.37</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环江毛南族自治县水源镇扶贫站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2"/>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2"/>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2"/>
              <w:spacing w:line="240" w:lineRule="auto"/>
              <w:ind w:firstLine="0" w:firstLineChars="0"/>
              <w:jc w:val="center"/>
              <w:rPr>
                <w:vertAlign w:val="baseline"/>
                <w:lang w:eastAsia="zh-CN"/>
              </w:rPr>
            </w:pPr>
            <w:r>
              <w:rPr>
                <w:sz w:val="17"/>
                <w:szCs w:val="17"/>
              </w:rPr>
              <w:t>合计</w:t>
            </w:r>
          </w:p>
        </w:tc>
        <w:tc>
          <w:tcPr>
            <w:tcW w:w="3112" w:type="dxa"/>
            <w:vAlign w:val="center"/>
          </w:tcPr>
          <w:p>
            <w:pPr>
              <w:pStyle w:val="12"/>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2"/>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66.27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64.61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64.61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64.61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23.23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23.23</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9.93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9.93</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10.11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10.11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7.58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7.58</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0.33</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6.37</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3"/>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环江毛南族自治县水源镇扶贫站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3"/>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3"/>
              <w:bidi w:val="0"/>
              <w:jc w:val="center"/>
              <w:rPr>
                <w:rFonts w:hint="eastAsia"/>
                <w:vertAlign w:val="baseline"/>
                <w:lang w:val="en-US" w:eastAsia="zh-CN"/>
              </w:rPr>
            </w:pPr>
            <w:r>
              <w:rPr>
                <w:sz w:val="17"/>
                <w:szCs w:val="17"/>
              </w:rPr>
              <w:t>门（单位）代码</w:t>
            </w:r>
          </w:p>
        </w:tc>
        <w:tc>
          <w:tcPr>
            <w:tcW w:w="1918" w:type="dxa"/>
            <w:vMerge w:val="restart"/>
          </w:tcPr>
          <w:p>
            <w:pPr>
              <w:pStyle w:val="13"/>
              <w:bidi w:val="0"/>
              <w:jc w:val="center"/>
              <w:rPr>
                <w:rFonts w:hint="eastAsia"/>
                <w:vertAlign w:val="baseline"/>
                <w:lang w:val="en-US" w:eastAsia="zh-CN"/>
              </w:rPr>
            </w:pPr>
            <w:r>
              <w:rPr>
                <w:sz w:val="17"/>
                <w:szCs w:val="17"/>
              </w:rPr>
              <w:t>部门（单位）名称</w:t>
            </w:r>
          </w:p>
        </w:tc>
        <w:tc>
          <w:tcPr>
            <w:tcW w:w="11343" w:type="dxa"/>
            <w:gridSpan w:val="7"/>
          </w:tcPr>
          <w:p>
            <w:pPr>
              <w:pStyle w:val="13"/>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restart"/>
          </w:tcPr>
          <w:p>
            <w:pPr>
              <w:pStyle w:val="13"/>
              <w:bidi w:val="0"/>
              <w:jc w:val="center"/>
              <w:rPr>
                <w:rFonts w:hint="eastAsia"/>
                <w:vertAlign w:val="baseline"/>
                <w:lang w:val="en-US" w:eastAsia="zh-CN"/>
              </w:rPr>
            </w:pPr>
            <w:r>
              <w:rPr>
                <w:sz w:val="17"/>
                <w:szCs w:val="17"/>
              </w:rPr>
              <w:t>合计</w:t>
            </w:r>
          </w:p>
        </w:tc>
        <w:tc>
          <w:tcPr>
            <w:tcW w:w="1895" w:type="dxa"/>
            <w:vMerge w:val="restart"/>
          </w:tcPr>
          <w:p>
            <w:pPr>
              <w:pStyle w:val="13"/>
              <w:bidi w:val="0"/>
              <w:jc w:val="center"/>
              <w:rPr>
                <w:rFonts w:hint="eastAsia"/>
                <w:vertAlign w:val="baseline"/>
                <w:lang w:val="en-US" w:eastAsia="zh-CN"/>
              </w:rPr>
            </w:pPr>
            <w:r>
              <w:rPr>
                <w:sz w:val="17"/>
                <w:szCs w:val="17"/>
              </w:rPr>
              <w:t>因公出国（境）费</w:t>
            </w:r>
          </w:p>
        </w:tc>
        <w:tc>
          <w:tcPr>
            <w:tcW w:w="5675" w:type="dxa"/>
            <w:gridSpan w:val="4"/>
          </w:tcPr>
          <w:p>
            <w:pPr>
              <w:pStyle w:val="13"/>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3"/>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continue"/>
          </w:tcPr>
          <w:p>
            <w:pPr>
              <w:pStyle w:val="13"/>
              <w:bidi w:val="0"/>
              <w:jc w:val="center"/>
              <w:rPr>
                <w:rFonts w:hint="eastAsia"/>
                <w:vertAlign w:val="baseline"/>
                <w:lang w:val="en-US" w:eastAsia="zh-CN"/>
              </w:rPr>
            </w:pPr>
          </w:p>
        </w:tc>
        <w:tc>
          <w:tcPr>
            <w:tcW w:w="1895" w:type="dxa"/>
            <w:vMerge w:val="continue"/>
          </w:tcPr>
          <w:p>
            <w:pPr>
              <w:pStyle w:val="13"/>
              <w:bidi w:val="0"/>
              <w:jc w:val="center"/>
              <w:rPr>
                <w:rFonts w:hint="eastAsia"/>
                <w:vertAlign w:val="baseline"/>
                <w:lang w:val="en-US" w:eastAsia="zh-CN"/>
              </w:rPr>
            </w:pPr>
          </w:p>
        </w:tc>
        <w:tc>
          <w:tcPr>
            <w:tcW w:w="1888" w:type="dxa"/>
            <w:vAlign w:val="center"/>
          </w:tcPr>
          <w:p>
            <w:pPr>
              <w:pStyle w:val="12"/>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2"/>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2"/>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3"/>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2"/>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703006</w:t>
            </w:r>
          </w:p>
        </w:tc>
        <w:tc>
          <w:tcPr>
            <w:tcW w:w="1918" w:type="dxa"/>
            <w:vAlign w:val="center"/>
          </w:tcPr>
          <w:p>
            <w:pPr>
              <w:pStyle w:val="12"/>
              <w:spacing w:line="240" w:lineRule="auto"/>
              <w:ind w:firstLine="0" w:firstLineChars="0"/>
              <w:jc w:val="left"/>
              <w:rPr>
                <w:rFonts w:hint="eastAsia"/>
                <w:vertAlign w:val="baseline"/>
                <w:lang w:val="en-US" w:eastAsia="zh-CN"/>
              </w:rPr>
            </w:pPr>
          </w:p>
        </w:tc>
        <w:tc>
          <w:tcPr>
            <w:tcW w:w="1884"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3"/>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3"/>
        <w:bidi w:val="0"/>
        <w:rPr>
          <w:rFonts w:hint="eastAsia"/>
          <w:lang w:val="en-US" w:eastAsia="zh-CN"/>
        </w:rP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3"/>
        <w:bidi w:val="0"/>
      </w:pPr>
    </w:p>
    <w:p>
      <w:pPr>
        <w:pStyle w:val="11"/>
        <w:keepNext/>
        <w:keepLines/>
        <w:spacing w:after="240"/>
        <w:jc w:val="center"/>
      </w:pPr>
      <w:r>
        <w:t>政府性基金预算支出情况表</w:t>
      </w:r>
      <w:bookmarkEnd w:id="28"/>
      <w:bookmarkEnd w:id="29"/>
      <w:bookmarkEnd w:id="3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环江毛南族自治县水源镇扶贫站</w:t>
            </w:r>
            <w:r>
              <w:tab/>
            </w:r>
            <w:r>
              <w:t>单位：万元</w:t>
            </w:r>
          </w:p>
        </w:tc>
        <w:tc>
          <w:tcPr>
            <w:tcW w:w="2163" w:type="dxa"/>
            <w:tcBorders>
              <w:top w:val="nil"/>
              <w:left w:val="nil"/>
              <w:right w:val="nil"/>
            </w:tcBorders>
          </w:tcPr>
          <w:p>
            <w:pPr>
              <w:pStyle w:val="13"/>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3"/>
              <w:bidi w:val="0"/>
              <w:jc w:val="center"/>
              <w:rPr>
                <w:vertAlign w:val="baseline"/>
              </w:rPr>
            </w:pPr>
            <w:r>
              <w:rPr>
                <w:sz w:val="17"/>
                <w:szCs w:val="17"/>
              </w:rPr>
              <w:t>科目编码</w:t>
            </w:r>
          </w:p>
        </w:tc>
        <w:tc>
          <w:tcPr>
            <w:tcW w:w="2161" w:type="dxa"/>
          </w:tcPr>
          <w:p>
            <w:pPr>
              <w:pStyle w:val="13"/>
              <w:bidi w:val="0"/>
              <w:jc w:val="center"/>
              <w:rPr>
                <w:vertAlign w:val="baseline"/>
              </w:rPr>
            </w:pPr>
            <w:r>
              <w:rPr>
                <w:sz w:val="17"/>
                <w:szCs w:val="17"/>
              </w:rPr>
              <w:t>部门（单位）代码</w:t>
            </w:r>
          </w:p>
        </w:tc>
        <w:tc>
          <w:tcPr>
            <w:tcW w:w="2162" w:type="dxa"/>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2130104</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事业运行</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bidi w:val="0"/>
              <w:jc w:val="both"/>
              <w:rPr>
                <w:vertAlign w:val="baseline"/>
              </w:rPr>
            </w:pPr>
            <w:r>
              <w:t>注：本报表金额单位转换时可能存在四舍五入尾数误差</w:t>
            </w:r>
          </w:p>
        </w:tc>
      </w:tr>
    </w:tbl>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jc w:val="center"/>
        <w:rPr>
          <w:sz w:val="28"/>
          <w:szCs w:val="28"/>
        </w:rPr>
      </w:pPr>
      <w:r>
        <w:rPr>
          <w:sz w:val="28"/>
          <w:szCs w:val="28"/>
        </w:rPr>
        <w:t>国有资本经营预算支出情况表</w:t>
      </w:r>
    </w:p>
    <w:p>
      <w:pPr>
        <w:pStyle w:val="13"/>
        <w:bidi w:val="0"/>
        <w:jc w:val="center"/>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环江毛南族自治县水源镇扶贫站</w:t>
            </w:r>
            <w:r>
              <w:tab/>
            </w:r>
            <w:r>
              <w:t>单位：万元</w:t>
            </w:r>
          </w:p>
        </w:tc>
        <w:tc>
          <w:tcPr>
            <w:tcW w:w="2163" w:type="dxa"/>
            <w:tcBorders>
              <w:top w:val="nil"/>
              <w:left w:val="nil"/>
              <w:right w:val="nil"/>
            </w:tcBorders>
          </w:tcPr>
          <w:p>
            <w:pPr>
              <w:pStyle w:val="13"/>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3"/>
              <w:bidi w:val="0"/>
              <w:jc w:val="center"/>
              <w:rPr>
                <w:vertAlign w:val="baseline"/>
              </w:rPr>
            </w:pPr>
            <w:r>
              <w:rPr>
                <w:sz w:val="17"/>
                <w:szCs w:val="17"/>
              </w:rPr>
              <w:t>科目编码</w:t>
            </w:r>
          </w:p>
        </w:tc>
        <w:tc>
          <w:tcPr>
            <w:tcW w:w="2161" w:type="dxa"/>
            <w:vMerge w:val="restart"/>
          </w:tcPr>
          <w:p>
            <w:pPr>
              <w:pStyle w:val="13"/>
              <w:bidi w:val="0"/>
              <w:jc w:val="center"/>
              <w:rPr>
                <w:vertAlign w:val="baseline"/>
              </w:rPr>
            </w:pPr>
            <w:r>
              <w:rPr>
                <w:sz w:val="17"/>
                <w:szCs w:val="17"/>
              </w:rPr>
              <w:t>部门（单位）代码</w:t>
            </w:r>
          </w:p>
        </w:tc>
        <w:tc>
          <w:tcPr>
            <w:tcW w:w="2162" w:type="dxa"/>
            <w:vMerge w:val="restart"/>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3"/>
              <w:bidi w:val="0"/>
              <w:jc w:val="both"/>
              <w:rPr>
                <w:vertAlign w:val="baseline"/>
              </w:rPr>
            </w:pPr>
          </w:p>
        </w:tc>
        <w:tc>
          <w:tcPr>
            <w:tcW w:w="2161" w:type="dxa"/>
            <w:vMerge w:val="continue"/>
          </w:tcPr>
          <w:p>
            <w:pPr>
              <w:pStyle w:val="13"/>
              <w:bidi w:val="0"/>
              <w:jc w:val="both"/>
              <w:rPr>
                <w:vertAlign w:val="baseline"/>
              </w:rPr>
            </w:pPr>
          </w:p>
        </w:tc>
        <w:tc>
          <w:tcPr>
            <w:tcW w:w="2162" w:type="dxa"/>
            <w:vMerge w:val="continue"/>
          </w:tcPr>
          <w:p>
            <w:pPr>
              <w:pStyle w:val="13"/>
              <w:bidi w:val="0"/>
              <w:jc w:val="both"/>
              <w:rPr>
                <w:vertAlign w:val="baseline"/>
              </w:rPr>
            </w:pPr>
          </w:p>
        </w:tc>
        <w:tc>
          <w:tcPr>
            <w:tcW w:w="2222"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2"/>
              <w:spacing w:line="240" w:lineRule="auto"/>
              <w:ind w:firstLine="0" w:firstLineChars="0"/>
              <w:jc w:val="left"/>
              <w:rPr>
                <w:vertAlign w:val="baseline"/>
              </w:rPr>
            </w:pPr>
            <w:r>
              <w:rPr>
                <w:sz w:val="17"/>
                <w:szCs w:val="17"/>
              </w:rPr>
              <w:t>合计</w:t>
            </w:r>
          </w:p>
        </w:tc>
        <w:tc>
          <w:tcPr>
            <w:tcW w:w="2222" w:type="dxa"/>
            <w:vAlign w:val="center"/>
          </w:tcPr>
          <w:p>
            <w:pPr>
              <w:pStyle w:val="12"/>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3"/>
              <w:bidi w:val="0"/>
              <w:jc w:val="both"/>
              <w:rPr>
                <w:vertAlign w:val="baseline"/>
              </w:rPr>
            </w:pPr>
          </w:p>
        </w:tc>
      </w:tr>
    </w:tbl>
    <w:p>
      <w:pPr>
        <w:pStyle w:val="13"/>
        <w:bidi w:val="0"/>
      </w:pPr>
    </w:p>
    <w:p>
      <w:r>
        <w:br w:type="page"/>
      </w:r>
    </w:p>
    <w:p>
      <w:pPr>
        <w:pStyle w:val="11"/>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3"/>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2"/>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环江毛南族自治县水源镇扶贫站</w:t>
            </w:r>
            <w:r>
              <w:rPr>
                <w:rFonts w:hint="eastAsia" w:cs="宋体"/>
                <w:sz w:val="17"/>
                <w:szCs w:val="17"/>
                <w:lang w:val="en-US" w:eastAsia="zh-CN"/>
              </w:rPr>
              <w:t xml:space="preserve">            </w:t>
            </w:r>
          </w:p>
        </w:tc>
        <w:tc>
          <w:tcPr>
            <w:tcW w:w="6076" w:type="dxa"/>
            <w:shd w:val="clear" w:color="auto" w:fill="FFFFFF"/>
          </w:tcPr>
          <w:p>
            <w:pPr>
              <w:pStyle w:val="12"/>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8"/>
        <w:keepNext/>
        <w:keepLines/>
        <w:spacing w:before="200" w:after="0"/>
        <w:jc w:val="center"/>
        <w:rPr>
          <w:sz w:val="40"/>
          <w:szCs w:val="40"/>
        </w:rPr>
      </w:pPr>
      <w:bookmarkStart w:id="31" w:name="bookmark95"/>
      <w:bookmarkStart w:id="32" w:name="bookmark94"/>
      <w:bookmarkStart w:id="33" w:name="bookmark96"/>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6"/>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6"/>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6"/>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6"/>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6"/>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6"/>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6"/>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6"/>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6"/>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6"/>
        <w:spacing w:line="628" w:lineRule="exact"/>
        <w:ind w:firstLine="640"/>
        <w:jc w:val="left"/>
      </w:pPr>
      <w:r>
        <w:t>十、项目支出：指在基本支出之外为完成特定行政任务和事业发展目标所发生的支出。</w:t>
      </w:r>
    </w:p>
    <w:p>
      <w:pPr>
        <w:pStyle w:val="6"/>
        <w:spacing w:line="628" w:lineRule="exact"/>
        <w:ind w:firstLine="640"/>
        <w:jc w:val="left"/>
      </w:pPr>
      <w:r>
        <w:t>十一、经营支出：指事业单位在专业业务活动及其辅助活动之外开展非独立核算经营活动所发生的支出。</w:t>
      </w:r>
    </w:p>
    <w:p>
      <w:pPr>
        <w:pStyle w:val="6"/>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7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usL3X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281"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dcQj2QAAAAcBAAAPAAAAAAAAAAEAIAAAACIA&#10;AABkcnMvZG93bnJldi54bWxQSwECFAAUAAAACACHTuJACllj0wgCAAAMBAAADgAAAAAAAAABACAA&#10;AAAo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283"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y47dgAAAAHAQAADwAAAAAAAAABACAAAAAi&#10;AAAAZHJzL2Rvd25yZXYueG1sUEsBAhQAFAAAAAgAh07iQAjsU8EKAgAADAQAAA4AAAAAAAAAAQAg&#10;AAAAJw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84"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dKuyL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85"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ryh+v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8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VmG3e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28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Lakx0vpAQAA5QMAAA4AAAAAAAAAAQAgAAAAKgEAAGRycy9lMm9Eb2MueG1sUEsFBgAAAAAG&#10;AAYAWQEAAIUFA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28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GBPcEbpAQAA5QMAAA4AAAAAAAAAAQAgAAAAKgEAAGRycy9lMm9Eb2MueG1sUEsFBgAAAAAG&#10;AAYAWQEAAIUFA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5Zjk5MmJlZjZiYjVkMDI3MDZkMzk3ZmNiMWNiMWIifQ=="/>
  </w:docVars>
  <w:rsids>
    <w:rsidRoot w:val="00000000"/>
    <w:rsid w:val="4A81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1"/>
    <w:basedOn w:val="1"/>
    <w:autoRedefine/>
    <w:qFormat/>
    <w:uiPriority w:val="0"/>
    <w:pPr>
      <w:spacing w:line="468" w:lineRule="auto"/>
      <w:ind w:firstLine="400"/>
    </w:pPr>
    <w:rPr>
      <w:rFonts w:ascii="宋体" w:hAnsi="宋体" w:eastAsia="宋体" w:cs="宋体"/>
      <w:sz w:val="28"/>
      <w:szCs w:val="28"/>
      <w:lang w:val="zh-TW" w:eastAsia="zh-TW" w:bidi="zh-TW"/>
    </w:rPr>
  </w:style>
  <w:style w:type="paragraph" w:customStyle="1" w:styleId="7">
    <w:name w:val="Body text|5"/>
    <w:basedOn w:val="1"/>
    <w:autoRedefine/>
    <w:qFormat/>
    <w:uiPriority w:val="0"/>
    <w:pPr>
      <w:jc w:val="center"/>
    </w:pPr>
    <w:rPr>
      <w:rFonts w:ascii="宋体" w:hAnsi="宋体" w:eastAsia="宋体" w:cs="宋体"/>
      <w:sz w:val="54"/>
      <w:szCs w:val="54"/>
      <w:lang w:val="zh-TW" w:eastAsia="zh-TW" w:bidi="zh-TW"/>
    </w:rPr>
  </w:style>
  <w:style w:type="paragraph" w:customStyle="1" w:styleId="8">
    <w:name w:val="Heading #1|1"/>
    <w:basedOn w:val="1"/>
    <w:autoRedefine/>
    <w:qFormat/>
    <w:uiPriority w:val="0"/>
    <w:pPr>
      <w:spacing w:after="400"/>
      <w:jc w:val="center"/>
      <w:outlineLvl w:val="0"/>
    </w:pPr>
    <w:rPr>
      <w:rFonts w:ascii="宋体" w:hAnsi="宋体" w:eastAsia="宋体" w:cs="宋体"/>
      <w:sz w:val="44"/>
      <w:szCs w:val="44"/>
      <w:lang w:val="zh-TW" w:eastAsia="zh-TW" w:bidi="zh-TW"/>
    </w:rPr>
  </w:style>
  <w:style w:type="paragraph" w:customStyle="1" w:styleId="9">
    <w:name w:val="Body text|2"/>
    <w:basedOn w:val="1"/>
    <w:autoRedefine/>
    <w:qFormat/>
    <w:uiPriority w:val="0"/>
    <w:pPr>
      <w:spacing w:after="240"/>
      <w:ind w:firstLine="560"/>
    </w:pPr>
    <w:rPr>
      <w:rFonts w:ascii="宋体" w:hAnsi="宋体" w:eastAsia="宋体" w:cs="宋体"/>
      <w:sz w:val="32"/>
      <w:szCs w:val="32"/>
      <w:lang w:val="zh-TW" w:eastAsia="zh-TW" w:bidi="zh-TW"/>
    </w:rPr>
  </w:style>
  <w:style w:type="paragraph" w:customStyle="1" w:styleId="10">
    <w:name w:val="Body text|3"/>
    <w:basedOn w:val="1"/>
    <w:autoRedefine/>
    <w:qFormat/>
    <w:uiPriority w:val="0"/>
    <w:pPr>
      <w:spacing w:after="140" w:line="336" w:lineRule="auto"/>
      <w:ind w:firstLine="370"/>
    </w:pPr>
    <w:rPr>
      <w:sz w:val="30"/>
      <w:szCs w:val="30"/>
      <w:lang w:val="zh-TW" w:eastAsia="zh-TW" w:bidi="zh-TW"/>
    </w:rPr>
  </w:style>
  <w:style w:type="paragraph" w:customStyle="1" w:styleId="11">
    <w:name w:val="Heading #2|1"/>
    <w:basedOn w:val="1"/>
    <w:autoRedefine/>
    <w:qFormat/>
    <w:uiPriority w:val="0"/>
    <w:pPr>
      <w:spacing w:after="230"/>
      <w:jc w:val="center"/>
      <w:outlineLvl w:val="1"/>
    </w:pPr>
    <w:rPr>
      <w:rFonts w:ascii="宋体" w:hAnsi="宋体" w:eastAsia="宋体" w:cs="宋体"/>
      <w:sz w:val="26"/>
      <w:szCs w:val="26"/>
      <w:lang w:val="zh-TW" w:eastAsia="zh-TW" w:bidi="zh-TW"/>
    </w:rPr>
  </w:style>
  <w:style w:type="paragraph" w:customStyle="1" w:styleId="12">
    <w:name w:val="Other|1"/>
    <w:basedOn w:val="1"/>
    <w:autoRedefine/>
    <w:qFormat/>
    <w:uiPriority w:val="0"/>
    <w:pPr>
      <w:spacing w:line="468" w:lineRule="auto"/>
      <w:ind w:firstLine="400"/>
    </w:pPr>
    <w:rPr>
      <w:rFonts w:ascii="宋体" w:hAnsi="宋体" w:eastAsia="宋体" w:cs="宋体"/>
      <w:sz w:val="28"/>
      <w:szCs w:val="28"/>
      <w:lang w:val="zh-TW" w:eastAsia="zh-TW" w:bidi="zh-TW"/>
    </w:rPr>
  </w:style>
  <w:style w:type="paragraph" w:customStyle="1" w:styleId="13">
    <w:name w:val="Table caption|1"/>
    <w:basedOn w:val="1"/>
    <w:autoRedefine/>
    <w:qFormat/>
    <w:uiPriority w:val="0"/>
    <w:rPr>
      <w:rFonts w:ascii="宋体" w:hAnsi="宋体" w:eastAsia="宋体" w:cs="宋体"/>
      <w:sz w:val="17"/>
      <w:szCs w:val="17"/>
      <w:lang w:val="zh-TW" w:eastAsia="zh-TW" w:bidi="zh-TW"/>
    </w:rPr>
  </w:style>
  <w:style w:type="paragraph" w:customStyle="1" w:styleId="14">
    <w:name w:val="Header or footer|1"/>
    <w:basedOn w:val="1"/>
    <w:autoRedefine/>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66.27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0.7</c:v>
                </c:pt>
                <c:pt idx="1">
                  <c:v>7.58</c:v>
                </c:pt>
                <c:pt idx="2">
                  <c:v>51.61</c:v>
                </c:pt>
                <c:pt idx="3">
                  <c:v>6.37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61.54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66.27</c:v>
                </c:pt>
              </c:numCache>
            </c:numRef>
          </c:val>
        </c:ser>
        <c:ser>
          <c:idx val="2"/>
          <c:order val="2"/>
          <c:tx>
            <c:strRef>
              <c:f>Sheet1!$D$1</c:f>
              <c:strCache>
                <c:ptCount val="1"/>
                <c:pt idx="0">
                  <c:v>MOF_DIV_CODE</c:v>
                </c:pt>
              </c:strCache>
            </c:strRef>
          </c:tx>
          <c:invertIfNegative val="0"/>
          <c:dLbls>
            <c:delete val="1"/>
          </c:dLbls>
          <c:cat>
            <c:strRef>
              <c:f>Sheet1!$A$2</c:f>
              <c:strCache>
                <c:ptCount val="1"/>
                <c:pt idx="0">
                  <c:v>收入</c:v>
                </c:pt>
              </c:strCache>
            </c:strRef>
          </c:cat>
          <c:val>
            <c:numRef>
              <c:f>Sheet1!$D$2</c:f>
              <c:numCache>
                <c:formatCode>General</c:formatCode>
                <c:ptCount val="1"/>
                <c:pt idx="0">
                  <c:v>451226000</c:v>
                </c:pt>
              </c:numCache>
            </c:numRef>
          </c:val>
        </c:ser>
        <c:ser>
          <c:idx val="3"/>
          <c:order val="3"/>
          <c:tx>
            <c:strRef>
              <c:f>Sheet1!$E$1</c:f>
              <c:strCache>
                <c:ptCount val="1"/>
                <c:pt idx="0">
                  <c:v>FISCAL_YEAR</c:v>
                </c:pt>
              </c:strCache>
            </c:strRef>
          </c:tx>
          <c:invertIfNegative val="0"/>
          <c:dLbls>
            <c:delete val="1"/>
          </c:dLbls>
          <c:cat>
            <c:strRef>
              <c:f>Sheet1!$A$2</c:f>
              <c:strCache>
                <c:ptCount val="1"/>
                <c:pt idx="0">
                  <c:v>收入</c:v>
                </c:pt>
              </c:strCache>
            </c:strRef>
          </c:cat>
          <c:val>
            <c:numRef>
              <c:f>Sheet1!$E$2</c:f>
              <c:numCache>
                <c:formatCode>General</c:formatCode>
                <c:ptCount val="1"/>
                <c:pt idx="0">
                  <c:v>2024</c:v>
                </c:pt>
              </c:numCache>
            </c:numRef>
          </c:val>
        </c:ser>
        <c:ser>
          <c:idx val="4"/>
          <c:order val="4"/>
          <c:tx>
            <c:strRef>
              <c:f>Sheet1!$F$1</c:f>
              <c:strCache>
                <c:ptCount val="1"/>
                <c:pt idx="0">
                  <c:v>AGENCY_CODE</c:v>
                </c:pt>
              </c:strCache>
            </c:strRef>
          </c:tx>
          <c:invertIfNegative val="0"/>
          <c:dLbls>
            <c:delete val="1"/>
          </c:dLbls>
          <c:cat>
            <c:strRef>
              <c:f>Sheet1!$A$2</c:f>
              <c:strCache>
                <c:ptCount val="1"/>
                <c:pt idx="0">
                  <c:v>收入</c:v>
                </c:pt>
              </c:strCache>
            </c:strRef>
          </c:cat>
          <c:val>
            <c:numRef>
              <c:f>Sheet1!$F$2</c:f>
              <c:numCache>
                <c:formatCode>General</c:formatCode>
                <c:ptCount val="1"/>
                <c:pt idx="0">
                  <c:v>703006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66.27</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1.66</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64.61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64.61</c:v>
                </c:pt>
                <c:pt idx="1">
                  <c:v>1.66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2024-03-01T00:58:10Z</dcterms:created>
  <dc:creator>Administrator</dc:creator>
  <cp:lastModifiedBy>浮生</cp:lastModifiedBy>
  <cp:lastPrinted>2024-03-01T01:00:40Z</cp:lastPrinted>
  <dcterms:modified xsi:type="dcterms:W3CDTF">2024-03-01T01:03:21Z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4C66458F01A24E02B32E022EF92E58FE_13</vt:lpwstr>
  </property>
</Properties>
</file>