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环江毛南族自治县水源镇扶贫站</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1"/>
      <w:bookmarkStart w:id="1" w:name="bookmark0"/>
      <w:bookmarkStart w:id="2" w:name="bookmark2"/>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环江毛南族自治县水源镇扶贫站单位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环江毛南族自治县水源镇扶贫站2024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环江毛南族自治县水源镇扶贫站2024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第一部分</w:t>
      </w:r>
      <w:r>
        <w:rPr>
          <w:rFonts w:hint="eastAsia"/>
          <w:b/>
          <w:bCs/>
          <w:sz w:val="40"/>
          <w:szCs w:val="40"/>
          <w:lang w:eastAsia="zh-CN"/>
        </w:rPr>
        <w:t>：</w:t>
      </w:r>
      <w:r>
        <w:rPr>
          <w:b/>
          <w:sz w:val="40"/>
          <w:u w:color="auto"/>
        </w:rPr>
        <w:t>环江毛南族自治县水源镇扶贫站</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环江毛南族自治县水源镇水源镇扶贫工作站职责: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（1）负责贯彻执行党和国家及省、市、区关于扶贫开发工作方针、政策和法律、法规;研究制定和草拟本镇扶贫开发中长期规划和年度计划,提出全镇扶贫开发目标、任务和措施，并组织实施。</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（2）负责本镇扶贫开发项目规划、设计、论证和申报工作,编制项目实施方案,做好项目的协调、管理和验收。</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（3）开展本镇农村劳动力转移培训、产业化技能培训和“雨露计划”培训工作;负责本镇扶贫开发统计,贫困人口摸底调查、统计、建档立卡、动态监测等。</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（4）协助县级及以上部门做好扶贫资金的请款报账及扶贫项目物资的管理、发放等工作;会同纪检监察部门做好扶贫项目资金的监管工作。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（5）承办县扶贫开发办公室和本镇党委政府交办的其他工作等。</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水源镇水源镇扶贫工作站是环江县水源镇人民政府直接管理的相当副科级财政全额拨款事业单位，本部门设有站长、副站长、办事员等三个职能岗位。本部门人员编制总数为4人，其中：行政编制0人，参公编制0人，事业编制4人，工勤编制0人；在职人员总数4人，其中：行政在职0人，参公在职0人，事业在职4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68"/>
      <w:bookmarkStart w:id="9" w:name="bookmark70"/>
      <w:bookmarkStart w:id="10" w:name="bookmark26"/>
      <w:bookmarkStart w:id="11" w:name="bookmark27"/>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环江毛南族自治县水源镇扶贫站</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66.27</w:t>
      </w:r>
      <w:r>
        <w:rPr>
          <w:rFonts w:hint="eastAsia"/>
          <w:b w:val="0"/>
          <w:bCs w:val="0"/>
          <w:sz w:val="28"/>
          <w:szCs w:val="28"/>
        </w:rPr>
        <w:t>万元，总支出</w:t>
      </w:r>
      <w:r>
        <w:rPr>
          <w:rFonts w:hint="eastAsia"/>
          <w:sz w:val="28"/>
          <w:szCs w:val="28"/>
          <w:lang w:val="en-US" w:eastAsia="zh-CN"/>
        </w:rPr>
        <w:t>66.27</w:t>
      </w:r>
      <w:r>
        <w:rPr>
          <w:rFonts w:hint="eastAsia"/>
          <w:b w:val="0"/>
          <w:bCs w:val="0"/>
          <w:sz w:val="28"/>
          <w:szCs w:val="28"/>
        </w:rPr>
        <w:t>万元。总收入较2023年度预算数</w:t>
      </w:r>
      <w:r>
        <w:rPr>
          <w:rFonts w:hint="eastAsia"/>
          <w:sz w:val="28"/>
          <w:szCs w:val="28"/>
          <w:lang w:val="en-US" w:eastAsia="zh-CN"/>
        </w:rPr>
        <w:t>61.54</w:t>
      </w:r>
      <w:r>
        <w:rPr>
          <w:rFonts w:hint="eastAsia"/>
          <w:b w:val="0"/>
          <w:bCs w:val="0"/>
          <w:sz w:val="28"/>
          <w:szCs w:val="28"/>
        </w:rPr>
        <w:t>万元，</w:t>
      </w:r>
      <w:r>
        <w:rPr>
          <w:rFonts w:hint="eastAsia"/>
          <w:sz w:val="28"/>
          <w:szCs w:val="28"/>
        </w:rPr>
        <w:t>增加4.73</w:t>
      </w:r>
      <w:r>
        <w:rPr>
          <w:rFonts w:hint="eastAsia"/>
          <w:b w:val="0"/>
          <w:bCs w:val="0"/>
          <w:sz w:val="28"/>
          <w:szCs w:val="28"/>
        </w:rPr>
        <w:t>万元，</w:t>
      </w:r>
      <w:r>
        <w:rPr>
          <w:rFonts w:hint="eastAsia"/>
          <w:sz w:val="28"/>
          <w:szCs w:val="28"/>
        </w:rPr>
        <w:t>增长7.69%</w:t>
      </w:r>
      <w:r>
        <w:rPr>
          <w:rFonts w:hint="eastAsia"/>
          <w:b w:val="0"/>
          <w:bCs w:val="0"/>
          <w:sz w:val="28"/>
          <w:szCs w:val="28"/>
        </w:rPr>
        <w:t>，主要原因是</w:t>
      </w:r>
      <w:r>
        <w:rPr>
          <w:rFonts w:hint="eastAsia"/>
          <w:highlight w:val="none"/>
          <w:lang w:val="en-US" w:eastAsia="zh-CN"/>
        </w:rPr>
        <w:t>2024年度调整基本工资，公积金缴费基数，基础性绩效工资增量调增，导致预算增加</w:t>
      </w:r>
      <w:r>
        <w:rPr>
          <w:rFonts w:hint="eastAsia"/>
          <w:b w:val="0"/>
          <w:bCs w:val="0"/>
          <w:sz w:val="28"/>
          <w:szCs w:val="28"/>
        </w:rPr>
        <w:t>。总支出较2023年度预算数</w:t>
      </w:r>
      <w:r>
        <w:rPr>
          <w:rFonts w:hint="eastAsia"/>
          <w:sz w:val="28"/>
          <w:szCs w:val="28"/>
          <w:lang w:val="en-US" w:eastAsia="zh-CN"/>
        </w:rPr>
        <w:t>61.54</w:t>
      </w:r>
      <w:r>
        <w:rPr>
          <w:rFonts w:hint="eastAsia"/>
          <w:b w:val="0"/>
          <w:bCs w:val="0"/>
          <w:sz w:val="28"/>
          <w:szCs w:val="28"/>
        </w:rPr>
        <w:t>万元，</w:t>
      </w:r>
      <w:r>
        <w:rPr>
          <w:rFonts w:hint="eastAsia"/>
          <w:sz w:val="28"/>
          <w:szCs w:val="28"/>
        </w:rPr>
        <w:t>增加4.73</w:t>
      </w:r>
      <w:r>
        <w:rPr>
          <w:rFonts w:hint="eastAsia"/>
          <w:b w:val="0"/>
          <w:bCs w:val="0"/>
          <w:sz w:val="28"/>
          <w:szCs w:val="28"/>
        </w:rPr>
        <w:t>万元，</w:t>
      </w:r>
      <w:r>
        <w:rPr>
          <w:rFonts w:hint="eastAsia"/>
          <w:sz w:val="28"/>
          <w:szCs w:val="28"/>
        </w:rPr>
        <w:t>增长7.69%</w:t>
      </w:r>
      <w:r>
        <w:rPr>
          <w:rFonts w:hint="eastAsia"/>
          <w:b w:val="0"/>
          <w:bCs w:val="0"/>
          <w:sz w:val="28"/>
          <w:szCs w:val="28"/>
        </w:rPr>
        <w:t>，主要原因是</w:t>
      </w:r>
      <w:r>
        <w:rPr>
          <w:rFonts w:hint="eastAsia"/>
          <w:highlight w:val="none"/>
          <w:lang w:val="en-US" w:eastAsia="zh-CN"/>
        </w:rPr>
        <w:t>2024年度调整基本工资，公积金缴费基数，基础性绩效工资增量调增，导致预算增加</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27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66.27</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61.54</w:t>
      </w:r>
      <w:r>
        <w:rPr>
          <w:rFonts w:hint="eastAsia" w:ascii="宋体" w:hAnsi="宋体" w:eastAsia="宋体" w:cs="宋体"/>
          <w:sz w:val="28"/>
          <w:szCs w:val="28"/>
          <w:u w:color="auto"/>
        </w:rPr>
        <w:t>万元，</w:t>
      </w:r>
      <w:r>
        <w:rPr>
          <w:rFonts w:hint="eastAsia" w:ascii="宋体" w:hAnsi="宋体" w:eastAsia="宋体" w:cs="宋体"/>
          <w:sz w:val="28"/>
          <w:szCs w:val="28"/>
        </w:rPr>
        <w:t>增加4.73</w:t>
      </w:r>
      <w:r>
        <w:rPr>
          <w:rFonts w:hint="eastAsia" w:ascii="宋体" w:hAnsi="宋体" w:eastAsia="宋体" w:cs="宋体"/>
          <w:sz w:val="28"/>
          <w:szCs w:val="28"/>
          <w:u w:color="auto"/>
        </w:rPr>
        <w:t>万元，</w:t>
      </w:r>
      <w:r>
        <w:rPr>
          <w:rFonts w:hint="eastAsia" w:ascii="宋体" w:hAnsi="宋体" w:eastAsia="宋体" w:cs="宋体"/>
          <w:sz w:val="28"/>
          <w:szCs w:val="28"/>
        </w:rPr>
        <w:t>增长7.69%</w:t>
      </w:r>
      <w:r>
        <w:rPr>
          <w:rFonts w:hint="eastAsia" w:ascii="宋体" w:hAnsi="宋体" w:eastAsia="宋体" w:cs="宋体"/>
          <w:sz w:val="28"/>
          <w:szCs w:val="28"/>
          <w:u w:color="auto"/>
        </w:rPr>
        <w:t>，主要原因是</w:t>
      </w:r>
      <w:r>
        <w:rPr>
          <w:rFonts w:hint="eastAsia"/>
          <w:highlight w:val="none"/>
          <w:lang w:val="en-US" w:eastAsia="zh-CN"/>
        </w:rPr>
        <w:t>2024年度调整基本工资，公积金缴费基数，基础性绩效工资增量调增，导致预算增加</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427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66.27</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61.54</w:t>
      </w:r>
      <w:r>
        <w:rPr>
          <w:rFonts w:hint="eastAsia" w:ascii="宋体" w:hAnsi="宋体" w:eastAsia="宋体" w:cs="宋体"/>
          <w:sz w:val="28"/>
          <w:szCs w:val="28"/>
          <w:lang w:eastAsia="zh-CN"/>
        </w:rPr>
        <w:t>万元，</w:t>
      </w:r>
      <w:r>
        <w:rPr>
          <w:rFonts w:hint="eastAsia" w:ascii="宋体" w:hAnsi="宋体" w:eastAsia="宋体" w:cs="宋体"/>
          <w:sz w:val="28"/>
          <w:szCs w:val="28"/>
        </w:rPr>
        <w:t>增加4.73</w:t>
      </w:r>
      <w:r>
        <w:rPr>
          <w:rFonts w:hint="eastAsia" w:ascii="宋体" w:hAnsi="宋体" w:eastAsia="宋体" w:cs="宋体"/>
          <w:sz w:val="28"/>
          <w:szCs w:val="28"/>
          <w:lang w:eastAsia="zh-CN"/>
        </w:rPr>
        <w:t>万元，</w:t>
      </w:r>
      <w:r>
        <w:rPr>
          <w:rFonts w:hint="eastAsia" w:ascii="宋体" w:hAnsi="宋体" w:eastAsia="宋体" w:cs="宋体"/>
          <w:sz w:val="28"/>
          <w:szCs w:val="28"/>
        </w:rPr>
        <w:t>增长7.69%</w:t>
      </w:r>
      <w:r>
        <w:rPr>
          <w:rFonts w:hint="eastAsia" w:ascii="宋体" w:hAnsi="宋体" w:eastAsia="宋体" w:cs="宋体"/>
          <w:sz w:val="28"/>
          <w:szCs w:val="28"/>
          <w:lang w:eastAsia="zh-CN"/>
        </w:rPr>
        <w:t>，主要原因是</w:t>
      </w:r>
      <w:r>
        <w:rPr>
          <w:rFonts w:hint="eastAsia"/>
          <w:highlight w:val="none"/>
          <w:lang w:val="en-US" w:eastAsia="zh-CN"/>
        </w:rPr>
        <w:t>2024年度调整基本工资，公积金缴费基数，基础性绩效工资增量调增，导致预算收入增加</w:t>
      </w:r>
      <w:r>
        <w:rPr>
          <w:rFonts w:hint="eastAsia" w:ascii="Times New Roman" w:hAnsi="Times New Roman" w:cs="Times New Roman"/>
          <w:sz w:val="30"/>
          <w:szCs w:val="30"/>
          <w:lang w:eastAsia="zh-CN"/>
        </w:rPr>
        <w:t>。主要包括：</w:t>
      </w:r>
      <w:r>
        <w:rPr>
          <w:rFonts w:hint="eastAsia"/>
          <w:highlight w:val="none"/>
          <w:lang w:val="en-US" w:eastAsia="zh-CN"/>
        </w:rPr>
        <w:t>人员工资调整支出、基础性绩效工资增量支出和住房公积金缴费支出</w:t>
      </w:r>
      <w:r>
        <w:rPr>
          <w:rFonts w:hint="eastAsia" w:ascii="Times New Roman" w:hAnsi="Times New Roman" w:cs="Times New Roman"/>
          <w:sz w:val="30"/>
          <w:szCs w:val="30"/>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4</w:t>
      </w:r>
      <w: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1)农林水支出</w:t>
      </w:r>
      <w:r>
        <w:rPr>
          <w:rFonts w:hint="eastAsia"/>
          <w:lang w:val="en-US" w:eastAsia="zh-CN"/>
        </w:rPr>
        <w:t>51.61</w:t>
      </w:r>
      <w:r>
        <w:rPr>
          <w:rFonts w:hint="eastAsia"/>
        </w:rPr>
        <w:t>万元，占支出总预算</w:t>
      </w:r>
      <w:r>
        <w:rPr>
          <w:rFonts w:hint="eastAsia"/>
          <w:lang w:val="en-US" w:eastAsia="zh-CN"/>
        </w:rPr>
        <w:t>77.88%</w:t>
      </w:r>
      <w:r>
        <w:rPr>
          <w:rFonts w:hint="eastAsia"/>
        </w:rPr>
        <w:t>,比上年</w:t>
      </w:r>
      <w:r>
        <w:rPr>
          <w:rFonts w:hint="eastAsia"/>
          <w:lang w:val="en-US" w:eastAsia="zh-CN"/>
        </w:rPr>
        <w:t>增长4.64</w:t>
      </w:r>
      <w:r>
        <w:rPr>
          <w:rFonts w:hint="eastAsia"/>
        </w:rPr>
        <w:t>万元，</w:t>
      </w:r>
      <w:r>
        <w:rPr>
          <w:rFonts w:hint="eastAsia"/>
          <w:lang w:val="en-US" w:eastAsia="zh-CN"/>
        </w:rPr>
        <w:t>增长9.88%</w:t>
      </w:r>
      <w:r>
        <w:rPr>
          <w:rFonts w:hint="eastAsia"/>
        </w:rPr>
        <w:t>,</w:t>
      </w:r>
      <w:r>
        <w:rPr>
          <w:rFonts w:hint="eastAsia"/>
          <w:highlight w:val="none"/>
        </w:rPr>
        <w:t>主要原因是：</w:t>
      </w:r>
      <w:r>
        <w:rPr>
          <w:rFonts w:hint="eastAsia"/>
          <w:highlight w:val="none"/>
          <w:lang w:val="en-US" w:eastAsia="zh-CN"/>
        </w:rPr>
        <w:t>调整人员工资和基础性绩效工资增量</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2)一般公共服务支出</w:t>
      </w:r>
      <w:r>
        <w:rPr>
          <w:rFonts w:hint="eastAsia"/>
          <w:lang w:val="en-US" w:eastAsia="zh-CN"/>
        </w:rPr>
        <w:t>0.70</w:t>
      </w:r>
      <w:r>
        <w:rPr>
          <w:rFonts w:hint="eastAsia"/>
        </w:rPr>
        <w:t>万元，占支出总预算</w:t>
      </w:r>
      <w:r>
        <w:rPr>
          <w:rFonts w:hint="eastAsia"/>
          <w:lang w:val="en-US" w:eastAsia="zh-CN"/>
        </w:rPr>
        <w:t>1.06%</w:t>
      </w:r>
      <w:r>
        <w:rPr>
          <w:rFonts w:hint="eastAsia"/>
        </w:rPr>
        <w:t>,比上年</w:t>
      </w:r>
      <w:r>
        <w:rPr>
          <w:rFonts w:hint="eastAsia"/>
          <w:lang w:val="en-US" w:eastAsia="zh-CN"/>
        </w:rPr>
        <w:t>减少0.27</w:t>
      </w:r>
      <w:r>
        <w:rPr>
          <w:rFonts w:hint="eastAsia"/>
        </w:rPr>
        <w:t>万元，</w:t>
      </w:r>
      <w:r>
        <w:rPr>
          <w:rFonts w:hint="eastAsia"/>
          <w:lang w:val="en-US" w:eastAsia="zh-CN"/>
        </w:rPr>
        <w:t>减少27.84%</w:t>
      </w:r>
      <w:r>
        <w:rPr>
          <w:rFonts w:hint="eastAsia"/>
        </w:rPr>
        <w:t>,</w:t>
      </w:r>
      <w:r>
        <w:rPr>
          <w:rFonts w:hint="eastAsia"/>
          <w:highlight w:val="none"/>
        </w:rPr>
        <w:t>主要原因是：</w:t>
      </w:r>
      <w:r>
        <w:rPr>
          <w:rFonts w:hint="eastAsia"/>
          <w:highlight w:val="none"/>
          <w:lang w:val="en-US" w:eastAsia="zh-CN"/>
        </w:rPr>
        <w:t>2024年我部门工会经费预算支出减半</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3)住房保障支出</w:t>
      </w:r>
      <w:r>
        <w:rPr>
          <w:rFonts w:hint="eastAsia"/>
          <w:lang w:val="en-US" w:eastAsia="zh-CN"/>
        </w:rPr>
        <w:t>6.37</w:t>
      </w:r>
      <w:r>
        <w:rPr>
          <w:rFonts w:hint="eastAsia"/>
        </w:rPr>
        <w:t>万元，占支出总预算</w:t>
      </w:r>
      <w:r>
        <w:rPr>
          <w:rFonts w:hint="eastAsia"/>
          <w:lang w:val="en-US" w:eastAsia="zh-CN"/>
        </w:rPr>
        <w:t>9.61%</w:t>
      </w:r>
      <w:r>
        <w:rPr>
          <w:rFonts w:hint="eastAsia"/>
        </w:rPr>
        <w:t>,比上年</w:t>
      </w:r>
      <w:r>
        <w:rPr>
          <w:rFonts w:hint="eastAsia"/>
          <w:lang w:val="en-US" w:eastAsia="zh-CN"/>
        </w:rPr>
        <w:t>增长0.54</w:t>
      </w:r>
      <w:r>
        <w:rPr>
          <w:rFonts w:hint="eastAsia"/>
        </w:rPr>
        <w:t>万元，</w:t>
      </w:r>
      <w:r>
        <w:rPr>
          <w:rFonts w:hint="eastAsia"/>
          <w:lang w:val="en-US" w:eastAsia="zh-CN"/>
        </w:rPr>
        <w:t>增长9.26%</w:t>
      </w:r>
      <w:r>
        <w:rPr>
          <w:rFonts w:hint="eastAsia"/>
        </w:rPr>
        <w:t>,</w:t>
      </w:r>
      <w:r>
        <w:rPr>
          <w:rFonts w:hint="eastAsia"/>
          <w:highlight w:val="none"/>
        </w:rPr>
        <w:t>主要原因是：</w:t>
      </w:r>
      <w:r>
        <w:rPr>
          <w:rFonts w:hint="eastAsia"/>
          <w:highlight w:val="none"/>
          <w:lang w:val="en-US" w:eastAsia="zh-CN"/>
        </w:rPr>
        <w:t>调增住房公积金基数</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4)社会保障和就业支出</w:t>
      </w:r>
      <w:r>
        <w:rPr>
          <w:rFonts w:hint="eastAsia"/>
          <w:lang w:val="en-US" w:eastAsia="zh-CN"/>
        </w:rPr>
        <w:t>7.58</w:t>
      </w:r>
      <w:r>
        <w:rPr>
          <w:rFonts w:hint="eastAsia"/>
        </w:rPr>
        <w:t>万元，占支出总预算</w:t>
      </w:r>
      <w:r>
        <w:rPr>
          <w:rFonts w:hint="eastAsia"/>
          <w:lang w:val="en-US" w:eastAsia="zh-CN"/>
        </w:rPr>
        <w:t>11.44%</w:t>
      </w:r>
      <w:r>
        <w:rPr>
          <w:rFonts w:hint="eastAsia"/>
        </w:rPr>
        <w:t>,比上年</w:t>
      </w:r>
      <w:r>
        <w:rPr>
          <w:rFonts w:hint="eastAsia"/>
          <w:lang w:val="en-US" w:eastAsia="zh-CN"/>
        </w:rPr>
        <w:t>减少0.19</w:t>
      </w:r>
      <w:r>
        <w:rPr>
          <w:rFonts w:hint="eastAsia"/>
        </w:rPr>
        <w:t>万元，</w:t>
      </w:r>
      <w:r>
        <w:rPr>
          <w:rFonts w:hint="eastAsia"/>
          <w:lang w:val="en-US" w:eastAsia="zh-CN"/>
        </w:rPr>
        <w:t>减少2.45%</w:t>
      </w:r>
      <w:r>
        <w:rPr>
          <w:rFonts w:hint="eastAsia"/>
        </w:rPr>
        <w:t>,</w:t>
      </w:r>
      <w:r>
        <w:rPr>
          <w:rFonts w:hint="eastAsia"/>
          <w:highlight w:val="none"/>
        </w:rPr>
        <w:t>主要原因是：</w:t>
      </w:r>
      <w:r>
        <w:rPr>
          <w:rFonts w:hint="eastAsia"/>
          <w:highlight w:val="none"/>
          <w:lang w:val="en-US" w:eastAsia="zh-CN"/>
        </w:rPr>
        <w:t>调整养老保险缴存基数</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66.27</w:t>
      </w:r>
      <w:r>
        <w:rPr>
          <w:rFonts w:hint="eastAsia"/>
        </w:rPr>
        <w:t>万元，占支出预算</w:t>
      </w:r>
      <w:r>
        <w:rPr>
          <w:u w:color="auto"/>
        </w:rPr>
        <w:t>100.00%,比上年增长4.73万元，增长7.69%</w:t>
      </w:r>
      <w:r>
        <w:t>。</w:t>
      </w:r>
      <w:r>
        <w:rPr>
          <w:rFonts w:hint="eastAsia"/>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64.61</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97.50%</w:t>
      </w:r>
      <w:r>
        <w:rPr>
          <w:rFonts w:hint="eastAsia" w:ascii="宋体" w:hAnsi="宋体" w:eastAsia="宋体" w:cs="宋体"/>
          <w:sz w:val="28"/>
          <w:szCs w:val="28"/>
        </w:rPr>
        <w:t>,比上年</w:t>
      </w:r>
      <w:r>
        <w:rPr>
          <w:rFonts w:ascii="宋体" w:hAnsi="宋体" w:eastAsia="宋体" w:cs="宋体"/>
          <w:sz w:val="28"/>
          <w:u w:color="auto"/>
        </w:rPr>
        <w:t>增长5.00万元，增长8.39%,主要原因是：调整人员工资和基础性绩效工资增量</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1.66</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2.50%</w:t>
      </w:r>
      <w:r>
        <w:rPr>
          <w:rFonts w:hint="eastAsia" w:ascii="宋体" w:hAnsi="宋体" w:eastAsia="宋体" w:cs="宋体"/>
          <w:sz w:val="28"/>
          <w:szCs w:val="28"/>
        </w:rPr>
        <w:t>,比上年</w:t>
      </w:r>
      <w:r>
        <w:rPr>
          <w:rFonts w:ascii="宋体" w:hAnsi="宋体" w:eastAsia="宋体" w:cs="宋体"/>
          <w:sz w:val="28"/>
          <w:u w:color="auto"/>
        </w:rPr>
        <w:t>减少0.27万元，减少13.99%,主要原因是：2024年度我部门工会经费预算支出减半</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427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66.27</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66.27</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61.54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增加4.73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增长7.69%</w:t>
      </w:r>
      <w:r>
        <w:rPr>
          <w:rFonts w:hint="eastAsia" w:ascii="宋体" w:hAnsi="宋体" w:eastAsia="宋体" w:cs="宋体"/>
          <w:sz w:val="28"/>
          <w:szCs w:val="28"/>
        </w:rPr>
        <w:t>，主要原因是</w:t>
      </w:r>
      <w:r>
        <w:rPr>
          <w:rFonts w:hint="eastAsia"/>
          <w:highlight w:val="none"/>
          <w:lang w:val="en-US" w:eastAsia="zh-CN"/>
        </w:rPr>
        <w:t>2024年度调整基本工资，公积金缴费基数，基础性绩效工资增量调增，导致预算收入增加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61.54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增加4.73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增长7.69%</w:t>
      </w:r>
      <w:r>
        <w:rPr>
          <w:rFonts w:hint="eastAsia" w:ascii="宋体" w:hAnsi="宋体" w:eastAsia="宋体" w:cs="宋体"/>
          <w:sz w:val="28"/>
          <w:szCs w:val="28"/>
        </w:rPr>
        <w:t>，主要原因是</w:t>
      </w:r>
      <w:r>
        <w:rPr>
          <w:rFonts w:hint="eastAsia"/>
          <w:highlight w:val="none"/>
          <w:lang w:val="en-US" w:eastAsia="zh-CN"/>
        </w:rPr>
        <w:t>2024年度调整基本工资，公积金缴费基数，基础性绩效工资增量调增，导致预算支出增加</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427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66.27</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61.54</w:t>
      </w:r>
      <w:r>
        <w:rPr>
          <w:rFonts w:hint="eastAsia" w:ascii="宋体" w:hAnsi="宋体" w:eastAsia="宋体" w:cs="宋体"/>
          <w:sz w:val="28"/>
          <w:szCs w:val="28"/>
        </w:rPr>
        <w:t>万元，</w:t>
      </w:r>
      <w:r>
        <w:rPr>
          <w:rFonts w:hint="eastAsia" w:ascii="宋体" w:hAnsi="宋体" w:eastAsia="宋体" w:cs="宋体"/>
          <w:sz w:val="28"/>
          <w:szCs w:val="28"/>
          <w:lang w:val="en-US" w:eastAsia="zh-CN"/>
        </w:rPr>
        <w:t>增加4.73</w:t>
      </w:r>
      <w:r>
        <w:rPr>
          <w:rFonts w:hint="eastAsia" w:ascii="宋体" w:hAnsi="宋体" w:eastAsia="宋体" w:cs="宋体"/>
          <w:sz w:val="28"/>
          <w:szCs w:val="28"/>
        </w:rPr>
        <w:t>万元，</w:t>
      </w:r>
      <w:r>
        <w:rPr>
          <w:rFonts w:hint="eastAsia" w:ascii="宋体" w:hAnsi="宋体" w:eastAsia="宋体" w:cs="宋体"/>
          <w:sz w:val="28"/>
          <w:szCs w:val="28"/>
          <w:lang w:val="en-US" w:eastAsia="zh-CN"/>
        </w:rPr>
        <w:t>增长7.69%</w:t>
      </w:r>
      <w:r>
        <w:rPr>
          <w:rFonts w:hint="eastAsia" w:ascii="宋体" w:hAnsi="宋体" w:eastAsia="宋体" w:cs="宋体"/>
          <w:sz w:val="28"/>
          <w:szCs w:val="28"/>
        </w:rPr>
        <w:t>，主要原因是</w:t>
      </w:r>
      <w:r>
        <w:rPr>
          <w:rFonts w:hint="eastAsia"/>
          <w:highlight w:val="none"/>
          <w:lang w:val="en-US" w:eastAsia="zh-CN"/>
        </w:rPr>
        <w:t>2024年度调整基本工资，公积金缴费基数，基础性绩效工资增量调增</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0.70</w:t>
      </w:r>
      <w:r>
        <w:rPr>
          <w:rFonts w:hint="eastAsia" w:ascii="宋体" w:hAnsi="宋体" w:eastAsia="宋体" w:cs="宋体"/>
          <w:sz w:val="28"/>
          <w:szCs w:val="28"/>
        </w:rPr>
        <w:t>万元，占支出总预算的</w:t>
      </w:r>
      <w:r>
        <w:rPr>
          <w:rFonts w:ascii="宋体" w:hAnsi="宋体" w:eastAsia="宋体" w:cs="宋体"/>
          <w:sz w:val="28"/>
          <w:u w:color="auto"/>
        </w:rPr>
        <w:t>1.06%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0.97</w:t>
      </w:r>
      <w:r>
        <w:rPr>
          <w:rFonts w:hint="eastAsia" w:ascii="宋体" w:hAnsi="宋体" w:eastAsia="宋体" w:cs="宋体"/>
          <w:sz w:val="28"/>
          <w:szCs w:val="28"/>
        </w:rPr>
        <w:t>万元，</w:t>
      </w:r>
      <w:r>
        <w:rPr>
          <w:rFonts w:ascii="宋体" w:hAnsi="宋体" w:eastAsia="宋体" w:cs="宋体"/>
          <w:sz w:val="28"/>
          <w:u w:color="auto"/>
        </w:rPr>
        <w:t>减少0.27</w:t>
      </w:r>
      <w:r>
        <w:rPr>
          <w:rFonts w:hint="eastAsia" w:ascii="宋体" w:hAnsi="宋体" w:eastAsia="宋体" w:cs="宋体"/>
          <w:sz w:val="28"/>
          <w:szCs w:val="28"/>
        </w:rPr>
        <w:t>万元，</w:t>
      </w:r>
      <w:r>
        <w:rPr>
          <w:rFonts w:ascii="宋体" w:hAnsi="宋体" w:eastAsia="宋体" w:cs="宋体"/>
          <w:sz w:val="28"/>
          <w:u w:color="auto"/>
        </w:rPr>
        <w:t>减少27.84%</w:t>
      </w:r>
      <w:r>
        <w:rPr>
          <w:rFonts w:hint="eastAsia" w:ascii="宋体" w:hAnsi="宋体" w:eastAsia="宋体" w:cs="宋体"/>
          <w:sz w:val="28"/>
          <w:szCs w:val="28"/>
        </w:rPr>
        <w:t>，主要原因是：</w:t>
      </w:r>
      <w:r>
        <w:rPr>
          <w:rFonts w:hint="eastAsia"/>
          <w:highlight w:val="none"/>
        </w:rPr>
        <w:t>2024年度我部门工会经费预算支出减半</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6.37</w:t>
      </w:r>
      <w:r>
        <w:rPr>
          <w:rFonts w:hint="eastAsia" w:ascii="宋体" w:hAnsi="宋体" w:eastAsia="宋体" w:cs="宋体"/>
          <w:sz w:val="28"/>
          <w:szCs w:val="28"/>
        </w:rPr>
        <w:t>万元，占支出总预算的</w:t>
      </w:r>
      <w:r>
        <w:rPr>
          <w:rFonts w:ascii="宋体" w:hAnsi="宋体" w:eastAsia="宋体" w:cs="宋体"/>
          <w:sz w:val="28"/>
          <w:u w:color="auto"/>
        </w:rPr>
        <w:t>9.61%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5.83</w:t>
      </w:r>
      <w:r>
        <w:rPr>
          <w:rFonts w:hint="eastAsia" w:ascii="宋体" w:hAnsi="宋体" w:eastAsia="宋体" w:cs="宋体"/>
          <w:sz w:val="28"/>
          <w:szCs w:val="28"/>
        </w:rPr>
        <w:t>万元，</w:t>
      </w:r>
      <w:r>
        <w:rPr>
          <w:rFonts w:ascii="宋体" w:hAnsi="宋体" w:eastAsia="宋体" w:cs="宋体"/>
          <w:sz w:val="28"/>
          <w:u w:color="auto"/>
        </w:rPr>
        <w:t>增长0.54</w:t>
      </w:r>
      <w:r>
        <w:rPr>
          <w:rFonts w:hint="eastAsia" w:ascii="宋体" w:hAnsi="宋体" w:eastAsia="宋体" w:cs="宋体"/>
          <w:sz w:val="28"/>
          <w:szCs w:val="28"/>
        </w:rPr>
        <w:t>万元，</w:t>
      </w:r>
      <w:r>
        <w:rPr>
          <w:rFonts w:ascii="宋体" w:hAnsi="宋体" w:eastAsia="宋体" w:cs="宋体"/>
          <w:sz w:val="28"/>
          <w:u w:color="auto"/>
        </w:rPr>
        <w:t>增长9.26%</w:t>
      </w:r>
      <w:r>
        <w:rPr>
          <w:rFonts w:hint="eastAsia" w:ascii="宋体" w:hAnsi="宋体" w:eastAsia="宋体" w:cs="宋体"/>
          <w:sz w:val="28"/>
          <w:szCs w:val="28"/>
        </w:rPr>
        <w:t>，主要原因是：</w:t>
      </w:r>
      <w:r>
        <w:rPr>
          <w:rFonts w:hint="eastAsia"/>
          <w:highlight w:val="none"/>
        </w:rPr>
        <w:t>2024年我部门调整公积金基数</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51.61</w:t>
      </w:r>
      <w:r>
        <w:rPr>
          <w:rFonts w:hint="eastAsia" w:ascii="宋体" w:hAnsi="宋体" w:eastAsia="宋体" w:cs="宋体"/>
          <w:sz w:val="28"/>
          <w:szCs w:val="28"/>
        </w:rPr>
        <w:t>万元，占支出总预算的</w:t>
      </w:r>
      <w:r>
        <w:rPr>
          <w:rFonts w:ascii="宋体" w:hAnsi="宋体" w:eastAsia="宋体" w:cs="宋体"/>
          <w:sz w:val="28"/>
          <w:u w:color="auto"/>
        </w:rPr>
        <w:t>77.88%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46.97</w:t>
      </w:r>
      <w:r>
        <w:rPr>
          <w:rFonts w:hint="eastAsia" w:ascii="宋体" w:hAnsi="宋体" w:eastAsia="宋体" w:cs="宋体"/>
          <w:sz w:val="28"/>
          <w:szCs w:val="28"/>
        </w:rPr>
        <w:t>万元，</w:t>
      </w:r>
      <w:r>
        <w:rPr>
          <w:rFonts w:ascii="宋体" w:hAnsi="宋体" w:eastAsia="宋体" w:cs="宋体"/>
          <w:sz w:val="28"/>
          <w:u w:color="auto"/>
        </w:rPr>
        <w:t>增长4.64</w:t>
      </w:r>
      <w:r>
        <w:rPr>
          <w:rFonts w:hint="eastAsia" w:ascii="宋体" w:hAnsi="宋体" w:eastAsia="宋体" w:cs="宋体"/>
          <w:sz w:val="28"/>
          <w:szCs w:val="28"/>
        </w:rPr>
        <w:t>万元，</w:t>
      </w:r>
      <w:r>
        <w:rPr>
          <w:rFonts w:ascii="宋体" w:hAnsi="宋体" w:eastAsia="宋体" w:cs="宋体"/>
          <w:sz w:val="28"/>
          <w:u w:color="auto"/>
        </w:rPr>
        <w:t>增长9.88%</w:t>
      </w:r>
      <w:r>
        <w:rPr>
          <w:rFonts w:hint="eastAsia" w:ascii="宋体" w:hAnsi="宋体" w:eastAsia="宋体" w:cs="宋体"/>
          <w:sz w:val="28"/>
          <w:szCs w:val="28"/>
        </w:rPr>
        <w:t>，主要原因是：</w:t>
      </w:r>
      <w:r>
        <w:rPr>
          <w:rFonts w:hint="eastAsia"/>
          <w:highlight w:val="none"/>
        </w:rPr>
        <w:t>调整人员工资和基础性绩效工资增量</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7.58</w:t>
      </w:r>
      <w:r>
        <w:rPr>
          <w:rFonts w:hint="eastAsia" w:ascii="宋体" w:hAnsi="宋体" w:eastAsia="宋体" w:cs="宋体"/>
          <w:sz w:val="28"/>
          <w:szCs w:val="28"/>
        </w:rPr>
        <w:t>万元，占支出总预算的</w:t>
      </w:r>
      <w:r>
        <w:rPr>
          <w:rFonts w:ascii="宋体" w:hAnsi="宋体" w:eastAsia="宋体" w:cs="宋体"/>
          <w:sz w:val="28"/>
          <w:u w:color="auto"/>
        </w:rPr>
        <w:t>11.44%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7.77</w:t>
      </w:r>
      <w:r>
        <w:rPr>
          <w:rFonts w:hint="eastAsia" w:ascii="宋体" w:hAnsi="宋体" w:eastAsia="宋体" w:cs="宋体"/>
          <w:sz w:val="28"/>
          <w:szCs w:val="28"/>
        </w:rPr>
        <w:t>万元，</w:t>
      </w:r>
      <w:r>
        <w:rPr>
          <w:rFonts w:ascii="宋体" w:hAnsi="宋体" w:eastAsia="宋体" w:cs="宋体"/>
          <w:sz w:val="28"/>
          <w:u w:color="auto"/>
        </w:rPr>
        <w:t>减少0.19</w:t>
      </w:r>
      <w:r>
        <w:rPr>
          <w:rFonts w:hint="eastAsia" w:ascii="宋体" w:hAnsi="宋体" w:eastAsia="宋体" w:cs="宋体"/>
          <w:sz w:val="28"/>
          <w:szCs w:val="28"/>
        </w:rPr>
        <w:t>万元，</w:t>
      </w:r>
      <w:r>
        <w:rPr>
          <w:rFonts w:ascii="宋体" w:hAnsi="宋体" w:eastAsia="宋体" w:cs="宋体"/>
          <w:sz w:val="28"/>
          <w:u w:color="auto"/>
        </w:rPr>
        <w:t>减少2.45%</w:t>
      </w:r>
      <w:r>
        <w:rPr>
          <w:rFonts w:hint="eastAsia" w:ascii="宋体" w:hAnsi="宋体" w:eastAsia="宋体" w:cs="宋体"/>
          <w:sz w:val="28"/>
          <w:szCs w:val="28"/>
        </w:rPr>
        <w:t>，主要原因是：</w:t>
      </w:r>
      <w:r>
        <w:rPr>
          <w:rFonts w:hint="eastAsia"/>
          <w:highlight w:val="none"/>
        </w:rPr>
        <w:t>2024年调整养老保险缴存基数</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27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66.27</w:t>
      </w:r>
      <w:r>
        <w:rPr>
          <w:rFonts w:hint="eastAsia"/>
        </w:rPr>
        <w:t>万元，较2023年度预算数</w:t>
      </w:r>
      <w:r>
        <w:rPr>
          <w:rFonts w:hint="eastAsia"/>
          <w:lang w:val="en-US" w:eastAsia="zh-CN"/>
        </w:rPr>
        <w:t>61.54</w:t>
      </w:r>
      <w:r>
        <w:rPr>
          <w:rFonts w:hint="eastAsia"/>
        </w:rPr>
        <w:t>万元</w:t>
      </w:r>
      <w:r>
        <w:rPr>
          <w:rFonts w:hint="eastAsia"/>
          <w:lang w:val="en-US" w:eastAsia="zh-CN"/>
        </w:rPr>
        <w:t>,</w:t>
      </w:r>
      <w:r>
        <w:rPr>
          <w:u w:color="auto"/>
        </w:rPr>
        <w:t>增加4.73</w:t>
      </w:r>
      <w:r>
        <w:rPr>
          <w:rFonts w:hint="eastAsia"/>
        </w:rPr>
        <w:t>万元，</w:t>
      </w:r>
      <w:r>
        <w:rPr>
          <w:rFonts w:hint="eastAsia"/>
          <w:lang w:val="en-US" w:eastAsia="zh-CN"/>
        </w:rPr>
        <w:t>增长7.69%</w:t>
      </w:r>
      <w:r>
        <w:rPr>
          <w:rFonts w:hint="eastAsia"/>
        </w:rPr>
        <w:t>，主要原因是</w:t>
      </w:r>
      <w:r>
        <w:rPr>
          <w:rFonts w:hint="eastAsia"/>
          <w:highlight w:val="none"/>
          <w:lang w:val="en-US" w:eastAsia="zh-CN"/>
        </w:rPr>
        <w:t>2024年度调整基本工资，公积金缴费基数，基础性绩效工资增量调增</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64.61</w:t>
      </w:r>
      <w:r>
        <w:t>万元</w:t>
      </w:r>
      <w:r>
        <w:rPr>
          <w:rFonts w:hint="eastAsia"/>
          <w:lang w:eastAsia="zh-CN"/>
        </w:rPr>
        <w:t>，</w:t>
      </w:r>
      <w:r>
        <w:rPr>
          <w:rFonts w:hint="eastAsia"/>
        </w:rPr>
        <w:t>占基本支出预算的</w:t>
      </w:r>
      <w:r>
        <w:rPr>
          <w:rFonts w:hint="eastAsia"/>
          <w:lang w:val="en-US" w:eastAsia="zh-CN"/>
        </w:rPr>
        <w:t>97.50%</w:t>
      </w:r>
      <w:r>
        <w:rPr>
          <w:rFonts w:hint="eastAsia"/>
        </w:rPr>
        <w:t>，较2023年度预算数</w:t>
      </w:r>
      <w:r>
        <w:rPr>
          <w:rFonts w:hint="eastAsia"/>
          <w:lang w:val="en-US" w:eastAsia="zh-CN"/>
        </w:rPr>
        <w:t>59.61</w:t>
      </w:r>
      <w:r>
        <w:rPr>
          <w:rFonts w:hint="eastAsia"/>
        </w:rPr>
        <w:t>万元，</w:t>
      </w:r>
      <w:r>
        <w:rPr>
          <w:rFonts w:hint="eastAsia"/>
          <w:lang w:val="en-US" w:eastAsia="zh-CN"/>
        </w:rPr>
        <w:t>增长5.00</w:t>
      </w:r>
      <w:r>
        <w:rPr>
          <w:rFonts w:hint="eastAsia"/>
        </w:rPr>
        <w:t>万元，</w:t>
      </w:r>
      <w:r>
        <w:rPr>
          <w:rFonts w:hint="eastAsia"/>
          <w:lang w:val="en-US" w:eastAsia="zh-CN"/>
        </w:rPr>
        <w:t>增长8.39%</w:t>
      </w:r>
      <w:r>
        <w:rPr>
          <w:rFonts w:hint="eastAsia"/>
        </w:rPr>
        <w:t>，主要原因是：</w:t>
      </w:r>
      <w:r>
        <w:rPr>
          <w:rFonts w:hint="eastAsia"/>
          <w:highlight w:val="none"/>
        </w:rPr>
        <w:t>2024年度调整基本工资，公积金缴费基数，基础性绩效工资增量调增</w:t>
      </w:r>
      <w:r>
        <w:rPr>
          <w:rFonts w:hint="eastAsia"/>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1.66</w:t>
      </w:r>
      <w:r>
        <w:t>万元</w:t>
      </w:r>
      <w:r>
        <w:rPr>
          <w:rFonts w:hint="eastAsia"/>
          <w:lang w:eastAsia="zh-CN"/>
        </w:rPr>
        <w:t>，</w:t>
      </w:r>
      <w:r>
        <w:rPr>
          <w:rFonts w:hint="eastAsia"/>
        </w:rPr>
        <w:t>占基本支出预算的</w:t>
      </w:r>
      <w:r>
        <w:rPr>
          <w:rFonts w:hint="eastAsia"/>
          <w:lang w:val="en-US" w:eastAsia="zh-CN"/>
        </w:rPr>
        <w:t>2.50%</w:t>
      </w:r>
      <w:r>
        <w:rPr>
          <w:rFonts w:hint="eastAsia"/>
        </w:rPr>
        <w:t>，较2023年度预算数</w:t>
      </w:r>
      <w:r>
        <w:rPr>
          <w:rFonts w:hint="eastAsia"/>
          <w:lang w:val="en-US" w:eastAsia="zh-CN"/>
        </w:rPr>
        <w:t>1.93</w:t>
      </w:r>
      <w:r>
        <w:rPr>
          <w:rFonts w:hint="eastAsia"/>
        </w:rPr>
        <w:t>万元，</w:t>
      </w:r>
      <w:r>
        <w:rPr>
          <w:rFonts w:hint="eastAsia"/>
          <w:lang w:val="en-US" w:eastAsia="zh-CN"/>
        </w:rPr>
        <w:t>减少0.27</w:t>
      </w:r>
      <w:r>
        <w:rPr>
          <w:rFonts w:hint="eastAsia"/>
        </w:rPr>
        <w:t>万元，</w:t>
      </w:r>
      <w:r>
        <w:rPr>
          <w:rFonts w:hint="eastAsia"/>
          <w:lang w:val="en-US" w:eastAsia="zh-CN"/>
        </w:rPr>
        <w:t>减少13.99%</w:t>
      </w:r>
      <w:r>
        <w:rPr>
          <w:rFonts w:hint="eastAsia"/>
        </w:rPr>
        <w:t>，主要原因是：</w:t>
      </w:r>
      <w:r>
        <w:rPr>
          <w:rFonts w:hint="eastAsia"/>
          <w:highlight w:val="none"/>
        </w:rPr>
        <w:t>2024年我部门工会经费预算减半</w:t>
      </w:r>
      <w:r>
        <w:rPr>
          <w:rFonts w:hint="eastAsia"/>
          <w:highlight w:val="none"/>
          <w:lang w:val="en-US" w:eastAsia="zh-CN"/>
        </w:rPr>
        <w:t>。</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27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万元，增长0%，主要原因是</w:t>
      </w:r>
      <w:r>
        <w:rPr>
          <w:rFonts w:hint="eastAsia"/>
          <w:sz w:val="28"/>
          <w:szCs w:val="28"/>
          <w:highlight w:val="none"/>
          <w:lang w:val="en-US" w:eastAsia="zh-CN"/>
        </w:rPr>
        <w:t>2024年我部门无因公出国（境）业务</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2024年我部门无公务接待业务</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2024年我部门无公务用车购置</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2024年我部门无公务用车运行维护费</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2024年我部门无政府性基金预算</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2024年我部门无国有资本经营预算</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1.66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1.93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减少0.27</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下降13.99%</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2024年我部门工会经费预算减半</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主要用于：2024年我部门无政府采购预算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2024年我部门无重点项目预算</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环江毛南族自治县水源镇扶贫站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29"/>
      <w:bookmarkStart w:id="17" w:name="bookmark30"/>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环江毛南族自治县水源镇扶贫站</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66.27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0.70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66.27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7.58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51.61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6.37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66.27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66.27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66.27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66.27</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环江毛南族自治县水源镇扶贫站</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66.27</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66.27</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66.27</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703006</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66.27</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66.27</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66.27</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1"/>
      <w:bookmarkStart w:id="20" w:name="bookmark42"/>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环江毛南族自治县水源镇扶贫站</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66.27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66.27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703006</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66.27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66.27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7.58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7.58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51.61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51.61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6.37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6.37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环江毛南族自治县水源镇扶贫站</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66.27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0.70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66.27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7.58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51.61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6.37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66.27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66.27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66.27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66.27</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环江毛南族自治县水源镇扶贫站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703006</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66.27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66.27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64.61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1.66</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0.70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0.70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7.58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7.58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7.58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51.61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51.61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50.65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0.96</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6.37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6.37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6.37</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6"/>
      <w:bookmarkStart w:id="26" w:name="bookmark58"/>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环江毛南族自治县水源镇扶贫站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66.27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64.61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64.61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64.61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23.23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23.23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9.93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9.93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10.11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10.11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7.58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7.58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环江毛南族自治县水源镇扶贫站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703006</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环江毛南族自治县水源镇扶贫站</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2130104</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事业运行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环江毛南族自治县水源镇扶贫站</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环江毛南族自治县水源镇扶贫站</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6"/>
      <w:bookmarkStart w:id="32" w:name="bookmark94"/>
      <w:bookmarkStart w:id="33" w:name="bookmark95"/>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7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usL3X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281"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dcQj2QAAAAcBAAAPAAAAAAAAAAEAIAAAACIA&#10;AABkcnMvZG93bnJldi54bWxQSwECFAAUAAAACACHTuJACllj0wgCAAAMBAAADgAAAAAAAAABACAA&#10;AAAo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283"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y47dgAAAAHAQAADwAAAAAAAAABACAAAAAi&#10;AAAAZHJzL2Rvd25yZXYueG1sUEsBAhQAFAAAAAgAh07iQAjsU8EKAgAADAQAAA4AAAAAAAAAAQAg&#10;AAAAJw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84"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dKuyL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85"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ryh+v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8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VmG3e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28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Lakx0v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28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GBPcEb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ObULKW2h8Jg2o5NI2IXPd/gQ2lz0tYI0R/pcm0ZKpkyNIU4pcpY4Z5Cg3ik9Hervz8EglpEVQ230eLPqFZ+h0g==" w:salt="yyrWwsEiH+eQbg2fyDTewQ=="/>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MmYwZTNiZDI5Y2Q4YzI1NGE3NmVlMWM4ODU1YTUifQ=="/>
  </w:docVars>
  <w:rsids>
    <w:rsidRoot w:val="00000000"/>
    <w:rsid w:val="07AC40C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66.27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0.7</c:v>
                </c:pt>
                <c:pt idx="1">
                  <c:v>7.58</c:v>
                </c:pt>
                <c:pt idx="2">
                  <c:v>51.61</c:v>
                </c:pt>
                <c:pt idx="3">
                  <c:v>6.37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61.54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66.27</c:v>
                </c:pt>
              </c:numCache>
            </c:numRef>
          </c:val>
        </c:ser>
        <c:ser>
          <c:idx val="2"/>
          <c:order val="2"/>
          <c:tx>
            <c:strRef>
              <c:f>Sheet1!$D$1</c:f>
              <c:strCache>
                <c:ptCount val="1"/>
                <c:pt idx="0">
                  <c:v>MOF_DIV_CODE</c:v>
                </c:pt>
              </c:strCache>
            </c:strRef>
          </c:tx>
          <c:invertIfNegative val="0"/>
          <c:dLbls>
            <c:delete val="1"/>
          </c:dLbls>
          <c:cat>
            <c:strRef>
              <c:f>Sheet1!$A$2</c:f>
              <c:strCache>
                <c:ptCount val="1"/>
                <c:pt idx="0">
                  <c:v>收入</c:v>
                </c:pt>
              </c:strCache>
            </c:strRef>
          </c:cat>
          <c:val>
            <c:numRef>
              <c:f>Sheet1!$D$2</c:f>
              <c:numCache>
                <c:formatCode>General</c:formatCode>
                <c:ptCount val="1"/>
                <c:pt idx="0">
                  <c:v>451226000</c:v>
                </c:pt>
              </c:numCache>
            </c:numRef>
          </c:val>
        </c:ser>
        <c:ser>
          <c:idx val="3"/>
          <c:order val="3"/>
          <c:tx>
            <c:strRef>
              <c:f>Sheet1!$E$1</c:f>
              <c:strCache>
                <c:ptCount val="1"/>
                <c:pt idx="0">
                  <c:v>FISCAL_YEAR</c:v>
                </c:pt>
              </c:strCache>
            </c:strRef>
          </c:tx>
          <c:invertIfNegative val="0"/>
          <c:dLbls>
            <c:delete val="1"/>
          </c:dLbls>
          <c:cat>
            <c:strRef>
              <c:f>Sheet1!$A$2</c:f>
              <c:strCache>
                <c:ptCount val="1"/>
                <c:pt idx="0">
                  <c:v>收入</c:v>
                </c:pt>
              </c:strCache>
            </c:strRef>
          </c:cat>
          <c:val>
            <c:numRef>
              <c:f>Sheet1!$E$2</c:f>
              <c:numCache>
                <c:formatCode>General</c:formatCode>
                <c:ptCount val="1"/>
                <c:pt idx="0">
                  <c:v>2024</c:v>
                </c:pt>
              </c:numCache>
            </c:numRef>
          </c:val>
        </c:ser>
        <c:ser>
          <c:idx val="4"/>
          <c:order val="4"/>
          <c:tx>
            <c:strRef>
              <c:f>Sheet1!$F$1</c:f>
              <c:strCache>
                <c:ptCount val="1"/>
                <c:pt idx="0">
                  <c:v>AGENCY_CODE</c:v>
                </c:pt>
              </c:strCache>
            </c:strRef>
          </c:tx>
          <c:invertIfNegative val="0"/>
          <c:dLbls>
            <c:delete val="1"/>
          </c:dLbls>
          <c:cat>
            <c:strRef>
              <c:f>Sheet1!$A$2</c:f>
              <c:strCache>
                <c:ptCount val="1"/>
                <c:pt idx="0">
                  <c:v>收入</c:v>
                </c:pt>
              </c:strCache>
            </c:strRef>
          </c:cat>
          <c:val>
            <c:numRef>
              <c:f>Sheet1!$F$2</c:f>
              <c:numCache>
                <c:formatCode>General</c:formatCode>
                <c:ptCount val="1"/>
                <c:pt idx="0">
                  <c:v>703006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66.27</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1.66</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64.61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64.61</c:v>
                </c:pt>
                <c:pt idx="1">
                  <c:v>1.66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386B5D24A59040A7ACFCB871E68CC190_13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21</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2024-02-29T02:03:04Z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dcf91-f0eb-41c4-84c3-da578cb50e92}">
  <ds:schemaRefs/>
</ds:datastoreItem>
</file>

<file path=customXml/itemProps3.xml><?xml version="1.0" encoding="utf-8"?>
<ds:datastoreItem xmlns:ds="http://schemas.openxmlformats.org/officeDocument/2006/customXml" ds:itemID="{7ccb293b-0543-4560-b02b-d5e03859565a}">
  <ds:schemaRefs/>
</ds:datastoreItem>
</file>

<file path=customXml/itemProps4.xml><?xml version="1.0" encoding="utf-8"?>
<ds:datastoreItem xmlns:ds="http://schemas.openxmlformats.org/officeDocument/2006/customXml" ds:itemID="{2ab7700f-e833-48be-a355-7ae448a4529d}">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21</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WPS_1598968928</cp:lastModifiedBy>
  <dcterms:modified xsi:type="dcterms:W3CDTF">2024-02-29T13:24:10Z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9B10317EF1444AC8A04F1D541D60FA1A_13</vt:lpwstr>
  </property>
</Properties>
</file>