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r>
        <w:rPr>
          <w:rFonts w:hint="eastAsia"/>
          <w:sz w:val="56"/>
          <w:szCs w:val="56"/>
          <w:lang w:eastAsia="zh-CN"/>
        </w:rPr>
        <w:t>环</w:t>
      </w:r>
      <w:bookmarkStart w:id="43" w:name="_GoBack"/>
      <w:bookmarkEnd w:id="43"/>
      <w:r>
        <w:rPr>
          <w:rFonts w:hint="eastAsia"/>
          <w:sz w:val="56"/>
          <w:szCs w:val="56"/>
          <w:lang w:eastAsia="zh-CN"/>
        </w:rPr>
        <w:t>江毛南族自治县水源镇国土规建环保安监站</w:t>
      </w:r>
    </w:p>
    <w:p>
      <w:pPr>
        <w:pStyle w:val="10"/>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0"/>
      <w:bookmarkStart w:id="1" w:name="bookmark2"/>
      <w:bookmarkStart w:id="2" w:name="bookmark1"/>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环江毛南族自治县水源镇国土规建环保安监站单位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环江毛南族自治县水源镇国土规建环保安监站2024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环江毛南族自治县水源镇国土规建环保安监站2024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4"/>
      <w:bookmarkStart w:id="5" w:name="bookmark12"/>
      <w:r>
        <w:rPr>
          <w:b/>
          <w:bCs/>
          <w:sz w:val="40"/>
          <w:szCs w:val="40"/>
        </w:rPr>
        <w:t>第一部分</w:t>
      </w:r>
      <w:r>
        <w:rPr>
          <w:rFonts w:hint="eastAsia"/>
          <w:b/>
          <w:bCs/>
          <w:sz w:val="40"/>
          <w:szCs w:val="40"/>
          <w:lang w:eastAsia="zh-CN"/>
        </w:rPr>
        <w:t>：</w:t>
      </w:r>
      <w:r>
        <w:rPr>
          <w:b/>
          <w:sz w:val="40"/>
          <w:u w:color="auto"/>
        </w:rPr>
        <w:t>环江毛南族自治县水源镇国土规建环保安监站</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水源镇乡村建设综合服务中心职责:（1）宣传、贯彻执行国家和自治区、河池市和环江毛南族自治县的有关村镇(乡)规划建设管理的法律、法规、规章和政策,拟定本行政区域村镇规划建设具体管理措施。（2）组织编制、实施本行政区域村镇建设的长远规划和年度建设计划;负责本行政区域的村镇规划管理,监督检查规划的实施情况;调解本行政区域因规划建设引发的各类纠纷,受委托查处工程建设过程中违反城乡规划法的行为。（3）负责本行政区域内村镇各项建设活动管理及村镇容貌管理工作;负责村镇各项建设的规划建设审查,依照法定程序报请上一级规划建设行政主管部门核发相关批准文件;参与本行政区域内村镇建设工程质量和安全生产管理工作。（4）完成上级业务部门和镇党委、政府交给的其他工作任务。</w:t>
      </w:r>
    </w:p>
    <w:p>
      <w:pPr>
        <w:pStyle w:val="18"/>
        <w:spacing w:line="623" w:lineRule="exact"/>
        <w:ind w:left="0" w:leftChars="0" w:firstLine="560" w:firstLineChars="200"/>
        <w:jc w:val="left"/>
        <w:rPr>
          <w:rFonts w:hint="default"/>
          <w:highlight w:val="yellow"/>
          <w:lang w:val="en-US" w:eastAsia="zh-CN"/>
        </w:rPr>
      </w:pP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水源镇乡村建设综合服务中心是环江县水源镇人民政府直接管理的相当副科级财政全额拨款事业单位，本部门设有主任、负责人、办事员等三个职能岗位。本部门人员编制总数为13人，其中：行政编制0人，参公编制0人，事业编制13人，工勤编制0人；在职人员总数10人，其中：行政在职0人，参公在职0人，事业在职13人。</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7"/>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环江毛南族自治县水源镇国土规建环保安监站</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139.63</w:t>
      </w:r>
      <w:r>
        <w:rPr>
          <w:rFonts w:hint="eastAsia"/>
          <w:b w:val="0"/>
          <w:bCs w:val="0"/>
          <w:sz w:val="28"/>
          <w:szCs w:val="28"/>
        </w:rPr>
        <w:t>万元，总支出</w:t>
      </w:r>
      <w:r>
        <w:rPr>
          <w:rFonts w:hint="eastAsia"/>
          <w:sz w:val="28"/>
          <w:szCs w:val="28"/>
          <w:lang w:val="en-US" w:eastAsia="zh-CN"/>
        </w:rPr>
        <w:t>139.63</w:t>
      </w:r>
      <w:r>
        <w:rPr>
          <w:rFonts w:hint="eastAsia"/>
          <w:b w:val="0"/>
          <w:bCs w:val="0"/>
          <w:sz w:val="28"/>
          <w:szCs w:val="28"/>
        </w:rPr>
        <w:t>万元。总收入较2023年度预算数</w:t>
      </w:r>
      <w:r>
        <w:rPr>
          <w:rFonts w:hint="eastAsia"/>
          <w:sz w:val="28"/>
          <w:szCs w:val="28"/>
          <w:lang w:val="en-US" w:eastAsia="zh-CN"/>
        </w:rPr>
        <w:t>139.47</w:t>
      </w:r>
      <w:r>
        <w:rPr>
          <w:rFonts w:hint="eastAsia"/>
          <w:b w:val="0"/>
          <w:bCs w:val="0"/>
          <w:sz w:val="28"/>
          <w:szCs w:val="28"/>
        </w:rPr>
        <w:t>万元，</w:t>
      </w:r>
      <w:r>
        <w:rPr>
          <w:rFonts w:hint="eastAsia"/>
          <w:sz w:val="28"/>
          <w:szCs w:val="28"/>
        </w:rPr>
        <w:t>增加0.16</w:t>
      </w:r>
      <w:r>
        <w:rPr>
          <w:rFonts w:hint="eastAsia"/>
          <w:b w:val="0"/>
          <w:bCs w:val="0"/>
          <w:sz w:val="28"/>
          <w:szCs w:val="28"/>
        </w:rPr>
        <w:t>万元，</w:t>
      </w:r>
      <w:r>
        <w:rPr>
          <w:rFonts w:hint="eastAsia"/>
          <w:sz w:val="28"/>
          <w:szCs w:val="28"/>
        </w:rPr>
        <w:t>增长0.11%</w:t>
      </w:r>
      <w:r>
        <w:rPr>
          <w:rFonts w:hint="eastAsia"/>
          <w:b w:val="0"/>
          <w:bCs w:val="0"/>
          <w:sz w:val="28"/>
          <w:szCs w:val="28"/>
        </w:rPr>
        <w:t>，主要原因是</w:t>
      </w:r>
      <w:r>
        <w:rPr>
          <w:rFonts w:hint="eastAsia"/>
          <w:highlight w:val="none"/>
          <w:lang w:val="en-US" w:eastAsia="zh-CN"/>
        </w:rPr>
        <w:t>2024年有新进人员，调整人员工资和基础性绩效工资增量</w:t>
      </w:r>
      <w:r>
        <w:rPr>
          <w:rFonts w:hint="eastAsia"/>
          <w:b w:val="0"/>
          <w:bCs w:val="0"/>
          <w:sz w:val="28"/>
          <w:szCs w:val="28"/>
        </w:rPr>
        <w:t>。总支出较2023年度预算数</w:t>
      </w:r>
      <w:r>
        <w:rPr>
          <w:rFonts w:hint="eastAsia"/>
          <w:sz w:val="28"/>
          <w:szCs w:val="28"/>
          <w:lang w:val="en-US" w:eastAsia="zh-CN"/>
        </w:rPr>
        <w:t>139.47</w:t>
      </w:r>
      <w:r>
        <w:rPr>
          <w:rFonts w:hint="eastAsia"/>
          <w:b w:val="0"/>
          <w:bCs w:val="0"/>
          <w:sz w:val="28"/>
          <w:szCs w:val="28"/>
        </w:rPr>
        <w:t>万元，</w:t>
      </w:r>
      <w:r>
        <w:rPr>
          <w:rFonts w:hint="eastAsia"/>
          <w:sz w:val="28"/>
          <w:szCs w:val="28"/>
        </w:rPr>
        <w:t>增加0.16</w:t>
      </w:r>
      <w:r>
        <w:rPr>
          <w:rFonts w:hint="eastAsia"/>
          <w:b w:val="0"/>
          <w:bCs w:val="0"/>
          <w:sz w:val="28"/>
          <w:szCs w:val="28"/>
        </w:rPr>
        <w:t>万元，</w:t>
      </w:r>
      <w:r>
        <w:rPr>
          <w:rFonts w:hint="eastAsia"/>
          <w:sz w:val="28"/>
          <w:szCs w:val="28"/>
        </w:rPr>
        <w:t>增长0.11%</w:t>
      </w:r>
      <w:r>
        <w:rPr>
          <w:rFonts w:hint="eastAsia"/>
          <w:b w:val="0"/>
          <w:bCs w:val="0"/>
          <w:sz w:val="28"/>
          <w:szCs w:val="28"/>
        </w:rPr>
        <w:t>，主要原因是</w:t>
      </w:r>
      <w:r>
        <w:rPr>
          <w:rFonts w:hint="eastAsia"/>
          <w:highlight w:val="none"/>
          <w:lang w:val="en-US" w:eastAsia="zh-CN"/>
        </w:rPr>
        <w:t>2024年有新进人员，调整人员工资和基础性绩效工资增量</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25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139.63</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139.47</w:t>
      </w:r>
      <w:r>
        <w:rPr>
          <w:rFonts w:hint="eastAsia" w:ascii="宋体" w:hAnsi="宋体" w:eastAsia="宋体" w:cs="宋体"/>
          <w:sz w:val="28"/>
          <w:szCs w:val="28"/>
          <w:u w:color="auto"/>
        </w:rPr>
        <w:t>万元，</w:t>
      </w:r>
      <w:r>
        <w:rPr>
          <w:rFonts w:hint="eastAsia" w:ascii="宋体" w:hAnsi="宋体" w:eastAsia="宋体" w:cs="宋体"/>
          <w:sz w:val="28"/>
          <w:szCs w:val="28"/>
        </w:rPr>
        <w:t>增加0.16</w:t>
      </w:r>
      <w:r>
        <w:rPr>
          <w:rFonts w:hint="eastAsia" w:ascii="宋体" w:hAnsi="宋体" w:eastAsia="宋体" w:cs="宋体"/>
          <w:sz w:val="28"/>
          <w:szCs w:val="28"/>
          <w:u w:color="auto"/>
        </w:rPr>
        <w:t>万元，</w:t>
      </w:r>
      <w:r>
        <w:rPr>
          <w:rFonts w:hint="eastAsia" w:ascii="宋体" w:hAnsi="宋体" w:eastAsia="宋体" w:cs="宋体"/>
          <w:sz w:val="28"/>
          <w:szCs w:val="28"/>
        </w:rPr>
        <w:t>增长0.11%</w:t>
      </w:r>
      <w:r>
        <w:rPr>
          <w:rFonts w:hint="eastAsia" w:ascii="宋体" w:hAnsi="宋体" w:eastAsia="宋体" w:cs="宋体"/>
          <w:sz w:val="28"/>
          <w:szCs w:val="28"/>
          <w:u w:color="auto"/>
        </w:rPr>
        <w:t>，主要原因是</w:t>
      </w:r>
      <w:r>
        <w:rPr>
          <w:rFonts w:hint="eastAsia"/>
          <w:highlight w:val="none"/>
          <w:lang w:val="en-US" w:eastAsia="zh-CN"/>
        </w:rPr>
        <w:t>2024年有新进人员，调整人员工资和基础性绩效工资增量</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325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139.63</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139.47</w:t>
      </w:r>
      <w:r>
        <w:rPr>
          <w:rFonts w:hint="eastAsia" w:ascii="宋体" w:hAnsi="宋体" w:eastAsia="宋体" w:cs="宋体"/>
          <w:sz w:val="28"/>
          <w:szCs w:val="28"/>
          <w:lang w:eastAsia="zh-CN"/>
        </w:rPr>
        <w:t>万元，</w:t>
      </w:r>
      <w:r>
        <w:rPr>
          <w:rFonts w:hint="eastAsia" w:ascii="宋体" w:hAnsi="宋体" w:eastAsia="宋体" w:cs="宋体"/>
          <w:sz w:val="28"/>
          <w:szCs w:val="28"/>
        </w:rPr>
        <w:t>增加0.16</w:t>
      </w:r>
      <w:r>
        <w:rPr>
          <w:rFonts w:hint="eastAsia" w:ascii="宋体" w:hAnsi="宋体" w:eastAsia="宋体" w:cs="宋体"/>
          <w:sz w:val="28"/>
          <w:szCs w:val="28"/>
          <w:lang w:eastAsia="zh-CN"/>
        </w:rPr>
        <w:t>万元，</w:t>
      </w:r>
      <w:r>
        <w:rPr>
          <w:rFonts w:hint="eastAsia" w:ascii="宋体" w:hAnsi="宋体" w:eastAsia="宋体" w:cs="宋体"/>
          <w:sz w:val="28"/>
          <w:szCs w:val="28"/>
        </w:rPr>
        <w:t>增长0.11%</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2024年有新进人员，调整人员工资和基础性绩效工资增量</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新进人员工资、部分人员工资调整和调增基础性绩效工资增量</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1)城乡社区支出</w:t>
      </w:r>
      <w:r>
        <w:rPr>
          <w:rFonts w:hint="eastAsia" w:ascii="宋体" w:hAnsi="宋体" w:eastAsia="宋体" w:cs="宋体"/>
          <w:sz w:val="28"/>
          <w:szCs w:val="28"/>
          <w:lang w:val="en-US" w:eastAsia="zh-CN"/>
        </w:rPr>
        <w:t>107.63</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77.08%</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增长2.01</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增长1.90%</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增加新进人员工资预算、基础性绩效工资增量和部分人员工资调整预算</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2)一般公共服务支出</w:t>
      </w:r>
      <w:r>
        <w:rPr>
          <w:rFonts w:hint="eastAsia" w:ascii="宋体" w:hAnsi="宋体" w:eastAsia="宋体" w:cs="宋体"/>
          <w:sz w:val="28"/>
          <w:szCs w:val="28"/>
          <w:lang w:val="en-US" w:eastAsia="zh-CN"/>
        </w:rPr>
        <w:t>1.31</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0.94%</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减少0.95</w:t>
      </w:r>
      <w:r>
        <w:rPr>
          <w:rFonts w:hint="eastAsia" w:ascii="宋体" w:hAnsi="宋体" w:eastAsia="宋体" w:cs="宋体"/>
          <w:sz w:val="28"/>
          <w:szCs w:val="28"/>
        </w:rPr>
        <w:t>万元，</w:t>
      </w:r>
      <w:r>
        <w:rPr>
          <w:rFonts w:hint="eastAsia" w:ascii="宋体" w:hAnsi="宋体" w:eastAsia="宋体" w:cs="宋体"/>
          <w:sz w:val="28"/>
          <w:szCs w:val="28"/>
          <w:lang w:val="en-US" w:eastAsia="zh-CN"/>
        </w:rPr>
        <w:t>减少42.04%</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2024年我部门工会经费预算减半</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3)住房保障支出</w:t>
      </w:r>
      <w:r>
        <w:rPr>
          <w:rFonts w:hint="eastAsia" w:ascii="宋体" w:hAnsi="宋体" w:eastAsia="宋体" w:cs="宋体"/>
          <w:sz w:val="28"/>
          <w:szCs w:val="28"/>
          <w:lang w:val="en-US" w:eastAsia="zh-CN"/>
        </w:rPr>
        <w:t>14.33</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10.26%</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增长0.79</w:t>
      </w:r>
      <w:r>
        <w:rPr>
          <w:rFonts w:hint="eastAsia" w:ascii="宋体" w:hAnsi="宋体" w:eastAsia="宋体" w:cs="宋体"/>
          <w:sz w:val="28"/>
          <w:szCs w:val="28"/>
        </w:rPr>
        <w:t>万元，</w:t>
      </w:r>
      <w:r>
        <w:rPr>
          <w:rFonts w:hint="eastAsia" w:ascii="宋体" w:hAnsi="宋体" w:eastAsia="宋体" w:cs="宋体"/>
          <w:sz w:val="28"/>
          <w:szCs w:val="28"/>
          <w:lang w:val="en-US" w:eastAsia="zh-CN"/>
        </w:rPr>
        <w:t>增长5.83%</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2024年调整住房公积金缴存基数</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4)社会保障和就业支出</w:t>
      </w:r>
      <w:r>
        <w:rPr>
          <w:rFonts w:hint="eastAsia" w:ascii="宋体" w:hAnsi="宋体" w:eastAsia="宋体" w:cs="宋体"/>
          <w:sz w:val="28"/>
          <w:szCs w:val="28"/>
          <w:lang w:val="en-US" w:eastAsia="zh-CN"/>
        </w:rPr>
        <w:t>16.35</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11.71%</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减少1.70</w:t>
      </w:r>
      <w:r>
        <w:rPr>
          <w:rFonts w:hint="eastAsia" w:ascii="宋体" w:hAnsi="宋体" w:eastAsia="宋体" w:cs="宋体"/>
          <w:sz w:val="28"/>
          <w:szCs w:val="28"/>
        </w:rPr>
        <w:t>万元，</w:t>
      </w:r>
      <w:r>
        <w:rPr>
          <w:rFonts w:hint="eastAsia" w:ascii="宋体" w:hAnsi="宋体" w:eastAsia="宋体" w:cs="宋体"/>
          <w:sz w:val="28"/>
          <w:szCs w:val="28"/>
          <w:lang w:val="en-US" w:eastAsia="zh-CN"/>
        </w:rPr>
        <w:t>减少9.42%</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2024年调整养老保险基数</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139.63</w:t>
      </w:r>
      <w:r>
        <w:rPr>
          <w:rFonts w:hint="eastAsia" w:ascii="宋体" w:hAnsi="宋体" w:eastAsia="宋体" w:cs="宋体"/>
          <w:sz w:val="28"/>
          <w:szCs w:val="28"/>
        </w:rPr>
        <w:t>万元，占支出预算</w:t>
      </w:r>
      <w:r>
        <w:rPr>
          <w:rFonts w:ascii="宋体" w:hAnsi="宋体" w:eastAsia="宋体" w:cs="宋体"/>
          <w:sz w:val="28"/>
          <w:u w:color="auto"/>
        </w:rPr>
        <w:t>100.00%,比上年增长0.16万元，增长0.11%</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135.43</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96.99%</w:t>
      </w:r>
      <w:r>
        <w:rPr>
          <w:rFonts w:hint="eastAsia" w:ascii="宋体" w:hAnsi="宋体" w:eastAsia="宋体" w:cs="宋体"/>
          <w:sz w:val="28"/>
          <w:szCs w:val="28"/>
        </w:rPr>
        <w:t>,比上年</w:t>
      </w:r>
      <w:r>
        <w:rPr>
          <w:rFonts w:ascii="宋体" w:hAnsi="宋体" w:eastAsia="宋体" w:cs="宋体"/>
          <w:sz w:val="28"/>
          <w:u w:color="auto"/>
        </w:rPr>
        <w:t>增长1.10万元，增长0.82%,主要原因是：增加新进人员工资预算、基础性绩效工资增量和部分人员工资调整预算</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4.19</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3.00%</w:t>
      </w:r>
      <w:r>
        <w:rPr>
          <w:rFonts w:hint="eastAsia" w:ascii="宋体" w:hAnsi="宋体" w:eastAsia="宋体" w:cs="宋体"/>
          <w:sz w:val="28"/>
          <w:szCs w:val="28"/>
        </w:rPr>
        <w:t>,比上年</w:t>
      </w:r>
      <w:r>
        <w:rPr>
          <w:rFonts w:ascii="宋体" w:hAnsi="宋体" w:eastAsia="宋体" w:cs="宋体"/>
          <w:sz w:val="28"/>
          <w:u w:color="auto"/>
        </w:rPr>
        <w:t>减少0.95万元，减少18.48%,主要原因是：2024年我部门工会经费预算减半</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0.00</w:t>
      </w:r>
      <w:r>
        <w:rPr>
          <w:rFonts w:hint="eastAsia" w:ascii="宋体" w:hAnsi="宋体" w:eastAsia="宋体" w:cs="宋体"/>
          <w:sz w:val="28"/>
          <w:szCs w:val="28"/>
        </w:rPr>
        <w:t>万元，占支出预算</w:t>
      </w:r>
      <w:r>
        <w:rPr>
          <w:rFonts w:ascii="宋体" w:hAnsi="宋体" w:eastAsia="宋体" w:cs="宋体"/>
          <w:sz w:val="28"/>
          <w:u w:color="auto"/>
        </w:rPr>
        <w:t>0.00%</w:t>
      </w:r>
      <w:r>
        <w:rPr>
          <w:rFonts w:hint="eastAsia" w:ascii="宋体" w:hAnsi="宋体" w:eastAsia="宋体" w:cs="宋体"/>
          <w:sz w:val="28"/>
          <w:szCs w:val="28"/>
        </w:rPr>
        <w:t>,比上年</w:t>
      </w:r>
      <w:r>
        <w:rPr>
          <w:rFonts w:ascii="宋体" w:hAnsi="宋体" w:eastAsia="宋体" w:cs="宋体"/>
          <w:sz w:val="28"/>
          <w:u w:color="auto"/>
        </w:rPr>
        <w:t>增长0.00</w:t>
      </w:r>
      <w:r>
        <w:rPr>
          <w:rFonts w:hint="eastAsia" w:ascii="宋体" w:hAnsi="宋体" w:eastAsia="宋体" w:cs="宋体"/>
          <w:sz w:val="28"/>
          <w:szCs w:val="28"/>
        </w:rPr>
        <w:t>万元，</w:t>
      </w:r>
      <w:r>
        <w:rPr>
          <w:rFonts w:ascii="宋体" w:hAnsi="宋体" w:eastAsia="宋体" w:cs="宋体"/>
          <w:sz w:val="28"/>
          <w:u w:color="auto"/>
        </w:rPr>
        <w:t>增长0%</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26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139.63</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139.63</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139.47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增加0.16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增长0.11%</w:t>
      </w:r>
      <w:r>
        <w:rPr>
          <w:rFonts w:hint="eastAsia" w:ascii="宋体" w:hAnsi="宋体" w:eastAsia="宋体" w:cs="宋体"/>
          <w:sz w:val="28"/>
          <w:szCs w:val="28"/>
        </w:rPr>
        <w:t>，主要原因是</w:t>
      </w:r>
      <w:r>
        <w:rPr>
          <w:rFonts w:hint="eastAsia"/>
          <w:highlight w:val="none"/>
          <w:lang w:val="en-US" w:eastAsia="zh-CN"/>
        </w:rPr>
        <w:t>增加新进人员工资预算、基础性绩效工资增量和部分人员工资调整预算收入</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139.47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增加0.16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增长0.11%</w:t>
      </w:r>
      <w:r>
        <w:rPr>
          <w:rFonts w:hint="eastAsia" w:ascii="宋体" w:hAnsi="宋体" w:eastAsia="宋体" w:cs="宋体"/>
          <w:sz w:val="28"/>
          <w:szCs w:val="28"/>
        </w:rPr>
        <w:t>，主要原因是</w:t>
      </w:r>
      <w:r>
        <w:rPr>
          <w:rFonts w:hint="eastAsia"/>
          <w:highlight w:val="none"/>
          <w:lang w:val="en-US" w:eastAsia="zh-CN"/>
        </w:rPr>
        <w:t>增加新进人员工资预算、基础性绩效工资增量和部分人员工资调整预算支出</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326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139.63</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139.47</w:t>
      </w:r>
      <w:r>
        <w:rPr>
          <w:rFonts w:hint="eastAsia" w:ascii="宋体" w:hAnsi="宋体" w:eastAsia="宋体" w:cs="宋体"/>
          <w:sz w:val="28"/>
          <w:szCs w:val="28"/>
        </w:rPr>
        <w:t>万元，</w:t>
      </w:r>
      <w:r>
        <w:rPr>
          <w:rFonts w:hint="eastAsia" w:ascii="宋体" w:hAnsi="宋体" w:eastAsia="宋体" w:cs="宋体"/>
          <w:sz w:val="28"/>
          <w:szCs w:val="28"/>
          <w:lang w:val="en-US" w:eastAsia="zh-CN"/>
        </w:rPr>
        <w:t>增加0.16</w:t>
      </w:r>
      <w:r>
        <w:rPr>
          <w:rFonts w:hint="eastAsia" w:ascii="宋体" w:hAnsi="宋体" w:eastAsia="宋体" w:cs="宋体"/>
          <w:sz w:val="28"/>
          <w:szCs w:val="28"/>
        </w:rPr>
        <w:t>万元，</w:t>
      </w:r>
      <w:r>
        <w:rPr>
          <w:rFonts w:hint="eastAsia" w:ascii="宋体" w:hAnsi="宋体" w:eastAsia="宋体" w:cs="宋体"/>
          <w:sz w:val="28"/>
          <w:szCs w:val="28"/>
          <w:lang w:val="en-US" w:eastAsia="zh-CN"/>
        </w:rPr>
        <w:t>增长0.11%</w:t>
      </w:r>
      <w:r>
        <w:rPr>
          <w:rFonts w:hint="eastAsia" w:ascii="宋体" w:hAnsi="宋体" w:eastAsia="宋体" w:cs="宋体"/>
          <w:sz w:val="28"/>
          <w:szCs w:val="28"/>
        </w:rPr>
        <w:t>，主要原因是</w:t>
      </w:r>
      <w:r>
        <w:rPr>
          <w:rFonts w:hint="eastAsia"/>
          <w:highlight w:val="none"/>
          <w:lang w:val="en-US" w:eastAsia="zh-CN"/>
        </w:rPr>
        <w:t>增加新进人员工资预算、基础性绩效工资增量和部分人员工资调整预算支出</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1.31</w:t>
      </w:r>
      <w:r>
        <w:rPr>
          <w:rFonts w:hint="eastAsia" w:ascii="宋体" w:hAnsi="宋体" w:eastAsia="宋体" w:cs="宋体"/>
          <w:sz w:val="28"/>
          <w:szCs w:val="28"/>
        </w:rPr>
        <w:t>万元，占支出总预算的</w:t>
      </w:r>
      <w:r>
        <w:rPr>
          <w:rFonts w:ascii="宋体" w:hAnsi="宋体" w:eastAsia="宋体" w:cs="宋体"/>
          <w:sz w:val="28"/>
          <w:u w:color="auto"/>
        </w:rPr>
        <w:t>0.94%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2.26</w:t>
      </w:r>
      <w:r>
        <w:rPr>
          <w:rFonts w:hint="eastAsia" w:ascii="宋体" w:hAnsi="宋体" w:eastAsia="宋体" w:cs="宋体"/>
          <w:sz w:val="28"/>
          <w:szCs w:val="28"/>
        </w:rPr>
        <w:t>万元，</w:t>
      </w:r>
      <w:r>
        <w:rPr>
          <w:rFonts w:ascii="宋体" w:hAnsi="宋体" w:eastAsia="宋体" w:cs="宋体"/>
          <w:sz w:val="28"/>
          <w:u w:color="auto"/>
        </w:rPr>
        <w:t>减少0.95</w:t>
      </w:r>
      <w:r>
        <w:rPr>
          <w:rFonts w:hint="eastAsia" w:ascii="宋体" w:hAnsi="宋体" w:eastAsia="宋体" w:cs="宋体"/>
          <w:sz w:val="28"/>
          <w:szCs w:val="28"/>
        </w:rPr>
        <w:t>万元，</w:t>
      </w:r>
      <w:r>
        <w:rPr>
          <w:rFonts w:ascii="宋体" w:hAnsi="宋体" w:eastAsia="宋体" w:cs="宋体"/>
          <w:sz w:val="28"/>
          <w:u w:color="auto"/>
        </w:rPr>
        <w:t>减少42.04%</w:t>
      </w:r>
      <w:r>
        <w:rPr>
          <w:rFonts w:hint="eastAsia" w:ascii="宋体" w:hAnsi="宋体" w:eastAsia="宋体" w:cs="宋体"/>
          <w:sz w:val="28"/>
          <w:szCs w:val="28"/>
        </w:rPr>
        <w:t>，主要原因是：</w:t>
      </w:r>
      <w:r>
        <w:rPr>
          <w:rFonts w:hint="eastAsia"/>
          <w:highlight w:val="none"/>
        </w:rPr>
        <w:t>2024年我部门工会经费预算减半</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14.33</w:t>
      </w:r>
      <w:r>
        <w:rPr>
          <w:rFonts w:hint="eastAsia" w:ascii="宋体" w:hAnsi="宋体" w:eastAsia="宋体" w:cs="宋体"/>
          <w:sz w:val="28"/>
          <w:szCs w:val="28"/>
        </w:rPr>
        <w:t>万元，占支出总预算的</w:t>
      </w:r>
      <w:r>
        <w:rPr>
          <w:rFonts w:ascii="宋体" w:hAnsi="宋体" w:eastAsia="宋体" w:cs="宋体"/>
          <w:sz w:val="28"/>
          <w:u w:color="auto"/>
        </w:rPr>
        <w:t>10.26%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13.54</w:t>
      </w:r>
      <w:r>
        <w:rPr>
          <w:rFonts w:hint="eastAsia" w:ascii="宋体" w:hAnsi="宋体" w:eastAsia="宋体" w:cs="宋体"/>
          <w:sz w:val="28"/>
          <w:szCs w:val="28"/>
        </w:rPr>
        <w:t>万元，</w:t>
      </w:r>
      <w:r>
        <w:rPr>
          <w:rFonts w:ascii="宋体" w:hAnsi="宋体" w:eastAsia="宋体" w:cs="宋体"/>
          <w:sz w:val="28"/>
          <w:u w:color="auto"/>
        </w:rPr>
        <w:t>增长0.79</w:t>
      </w:r>
      <w:r>
        <w:rPr>
          <w:rFonts w:hint="eastAsia" w:ascii="宋体" w:hAnsi="宋体" w:eastAsia="宋体" w:cs="宋体"/>
          <w:sz w:val="28"/>
          <w:szCs w:val="28"/>
        </w:rPr>
        <w:t>万元，</w:t>
      </w:r>
      <w:r>
        <w:rPr>
          <w:rFonts w:ascii="宋体" w:hAnsi="宋体" w:eastAsia="宋体" w:cs="宋体"/>
          <w:sz w:val="28"/>
          <w:u w:color="auto"/>
        </w:rPr>
        <w:t>增长5.83%</w:t>
      </w:r>
      <w:r>
        <w:rPr>
          <w:rFonts w:hint="eastAsia" w:ascii="宋体" w:hAnsi="宋体" w:eastAsia="宋体" w:cs="宋体"/>
          <w:sz w:val="28"/>
          <w:szCs w:val="28"/>
        </w:rPr>
        <w:t>，主要原因是：</w:t>
      </w:r>
      <w:r>
        <w:rPr>
          <w:rFonts w:hint="eastAsia"/>
          <w:highlight w:val="none"/>
        </w:rPr>
        <w:t>2024年调整住房公积金缴存基数</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城乡社区支出（类）支出</w:t>
      </w:r>
      <w:r>
        <w:rPr>
          <w:rFonts w:ascii="宋体" w:hAnsi="宋体" w:eastAsia="宋体" w:cs="宋体"/>
          <w:sz w:val="28"/>
          <w:u w:color="auto"/>
        </w:rPr>
        <w:t>107.63</w:t>
      </w:r>
      <w:r>
        <w:rPr>
          <w:rFonts w:hint="eastAsia" w:ascii="宋体" w:hAnsi="宋体" w:eastAsia="宋体" w:cs="宋体"/>
          <w:sz w:val="28"/>
          <w:szCs w:val="28"/>
        </w:rPr>
        <w:t>万元，占支出总预算的</w:t>
      </w:r>
      <w:r>
        <w:rPr>
          <w:rFonts w:ascii="宋体" w:hAnsi="宋体" w:eastAsia="宋体" w:cs="宋体"/>
          <w:sz w:val="28"/>
          <w:u w:color="auto"/>
        </w:rPr>
        <w:t>77.08%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105.62</w:t>
      </w:r>
      <w:r>
        <w:rPr>
          <w:rFonts w:hint="eastAsia" w:ascii="宋体" w:hAnsi="宋体" w:eastAsia="宋体" w:cs="宋体"/>
          <w:sz w:val="28"/>
          <w:szCs w:val="28"/>
        </w:rPr>
        <w:t>万元，</w:t>
      </w:r>
      <w:r>
        <w:rPr>
          <w:rFonts w:ascii="宋体" w:hAnsi="宋体" w:eastAsia="宋体" w:cs="宋体"/>
          <w:sz w:val="28"/>
          <w:u w:color="auto"/>
        </w:rPr>
        <w:t>增长2.01</w:t>
      </w:r>
      <w:r>
        <w:rPr>
          <w:rFonts w:hint="eastAsia" w:ascii="宋体" w:hAnsi="宋体" w:eastAsia="宋体" w:cs="宋体"/>
          <w:sz w:val="28"/>
          <w:szCs w:val="28"/>
        </w:rPr>
        <w:t>万元，</w:t>
      </w:r>
      <w:r>
        <w:rPr>
          <w:rFonts w:ascii="宋体" w:hAnsi="宋体" w:eastAsia="宋体" w:cs="宋体"/>
          <w:sz w:val="28"/>
          <w:u w:color="auto"/>
        </w:rPr>
        <w:t>增长1.90%</w:t>
      </w:r>
      <w:r>
        <w:rPr>
          <w:rFonts w:hint="eastAsia" w:ascii="宋体" w:hAnsi="宋体" w:eastAsia="宋体" w:cs="宋体"/>
          <w:sz w:val="28"/>
          <w:szCs w:val="28"/>
        </w:rPr>
        <w:t>，主要原因是：</w:t>
      </w:r>
      <w:r>
        <w:rPr>
          <w:rFonts w:hint="eastAsia"/>
          <w:highlight w:val="none"/>
        </w:rPr>
        <w:t>增加新进人员工资预算、基础性绩效工资增量和部分人员工资调整预算支出</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16.35</w:t>
      </w:r>
      <w:r>
        <w:rPr>
          <w:rFonts w:hint="eastAsia" w:ascii="宋体" w:hAnsi="宋体" w:eastAsia="宋体" w:cs="宋体"/>
          <w:sz w:val="28"/>
          <w:szCs w:val="28"/>
        </w:rPr>
        <w:t>万元，占支出总预算的</w:t>
      </w:r>
      <w:r>
        <w:rPr>
          <w:rFonts w:ascii="宋体" w:hAnsi="宋体" w:eastAsia="宋体" w:cs="宋体"/>
          <w:sz w:val="28"/>
          <w:u w:color="auto"/>
        </w:rPr>
        <w:t>11.71%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18.05</w:t>
      </w:r>
      <w:r>
        <w:rPr>
          <w:rFonts w:hint="eastAsia" w:ascii="宋体" w:hAnsi="宋体" w:eastAsia="宋体" w:cs="宋体"/>
          <w:sz w:val="28"/>
          <w:szCs w:val="28"/>
        </w:rPr>
        <w:t>万元，</w:t>
      </w:r>
      <w:r>
        <w:rPr>
          <w:rFonts w:ascii="宋体" w:hAnsi="宋体" w:eastAsia="宋体" w:cs="宋体"/>
          <w:sz w:val="28"/>
          <w:u w:color="auto"/>
        </w:rPr>
        <w:t>减少1.70</w:t>
      </w:r>
      <w:r>
        <w:rPr>
          <w:rFonts w:hint="eastAsia" w:ascii="宋体" w:hAnsi="宋体" w:eastAsia="宋体" w:cs="宋体"/>
          <w:sz w:val="28"/>
          <w:szCs w:val="28"/>
        </w:rPr>
        <w:t>万元，</w:t>
      </w:r>
      <w:r>
        <w:rPr>
          <w:rFonts w:ascii="宋体" w:hAnsi="宋体" w:eastAsia="宋体" w:cs="宋体"/>
          <w:sz w:val="28"/>
          <w:u w:color="auto"/>
        </w:rPr>
        <w:t>减少9.42%</w:t>
      </w:r>
      <w:r>
        <w:rPr>
          <w:rFonts w:hint="eastAsia" w:ascii="宋体" w:hAnsi="宋体" w:eastAsia="宋体" w:cs="宋体"/>
          <w:sz w:val="28"/>
          <w:szCs w:val="28"/>
        </w:rPr>
        <w:t>，主要原因是：</w:t>
      </w:r>
      <w:r>
        <w:rPr>
          <w:rFonts w:hint="eastAsia"/>
          <w:highlight w:val="none"/>
        </w:rPr>
        <w:t>2024年调整养老保险缴存基数</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26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139.63</w:t>
      </w:r>
      <w:r>
        <w:rPr>
          <w:rFonts w:hint="eastAsia"/>
        </w:rPr>
        <w:t>万元，较2023年度预算数</w:t>
      </w:r>
      <w:r>
        <w:rPr>
          <w:rFonts w:hint="eastAsia"/>
          <w:lang w:val="en-US" w:eastAsia="zh-CN"/>
        </w:rPr>
        <w:t>139.47</w:t>
      </w:r>
      <w:r>
        <w:rPr>
          <w:rFonts w:hint="eastAsia"/>
        </w:rPr>
        <w:t>万元</w:t>
      </w:r>
      <w:r>
        <w:rPr>
          <w:rFonts w:hint="eastAsia"/>
          <w:lang w:val="en-US" w:eastAsia="zh-CN"/>
        </w:rPr>
        <w:t>,</w:t>
      </w:r>
      <w:r>
        <w:rPr>
          <w:u w:color="auto"/>
        </w:rPr>
        <w:t>增加0.16</w:t>
      </w:r>
      <w:r>
        <w:rPr>
          <w:rFonts w:hint="eastAsia"/>
        </w:rPr>
        <w:t>万元，</w:t>
      </w:r>
      <w:r>
        <w:rPr>
          <w:rFonts w:hint="eastAsia"/>
          <w:lang w:val="en-US" w:eastAsia="zh-CN"/>
        </w:rPr>
        <w:t>增长0.11%</w:t>
      </w:r>
      <w:r>
        <w:rPr>
          <w:rFonts w:hint="eastAsia"/>
        </w:rPr>
        <w:t>，主要原因是</w:t>
      </w:r>
      <w:r>
        <w:rPr>
          <w:rFonts w:hint="eastAsia"/>
          <w:highlight w:val="none"/>
          <w:lang w:val="en-US" w:eastAsia="zh-CN"/>
        </w:rPr>
        <w:t>增加新进人员工资预算、基础性绩效工资增量和部分人员工资调整预算支出</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135.43</w:t>
      </w:r>
      <w:r>
        <w:t>万元</w:t>
      </w:r>
      <w:r>
        <w:rPr>
          <w:rFonts w:hint="eastAsia"/>
          <w:lang w:eastAsia="zh-CN"/>
        </w:rPr>
        <w:t>，</w:t>
      </w:r>
      <w:r>
        <w:rPr>
          <w:rFonts w:hint="eastAsia"/>
        </w:rPr>
        <w:t>占基本支出预算的</w:t>
      </w:r>
      <w:r>
        <w:rPr>
          <w:rFonts w:hint="eastAsia"/>
          <w:lang w:val="en-US" w:eastAsia="zh-CN"/>
        </w:rPr>
        <w:t>96.99%</w:t>
      </w:r>
      <w:r>
        <w:rPr>
          <w:rFonts w:hint="eastAsia"/>
        </w:rPr>
        <w:t>，较2023年度预算数</w:t>
      </w:r>
      <w:r>
        <w:rPr>
          <w:rFonts w:hint="eastAsia"/>
          <w:lang w:val="en-US" w:eastAsia="zh-CN"/>
        </w:rPr>
        <w:t>134.33</w:t>
      </w:r>
      <w:r>
        <w:rPr>
          <w:rFonts w:hint="eastAsia"/>
        </w:rPr>
        <w:t>万元，</w:t>
      </w:r>
      <w:r>
        <w:rPr>
          <w:rFonts w:hint="eastAsia"/>
          <w:lang w:val="en-US" w:eastAsia="zh-CN"/>
        </w:rPr>
        <w:t>增长1.10</w:t>
      </w:r>
      <w:r>
        <w:rPr>
          <w:rFonts w:hint="eastAsia"/>
        </w:rPr>
        <w:t>万元，</w:t>
      </w:r>
      <w:r>
        <w:rPr>
          <w:rFonts w:hint="eastAsia"/>
          <w:lang w:val="en-US" w:eastAsia="zh-CN"/>
        </w:rPr>
        <w:t>增长0.82%</w:t>
      </w:r>
      <w:r>
        <w:rPr>
          <w:rFonts w:hint="eastAsia"/>
        </w:rPr>
        <w:t>，主要原因是：</w:t>
      </w:r>
      <w:r>
        <w:rPr>
          <w:rFonts w:hint="eastAsia"/>
          <w:highlight w:val="none"/>
        </w:rPr>
        <w:t>增加新进人员工资预算、基础性绩效工资增量和部分人员工资调整预算支出</w:t>
      </w:r>
      <w:r>
        <w:rPr>
          <w:rFonts w:hint="eastAsia"/>
          <w:highlight w:val="no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4.19</w:t>
      </w:r>
      <w:r>
        <w:t>万元</w:t>
      </w:r>
      <w:r>
        <w:rPr>
          <w:rFonts w:hint="eastAsia"/>
          <w:lang w:eastAsia="zh-CN"/>
        </w:rPr>
        <w:t>，</w:t>
      </w:r>
      <w:r>
        <w:rPr>
          <w:rFonts w:hint="eastAsia"/>
        </w:rPr>
        <w:t>占基本支出预算的</w:t>
      </w:r>
      <w:r>
        <w:rPr>
          <w:rFonts w:hint="eastAsia"/>
          <w:lang w:val="en-US" w:eastAsia="zh-CN"/>
        </w:rPr>
        <w:t>3.00%</w:t>
      </w:r>
      <w:r>
        <w:rPr>
          <w:rFonts w:hint="eastAsia"/>
        </w:rPr>
        <w:t>，较2023年度预算数</w:t>
      </w:r>
      <w:r>
        <w:rPr>
          <w:rFonts w:hint="eastAsia"/>
          <w:lang w:val="en-US" w:eastAsia="zh-CN"/>
        </w:rPr>
        <w:t>5.14</w:t>
      </w:r>
      <w:r>
        <w:rPr>
          <w:rFonts w:hint="eastAsia"/>
        </w:rPr>
        <w:t>万元，</w:t>
      </w:r>
      <w:r>
        <w:rPr>
          <w:rFonts w:hint="eastAsia"/>
          <w:lang w:val="en-US" w:eastAsia="zh-CN"/>
        </w:rPr>
        <w:t>减少0.95</w:t>
      </w:r>
      <w:r>
        <w:rPr>
          <w:rFonts w:hint="eastAsia"/>
        </w:rPr>
        <w:t>万元，</w:t>
      </w:r>
      <w:r>
        <w:rPr>
          <w:rFonts w:hint="eastAsia"/>
          <w:lang w:val="en-US" w:eastAsia="zh-CN"/>
        </w:rPr>
        <w:t>减少18.48%</w:t>
      </w:r>
      <w:r>
        <w:rPr>
          <w:rFonts w:hint="eastAsia"/>
        </w:rPr>
        <w:t>，主要原因是：</w:t>
      </w:r>
      <w:r>
        <w:rPr>
          <w:rFonts w:hint="eastAsia"/>
          <w:highlight w:val="none"/>
        </w:rPr>
        <w:t>2024年我部门工会经费预算减半</w:t>
      </w:r>
      <w:r>
        <w:rPr>
          <w:rFonts w:hint="eastAsia"/>
          <w:highlight w:val="none"/>
          <w:lang w:val="en-US" w:eastAsia="zh-CN"/>
        </w:rPr>
        <w:t>。</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26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2024年我部门无因公出国（境）业务</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2024年我部门无公务接待</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2024年我部门无公务用车购置</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2024年我部门无公务用车运行维护支出</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2024年我部门无政府性基金预算</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2024年我部门无国有资本经营预算</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4.19</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5.14</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减少0.95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下降18.48%</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2024年我部门工会经费预算减半</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主要用于：0</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0</w:t>
      </w:r>
      <w:r>
        <w:rPr>
          <w:rFonts w:hint="eastAsia" w:ascii="宋体" w:hAnsi="宋体" w:eastAsia="宋体" w:cs="宋体"/>
          <w:sz w:val="28"/>
          <w:szCs w:val="28"/>
          <w:lang w:eastAsia="zh-CN"/>
        </w:rPr>
        <w:t>个，预算资金</w:t>
      </w:r>
      <w:r>
        <w:rPr>
          <w:rFonts w:hint="eastAsia"/>
          <w:sz w:val="28"/>
          <w:szCs w:val="28"/>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2024年我部门无重点项目</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环江毛南族自治县水源镇国土规建环保安监站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1"/>
      <w:bookmarkStart w:id="17" w:name="bookmark29"/>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环江毛南族自治县水源镇国土规建环保安监站</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139.63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139.63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16.35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107.63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14.33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139.63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139.63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139.63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139.63</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环江毛南族自治县水源镇国土规建环保安监站</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宋体"/>
                <w:vertAlign w:val="baseline"/>
                <w:lang w:val="en-US" w:eastAsia="zh-CN"/>
              </w:rPr>
            </w:pPr>
          </w:p>
        </w:tc>
        <w:tc>
          <w:tcPr>
            <w:tcW w:w="926"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703009</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环江毛南族自治县水源镇国土规建环保安监站</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139.63</w:t>
            </w:r>
          </w:p>
        </w:tc>
        <w:tc>
          <w:tcPr>
            <w:tcW w:w="926"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139.63</w:t>
            </w:r>
          </w:p>
        </w:tc>
        <w:tc>
          <w:tcPr>
            <w:tcW w:w="909"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139.63</w:t>
            </w:r>
          </w:p>
        </w:tc>
        <w:tc>
          <w:tcPr>
            <w:tcW w:w="968"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1"/>
      <w:bookmarkStart w:id="20" w:name="bookmark43"/>
      <w:bookmarkStart w:id="21" w:name="bookmark42"/>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环江毛南族自治县水源镇国土规建环保安监站</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139.63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139.63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703009</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139.63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139.63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16.35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16.35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2129999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其他城乡社区支出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107.63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107.63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14.33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14.33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4"/>
      <w:bookmarkStart w:id="23" w:name="bookmark45"/>
      <w:bookmarkStart w:id="24" w:name="bookmark46"/>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环江毛南族自治县水源镇国土规建环保安监站</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139.63</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139.63</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16.35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107.63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14.33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139.63</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139.63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139.63</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139.63</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602"/>
        <w:gridCol w:w="1576"/>
        <w:gridCol w:w="1744"/>
        <w:gridCol w:w="2050"/>
        <w:gridCol w:w="1804"/>
        <w:gridCol w:w="1706"/>
        <w:gridCol w:w="71"/>
        <w:gridCol w:w="1677"/>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环江毛南族自治县水源镇国土规建环保安监站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703009</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139.63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139.62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135.43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4.19</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1.31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1.31</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1.31</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16.35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16.35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16.35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2129999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其他城乡社区支出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107.63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107.63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104.75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2.88</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14.33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14.33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14.33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6"/>
      <w:bookmarkStart w:id="26" w:name="bookmark57"/>
      <w:bookmarkStart w:id="27" w:name="bookmark58"/>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环江毛南族自治县水源镇国土规建环保安监站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139.62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135.43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135.43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135.43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41.18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41.18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9.85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9.85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25.36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25.36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21.10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21.10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16.35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16.35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6.54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6.54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14.33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14.33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2.88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环江毛南族自治县水源镇国土规建环保安监站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703009</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环江毛南族自治县水源镇国土规建环保安监站</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2129999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其他城乡社区支出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环江毛南族自治县水源镇国土规建环保安监站</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环江毛南族自治县水源镇国土规建环保安监站</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6"/>
      <w:bookmarkStart w:id="32" w:name="bookmark94"/>
      <w:bookmarkStart w:id="33" w:name="bookmark95"/>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5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5rOdr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265"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11xCPZAAAABwEAAA8AAAAAAAAAAQAgAAAA&#10;IgAAAGRycy9kb3ducmV2LnhtbFBLAQIUABQAAAAIAIdO4kAb1aMLCgIAAAwEAAAOAAAAAAAAAAEA&#10;IAAAACgBAABkcnMvZTJvRG9jLnhtbFBLBQYAAAAABgAGAFkBAACkBQ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267"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0y47dgAAAAHAQAADwAAAAAAAAABACAAAAAi&#10;AAAAZHJzL2Rvd25yZXYueG1sUEsBAhQAFAAAAAgAh07iQBlgkxkKAgAADAQAAA4AAAAAAAAAAQAg&#10;AAAAJw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68"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d3yxE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69"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dblS0AAAAAUBAAAPAAAAAAAAAAEAIAAAACIAAABkcnMvZG93bnJl&#10;di54bWxQSwECFAAUAAAACACHTuJA7si0NAUCAAANBAAADgAAAAAAAAABACAAAAAfAQAAZHJzL2Uy&#10;b0RvYy54bWxQSwUGAAAAAAYABgBZAQAAl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70"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3FSp4EAgAADQQAAA4AAABkcnMvZTJvRG9jLnhtbK1TwY7TMBC9I/EP&#10;lu80bZGgip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l/PXZIoTlnp+/vb1/P3n&#10;+ccXNpsnizofSsq891scd4Fg0ts3aNOXlLA+23q62qr6yCQFZ4v5YjElcklnlw3xFA+/ewzxnQLL&#10;Eqg4Ut+yneJ4G+KQeklJtznYaGMoLkrj/ggQZ4oUqeKhxoRiv+vHwndQn0gxwjAKwcuNpjtvRYhb&#10;gdR7qpNeR7yjpTHQVRxGxFkL+Plf8ZRPLaFTzjqapYo7ejqcmfeOWkWE8QLwAnYX4A72LdBwzjjD&#10;aDKkH4STRFfxyNnBo963udqkNPg3h0jysytJ2yBolExTkn0dJzqN4e/7nPXwil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9xUqe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26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AH2gj6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26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DRMb/3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dit="readOnly" w:enforcement="1" w:cryptProviderType="rsaAES" w:cryptAlgorithmClass="hash" w:cryptAlgorithmType="typeAny" w:cryptAlgorithmSid="14" w:cryptSpinCount="100000" w:hash="PzLUZGEzyO5zhnGLhDZ71R8Qx37ghZpGCCRnIGusUK+SiG/uJlranIU/1Xm54zyzhVW1jpviBNxo24Na1+Y1jw==" w:salt="gZumD9fCOQfjFPDbqXjP8A=="/>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4E434E5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139.63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城乡社区支出</c:v>
                </c:pt>
                <c:pt idx="3">
                  <c:v>住房保障支出</c:v>
                </c:pt>
              </c:strCache>
            </c:strRef>
          </c:cat>
          <c:val>
            <c:numRef>
              <c:f>Sheet1!$B$2:$B$5</c:f>
              <c:numCache>
                <c:formatCode>General</c:formatCode>
                <c:ptCount val="4"/>
                <c:pt idx="0">
                  <c:v>1.31</c:v>
                </c:pt>
                <c:pt idx="1">
                  <c:v>16.35</c:v>
                </c:pt>
                <c:pt idx="2">
                  <c:v>107.63</c:v>
                </c:pt>
                <c:pt idx="3">
                  <c:v>14.33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139.47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139.63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139.63</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4.19</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135.43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135.43</c:v>
                </c:pt>
                <c:pt idx="1">
                  <c:v>4.19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21347EF5C0FE487782B835694F4A0AB2_13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8</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2024-02-29T07:46:33Z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d27cd-fc20-4e65-ad51-f07fd4ea2be2}">
  <ds:schemaRefs/>
</ds:datastoreItem>
</file>

<file path=customXml/itemProps3.xml><?xml version="1.0" encoding="utf-8"?>
<ds:datastoreItem xmlns:ds="http://schemas.openxmlformats.org/officeDocument/2006/customXml" ds:itemID="{90118c9b-a735-433e-a4ba-063451fa54d4}">
  <ds:schemaRefs/>
</ds:datastoreItem>
</file>

<file path=customXml/itemProps4.xml><?xml version="1.0" encoding="utf-8"?>
<ds:datastoreItem xmlns:ds="http://schemas.openxmlformats.org/officeDocument/2006/customXml" ds:itemID="{1a70f6a2-f2bc-4b14-a2af-0e6a32d1cbb3}">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12</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Administrator</cp:lastModifiedBy>
  <dcterms:modified xsi:type="dcterms:W3CDTF">2024-02-29T09:14:13Z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FDFE56581B554D5E8080CC7C36320DF9</vt:lpwstr>
  </property>
</Properties>
</file>