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环江毛南族自治县红茂矿区管理处</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环江毛南族自治县红茂矿区管理处</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环江毛南族自治县红茂矿区管理处</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环江毛南族自治县红茂矿区管理处</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环江毛南族自治县红茂矿区管理处</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维护矿区社会稳定，完成土地权属边界线调整，办理经济适用房不动产权证。开展社会保障工作，入户宣传城乡居民医疗保障政策及城乡养老保险政策。做好红茂矿区日常社会事务管理，完善基础设施建设及维护。</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独立编制机构共1个，独立核算机构共1个。</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环江毛南族自治县红茂矿区管理处</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289.50</w:t>
      </w:r>
      <w:r>
        <w:rPr>
          <w:rFonts w:hint="eastAsia"/>
          <w:b w:val="0"/>
          <w:bCs w:val="0"/>
          <w:sz w:val="28"/>
          <w:szCs w:val="28"/>
        </w:rPr>
        <w:t xml:space="preserve">万元，总支出</w:t>
      </w:r>
      <w:r>
        <w:rPr>
          <w:rFonts w:hint="eastAsia"/>
          <w:sz w:val="28"/>
          <w:szCs w:val="28"/>
          <w:lang w:val="en-US" w:eastAsia="zh-CN"/>
        </w:rPr>
        <w:t xml:space="preserve">289.50</w:t>
      </w:r>
      <w:r>
        <w:rPr>
          <w:rFonts w:hint="eastAsia"/>
          <w:b w:val="0"/>
          <w:bCs w:val="0"/>
          <w:sz w:val="28"/>
          <w:szCs w:val="28"/>
        </w:rPr>
        <w:t xml:space="preserve">万元。总收入较2023年度预算数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增加289.50</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。总支出较2023年度预算数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增加289.50</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1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289.50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增加289.50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u w:color="auto"/>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01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289.50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增加289.50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1、预算新增部门，人员增加，人员基础性绩效工资增量调增。2、在职在编人员工资项中薪级工资调增，养老、公积金缴存基数医疗保险及大病统筹基数按年上调，预算增加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资源勘探工业信息等支出</w:t>
      </w:r>
      <w:r>
        <w:rPr>
          <w:rFonts w:ascii="宋体" w:eastAsia="宋体" w:hAnsi="宋体" w:cs="宋体" w:hint="eastAsia"/>
          <w:sz w:val="28"/>
          <w:szCs w:val="28"/>
          <w:lang w:val="en-US" w:eastAsia="zh-CN"/>
        </w:rPr>
        <w:t xml:space="preserve">224.45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77.53%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增长224.45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预算新增部门，人员增加，人员基础性绩效工资增量调增。在职在编人员工资项中薪级工资调增，养老、公积金缴存基数医疗保险及大病统筹基数按年上调，预算增加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28.96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增长28.96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预算新增部门，人员增加，住房公积金调整增加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33.33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11.51%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增长33.33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预算新增部门，人员增加，养老保险支出增加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2.76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增长2.76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预算新增部门，人员增加，工会经费预算增加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289.50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增长289.50</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277.42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95.83%</w:t>
      </w:r>
      <w:r>
        <w:rPr>
          <w:rFonts w:ascii="宋体" w:eastAsia="宋体" w:hAnsi="宋体" w:cs="宋体" w:hint="eastAsia"/>
          <w:sz w:val="28"/>
          <w:szCs w:val="28"/>
        </w:rPr>
        <w:t xml:space="preserve">,比上年</w:t>
      </w:r>
      <w:r>
        <w:rPr>
          <w:rFonts w:ascii="宋体" w:eastAsia="宋体" w:hAnsi="宋体" w:cs="宋体"/>
          <w:sz w:val="28"/>
          <w:u w:color="auto"/>
        </w:rPr>
        <w:t xml:space="preserve">增长277.42</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,主要原因是：预算新增部门，人员增加，人员基础性绩效工资增量调增。在职在编人员工资项中薪级工资调增，养老、公积金缴存基数医疗保险及大病统筹基数按年上调，预算增加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12.08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4.17%</w:t>
      </w:r>
      <w:r>
        <w:rPr>
          <w:rFonts w:ascii="宋体" w:eastAsia="宋体" w:hAnsi="宋体" w:cs="宋体" w:hint="eastAsia"/>
          <w:sz w:val="28"/>
          <w:szCs w:val="28"/>
        </w:rPr>
        <w:t xml:space="preserve">,比上年</w:t>
      </w:r>
      <w:r>
        <w:rPr>
          <w:rFonts w:ascii="宋体" w:eastAsia="宋体" w:hAnsi="宋体" w:cs="宋体"/>
          <w:sz w:val="28"/>
          <w:u w:color="auto"/>
        </w:rPr>
        <w:t xml:space="preserve">增长12.08</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,主要原因是：预算新增部门，人员增加，公用经费预算增加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01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289.50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289.50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增加289.50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增加289.50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01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289.50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增加289.50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增长2.76</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预算新增部门，人员增加，工会经费预算增加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28.96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增长28.96</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预算新增部门，人员增加，住房公积金调整增加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33.33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增长33.33</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预算新增部门，人员增加，养老保险支出增加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资源勘探工业信息等支出</w:t>
      </w:r>
      <w:r>
        <w:rPr>
          <w:rFonts w:ascii="宋体" w:eastAsia="宋体" w:hAnsi="宋体" w:cs="宋体" w:hint="eastAsia"/>
          <w:sz w:val="28"/>
          <w:szCs w:val="28"/>
        </w:rPr>
        <w:t xml:space="preserve">（类）支出</w:t>
      </w:r>
      <w:r>
        <w:rPr>
          <w:rFonts w:ascii="宋体" w:eastAsia="宋体" w:hAnsi="宋体" w:cs="宋体"/>
          <w:sz w:val="28"/>
          <w:u w:color="auto"/>
        </w:rPr>
        <w:t xml:space="preserve">224.45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增长224.45</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预算新增部门，人员增加，人员基础性绩效工资增量调增。在职在编人员工资项中薪级工资调增，养老、公积金缴存基数医疗保险及大病统筹基数按年上调，预算增加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1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289.50</w:t>
      </w:r>
      <w:r>
        <w:rPr>
          <w:rFonts w:hint="eastAsia"/>
        </w:rPr>
        <w:t xml:space="preserve">万元，较2023年度预算数</w:t>
      </w:r>
      <w:r>
        <w:rPr>
          <w:rFonts w:hint="eastAsia"/>
          <w:lang w:val="en-US" w:eastAsia="zh-CN"/>
        </w:rPr>
        <w:t xml:space="preserve">0.00</w:t>
      </w:r>
      <w:r>
        <w:rPr>
          <w:rFonts w:hint="eastAsia"/>
        </w:rPr>
        <w:t xml:space="preserve">万元</w:t>
      </w:r>
      <w:r>
        <w:rPr>
          <w:rFonts w:hint="eastAsia"/>
          <w:lang w:val="en-US" w:eastAsia="zh-CN"/>
        </w:rPr>
        <w:t xml:space="preserve">,</w:t>
      </w:r>
      <w:r>
        <w:rPr>
          <w:u w:color="auto"/>
        </w:rPr>
        <w:t xml:space="preserve">增加289.50</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lang w:val="en-US" w:eastAsia="zh-CN"/>
        </w:rPr>
        <w:t xml:space="preserve">预算新增部门，人员增加，人员基础性绩效工资增量调增。在职在编人员工资项中薪级工资调增，养老、公积金缴存基数医疗保险及大病统筹基数按年上调，预算增加，项目类支出增加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277.42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95.83%</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增长277.42</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预算新增部门，人员增加，人员基础性绩效工资增量调增。在职在编人员工资项中薪级工资调增，养老、公积金缴存基数医疗保险及大病统筹基数按年上调，预算增加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12.08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4.17%</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增长12.08</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预算新增部门，人员增加，公用经费预算增加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01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3.80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3.80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3.80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3.80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增长3.80</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3.80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增长3.80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3.80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增长3.80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12.08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增加12.08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预算新增部门，人员增加，公用经费预算增加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3.8</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1.9998</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1.8002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主要用于：主要用于车辆保险、加油、维修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环江毛南族自治县红茂矿区管理处</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环江毛南族自治县红茂矿区管理处</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224.45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289.50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环江毛南族自治县红茂矿区管理处</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704011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环江毛南族自治县红茂矿区管理处</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289.50</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289.50</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289.50</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环江毛南族自治县红茂矿区管理处</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704011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其他资源勘探业支出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环江毛南族自治县红茂矿区管理处</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224.45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289.50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环江毛南族自治县红茂矿区管理处</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704011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289.50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289.50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277.42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12.08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2.76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2150199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其他资源勘探业支出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224.45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224.45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215.13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9.32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28.96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环江毛南族自治县红茂矿区管理处</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289.50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环江毛南族自治县红茂矿区管理处</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704011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环江毛南族自治县红茂矿区管理处</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2150199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其他资源勘探业支出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环江毛南族自治县红茂矿区管理处</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环江毛南族自治县红茂矿区管理处</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1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3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01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34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02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34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2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3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2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3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2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3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1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2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I7dm8JnDiehQQiis7o/guA==" w:hash="tKX5NTkt3OXULQL2kp51C8j4XjcCWjDcDDkQLh8bOLOhfffReAeCuL/4D7OqDSt0MUAGTgLRmb0Ebn0zqHKjs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289.5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资源勘探工业信息等支出</c:v>
                </c:pt>
                <c:pt idx="3">
                  <c:v>住房保障支出</c:v>
                </c:pt>
              </c:strCache>
            </c:strRef>
          </c:cat>
          <c:val>
            <c:numRef>
              <c:f>Sheet1!$B$2:$B$5</c:f>
              <c:numCache>
                <c:ptCount val="4"/>
                <c:pt idx="0">
                  <c:v>2.76</c:v>
                </c:pt>
                <c:pt idx="1">
                  <c:v>33.33</c:v>
                </c:pt>
                <c:pt idx="2">
                  <c:v>224.45</c:v>
                </c:pt>
                <c:pt idx="3">
                  <c:v>28.96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289.5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289.5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12.08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277.42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277.42</c:v>
                </c:pt>
                <c:pt idx="1">
                  <c:v>12.08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3.8</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2024-02-29T12:29:48Z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