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keepLines/>
        <w:spacing w:after="240"/>
        <w:jc w:val="both"/>
      </w:pPr>
      <w:bookmarkStart w:id="0" w:name="bookmark2"/>
      <w:bookmarkStart w:id="1" w:name="bookmark0"/>
      <w:bookmarkStart w:id="2" w:name="bookmark1"/>
    </w:p>
    <w:p>
      <w:pPr>
        <w:pStyle w:val="5"/>
        <w:keepNext/>
        <w:keepLines/>
        <w:spacing w:after="240"/>
        <w:jc w:val="center"/>
      </w:pPr>
    </w:p>
    <w:p>
      <w:pPr>
        <w:pStyle w:val="13"/>
        <w:jc w:val="center"/>
        <w:rPr>
          <w:rFonts w:hint="eastAsia"/>
          <w:lang w:eastAsia="zh-CN"/>
        </w:rPr>
      </w:pPr>
      <w:r>
        <w:rPr>
          <w:rFonts w:hint="eastAsia"/>
          <w:lang w:eastAsia="zh-CN"/>
        </w:rPr>
        <w:t>环江毛南族自治县川山镇卫生和计划生育服务所</w:t>
      </w:r>
    </w:p>
    <w:p>
      <w:pPr>
        <w:pStyle w:val="13"/>
        <w:jc w:val="center"/>
        <w:rPr>
          <w:rFonts w:hint="eastAsia"/>
          <w:lang w:eastAsia="zh-CN"/>
        </w:rPr>
      </w:pPr>
    </w:p>
    <w:p>
      <w:pPr>
        <w:pStyle w:val="13"/>
        <w:jc w:val="center"/>
        <w:rPr>
          <w:rFonts w:hint="eastAsia" w:eastAsia="宋体"/>
          <w:lang w:eastAsia="zh-CN"/>
        </w:rPr>
        <w:sectPr>
          <w:pgSz w:w="11900" w:h="16840"/>
          <w:pgMar w:top="4713" w:right="1913" w:bottom="4713" w:left="2020" w:header="4285" w:footer="4285" w:gutter="0"/>
          <w:pgBorders>
            <w:top w:val="none" w:sz="0" w:space="0"/>
            <w:left w:val="none" w:sz="0" w:space="0"/>
            <w:bottom w:val="none" w:sz="0" w:space="0"/>
            <w:right w:val="none" w:sz="0" w:space="0"/>
          </w:pgBorders>
          <w:pgNumType w:start="1"/>
          <w:cols w:space="720" w:num="1"/>
          <w:docGrid w:linePitch="360" w:charSpace="0"/>
        </w:sectPr>
      </w:pPr>
      <w:r>
        <w:rPr>
          <w:rFonts w:hint="eastAsia"/>
          <w:lang w:eastAsia="zh-CN"/>
        </w:rPr>
        <w:t>2024</w:t>
      </w:r>
      <w:r>
        <w:rPr>
          <w:rFonts w:ascii="Times New Roman" w:hAnsi="Times New Roman" w:eastAsia="Times New Roman" w:cs="Times New Roman"/>
          <w:sz w:val="56"/>
          <w:u w:color="auto"/>
        </w:rPr>
        <w:t>年</w:t>
      </w:r>
      <w:r>
        <w:t>度部门</w:t>
      </w:r>
      <w:r>
        <w:rPr>
          <w:rFonts w:hint="eastAsia"/>
          <w:lang w:eastAsia="zh-CN"/>
        </w:rPr>
        <w:t>预</w:t>
      </w:r>
      <w:bookmarkStart w:id="43" w:name="_GoBack"/>
      <w:bookmarkEnd w:id="43"/>
      <w:r>
        <w:rPr>
          <w:rFonts w:hint="eastAsia"/>
          <w:lang w:eastAsia="zh-CN"/>
        </w:rPr>
        <w:t>算</w:t>
      </w:r>
    </w:p>
    <w:p>
      <w:pPr>
        <w:pStyle w:val="5"/>
        <w:keepNext/>
        <w:keepLines/>
        <w:spacing w:after="240"/>
        <w:jc w:val="both"/>
      </w:pPr>
    </w:p>
    <w:p>
      <w:pPr>
        <w:pStyle w:val="5"/>
        <w:keepNext/>
        <w:keepLines/>
        <w:spacing w:after="240"/>
        <w:jc w:val="center"/>
      </w:pPr>
      <w:r>
        <w:t>目录</w:t>
      </w:r>
      <w:bookmarkEnd w:id="0"/>
      <w:bookmarkEnd w:id="1"/>
      <w:bookmarkEnd w:id="2"/>
    </w:p>
    <w:p>
      <w:pPr>
        <w:pStyle w:val="6"/>
        <w:ind w:left="0" w:leftChars="0" w:firstLine="320" w:firstLineChars="100"/>
        <w:jc w:val="left"/>
      </w:pPr>
      <w:r>
        <w:t>第一部分</w:t>
      </w:r>
      <w:r>
        <w:rPr>
          <w:rFonts w:hint="eastAsia"/>
          <w:lang w:eastAsia="zh-CN"/>
        </w:rPr>
        <w:t>：</w:t>
      </w:r>
      <w:r>
        <w:rPr>
          <w:u w:color="auto"/>
        </w:rPr>
        <w:t>环江毛南族自治县川山镇计生所单位</w:t>
      </w:r>
      <w:r>
        <w:t>概况</w:t>
      </w:r>
    </w:p>
    <w:p>
      <w:pPr>
        <w:pStyle w:val="6"/>
        <w:jc w:val="left"/>
      </w:pPr>
      <w:r>
        <w:rPr>
          <w:lang w:val="en-US" w:eastAsia="zh-CN" w:bidi="en-US"/>
        </w:rPr>
        <w:t>—</w:t>
      </w:r>
      <w:r>
        <w:t>、主要职责</w:t>
      </w:r>
    </w:p>
    <w:p>
      <w:pPr>
        <w:pStyle w:val="6"/>
        <w:jc w:val="left"/>
        <w:rPr>
          <w:rFonts w:hint="eastAsia"/>
        </w:rPr>
      </w:pPr>
      <w:r>
        <w:rPr>
          <w:rFonts w:hint="eastAsia"/>
          <w:lang w:val="en-US" w:eastAsia="zh-CN"/>
        </w:rPr>
        <w:t>二、</w:t>
      </w:r>
      <w:r>
        <w:rPr>
          <w:rFonts w:hint="eastAsia"/>
        </w:rPr>
        <w:t>机构设置情况</w:t>
      </w:r>
    </w:p>
    <w:p>
      <w:pPr>
        <w:pStyle w:val="6"/>
        <w:ind w:left="0" w:leftChars="0" w:firstLine="320" w:firstLineChars="100"/>
        <w:jc w:val="left"/>
      </w:pPr>
      <w:r>
        <w:t>第二部分</w:t>
      </w:r>
      <w:r>
        <w:rPr>
          <w:rFonts w:hint="eastAsia"/>
          <w:lang w:eastAsia="zh-CN"/>
        </w:rPr>
        <w:t>：</w:t>
      </w:r>
      <w:r>
        <w:rPr>
          <w:u w:color="auto"/>
        </w:rPr>
        <w:t>环江毛南族自治县川山镇计生所2024</w:t>
      </w:r>
      <w:r>
        <w:t>部门预算情况说明</w:t>
      </w:r>
    </w:p>
    <w:p>
      <w:pPr>
        <w:pStyle w:val="6"/>
        <w:numPr>
          <w:ilvl w:val="0"/>
          <w:numId w:val="0"/>
        </w:numPr>
        <w:ind w:firstLine="640" w:firstLineChars="200"/>
        <w:jc w:val="left"/>
        <w:rPr>
          <w:rFonts w:hint="eastAsia"/>
        </w:rPr>
      </w:pPr>
      <w:r>
        <w:rPr>
          <w:rFonts w:hint="eastAsia"/>
        </w:rPr>
        <w:t>一、部门收支总体情况说明</w:t>
      </w:r>
    </w:p>
    <w:p>
      <w:pPr>
        <w:pStyle w:val="6"/>
        <w:numPr>
          <w:ilvl w:val="0"/>
          <w:numId w:val="0"/>
        </w:numPr>
        <w:ind w:firstLine="640" w:firstLineChars="200"/>
        <w:jc w:val="left"/>
        <w:rPr>
          <w:rFonts w:hint="eastAsia"/>
        </w:rPr>
      </w:pPr>
      <w:r>
        <w:rPr>
          <w:rFonts w:hint="eastAsia"/>
        </w:rPr>
        <w:t>二、部门收入总体情况说明</w:t>
      </w:r>
    </w:p>
    <w:p>
      <w:pPr>
        <w:pStyle w:val="6"/>
        <w:numPr>
          <w:ilvl w:val="0"/>
          <w:numId w:val="0"/>
        </w:numPr>
        <w:ind w:firstLine="640" w:firstLineChars="200"/>
        <w:jc w:val="left"/>
        <w:rPr>
          <w:rFonts w:hint="eastAsia"/>
        </w:rPr>
      </w:pPr>
      <w:r>
        <w:rPr>
          <w:rFonts w:hint="eastAsia"/>
        </w:rPr>
        <w:t>三、部门支出总体情况说明</w:t>
      </w:r>
    </w:p>
    <w:p>
      <w:pPr>
        <w:pStyle w:val="6"/>
        <w:numPr>
          <w:ilvl w:val="0"/>
          <w:numId w:val="0"/>
        </w:numPr>
        <w:ind w:firstLine="640" w:firstLineChars="200"/>
        <w:jc w:val="left"/>
        <w:rPr>
          <w:rFonts w:hint="eastAsia"/>
        </w:rPr>
      </w:pPr>
      <w:r>
        <w:rPr>
          <w:rFonts w:hint="eastAsia"/>
        </w:rPr>
        <w:t>四、财政拨款收支总体情况说明</w:t>
      </w:r>
    </w:p>
    <w:p>
      <w:pPr>
        <w:pStyle w:val="6"/>
        <w:numPr>
          <w:ilvl w:val="0"/>
          <w:numId w:val="0"/>
        </w:numPr>
        <w:ind w:firstLine="640" w:firstLineChars="200"/>
        <w:jc w:val="left"/>
        <w:rPr>
          <w:rFonts w:hint="eastAsia"/>
        </w:rPr>
      </w:pPr>
      <w:r>
        <w:rPr>
          <w:rFonts w:hint="eastAsia"/>
        </w:rPr>
        <w:t>五、一般公共预算支出情况说明</w:t>
      </w:r>
    </w:p>
    <w:p>
      <w:pPr>
        <w:pStyle w:val="6"/>
        <w:numPr>
          <w:ilvl w:val="0"/>
          <w:numId w:val="0"/>
        </w:numPr>
        <w:ind w:firstLine="640" w:firstLineChars="200"/>
        <w:jc w:val="left"/>
        <w:rPr>
          <w:rFonts w:hint="eastAsia"/>
        </w:rPr>
      </w:pPr>
      <w:r>
        <w:rPr>
          <w:rFonts w:hint="eastAsia"/>
        </w:rPr>
        <w:t>六、一般公共预算基本支出情况说明</w:t>
      </w:r>
    </w:p>
    <w:p>
      <w:pPr>
        <w:pStyle w:val="6"/>
        <w:numPr>
          <w:ilvl w:val="0"/>
          <w:numId w:val="0"/>
        </w:numPr>
        <w:ind w:firstLine="640" w:firstLineChars="200"/>
        <w:jc w:val="left"/>
        <w:rPr>
          <w:rFonts w:hint="eastAsia"/>
        </w:rPr>
      </w:pPr>
      <w:r>
        <w:rPr>
          <w:rFonts w:hint="eastAsia"/>
        </w:rPr>
        <w:t>七、一般公共预算“三公”经费支出情况说明</w:t>
      </w:r>
    </w:p>
    <w:p>
      <w:pPr>
        <w:pStyle w:val="6"/>
        <w:numPr>
          <w:ilvl w:val="0"/>
          <w:numId w:val="0"/>
        </w:numPr>
        <w:ind w:firstLine="640" w:firstLineChars="200"/>
        <w:jc w:val="left"/>
        <w:rPr>
          <w:rFonts w:hint="eastAsia"/>
        </w:rPr>
      </w:pPr>
      <w:r>
        <w:rPr>
          <w:rFonts w:hint="eastAsia"/>
        </w:rPr>
        <w:t>八、政府性基金预算支出情况说明</w:t>
      </w:r>
    </w:p>
    <w:p>
      <w:pPr>
        <w:pStyle w:val="6"/>
        <w:numPr>
          <w:ilvl w:val="0"/>
          <w:numId w:val="0"/>
        </w:numPr>
        <w:ind w:firstLine="640" w:firstLineChars="200"/>
        <w:jc w:val="left"/>
        <w:rPr>
          <w:rFonts w:hint="eastAsia"/>
        </w:rPr>
      </w:pPr>
      <w:r>
        <w:rPr>
          <w:rFonts w:hint="eastAsia"/>
        </w:rPr>
        <w:t>九、国有资本经营预算支出情况说明</w:t>
      </w:r>
    </w:p>
    <w:p>
      <w:pPr>
        <w:pStyle w:val="6"/>
        <w:numPr>
          <w:ilvl w:val="0"/>
          <w:numId w:val="0"/>
        </w:numPr>
        <w:ind w:firstLine="640" w:firstLineChars="200"/>
        <w:jc w:val="left"/>
      </w:pPr>
      <w:r>
        <w:rPr>
          <w:rFonts w:hint="eastAsia"/>
        </w:rPr>
        <w:t>十、其他重要事项情况说明</w:t>
      </w:r>
    </w:p>
    <w:p>
      <w:pPr>
        <w:pStyle w:val="6"/>
        <w:ind w:left="0" w:leftChars="0" w:firstLine="320" w:firstLineChars="100"/>
        <w:jc w:val="left"/>
      </w:pPr>
      <w:r>
        <w:t>第三部分</w:t>
      </w:r>
      <w:r>
        <w:rPr>
          <w:rFonts w:hint="eastAsia"/>
          <w:lang w:eastAsia="zh-CN"/>
        </w:rPr>
        <w:t>：</w:t>
      </w:r>
      <w:r>
        <w:rPr>
          <w:u w:color="auto"/>
        </w:rPr>
        <w:t>环江毛南族自治县川山镇计生所2024</w:t>
      </w:r>
      <w:r>
        <w:rPr>
          <w:rFonts w:ascii="Times New Roman" w:hAnsi="Times New Roman" w:cs="Times New Roman"/>
          <w:u w:color="auto"/>
        </w:rPr>
        <w:t>年</w:t>
      </w:r>
      <w:r>
        <w:t>部门预算</w:t>
      </w:r>
      <w:r>
        <w:rPr>
          <w:rFonts w:hint="eastAsia"/>
          <w:lang w:val="en-US" w:eastAsia="zh-CN"/>
        </w:rPr>
        <w:t>相关报</w:t>
      </w:r>
      <w:r>
        <w:t>表</w:t>
      </w:r>
    </w:p>
    <w:p>
      <w:pPr>
        <w:pStyle w:val="6"/>
        <w:jc w:val="left"/>
        <w:rPr>
          <w:rFonts w:hint="eastAsia"/>
        </w:rPr>
      </w:pPr>
      <w:r>
        <w:rPr>
          <w:rFonts w:hint="eastAsia"/>
        </w:rPr>
        <w:t>一、部门收支总体情况表</w:t>
      </w:r>
    </w:p>
    <w:p>
      <w:pPr>
        <w:pStyle w:val="6"/>
        <w:jc w:val="left"/>
        <w:rPr>
          <w:rFonts w:hint="eastAsia"/>
        </w:rPr>
      </w:pPr>
      <w:r>
        <w:rPr>
          <w:rFonts w:hint="eastAsia"/>
        </w:rPr>
        <w:t>二、部门收入总体情况表</w:t>
      </w:r>
    </w:p>
    <w:p>
      <w:pPr>
        <w:pStyle w:val="6"/>
        <w:jc w:val="left"/>
        <w:rPr>
          <w:rFonts w:hint="eastAsia"/>
        </w:rPr>
      </w:pPr>
      <w:r>
        <w:rPr>
          <w:rFonts w:hint="eastAsia"/>
        </w:rPr>
        <w:t>三、部门支出总体情况表</w:t>
      </w:r>
    </w:p>
    <w:p>
      <w:pPr>
        <w:pStyle w:val="6"/>
        <w:jc w:val="left"/>
        <w:rPr>
          <w:rFonts w:hint="eastAsia"/>
        </w:rPr>
      </w:pPr>
      <w:r>
        <w:rPr>
          <w:rFonts w:hint="eastAsia"/>
        </w:rPr>
        <w:t>四、财政拨款收支总体情况表</w:t>
      </w:r>
    </w:p>
    <w:p>
      <w:pPr>
        <w:pStyle w:val="6"/>
        <w:jc w:val="left"/>
        <w:rPr>
          <w:rFonts w:hint="eastAsia"/>
        </w:rPr>
      </w:pPr>
      <w:r>
        <w:rPr>
          <w:rFonts w:hint="eastAsia"/>
        </w:rPr>
        <w:t>五、一般公共预算支出情况表</w:t>
      </w:r>
    </w:p>
    <w:p>
      <w:pPr>
        <w:pStyle w:val="6"/>
        <w:jc w:val="left"/>
        <w:rPr>
          <w:rFonts w:hint="eastAsia"/>
        </w:rPr>
      </w:pPr>
      <w:r>
        <w:rPr>
          <w:rFonts w:hint="eastAsia"/>
        </w:rPr>
        <w:t>六、一般公共预算基本支出情况表</w:t>
      </w:r>
    </w:p>
    <w:p>
      <w:pPr>
        <w:pStyle w:val="6"/>
        <w:jc w:val="left"/>
        <w:rPr>
          <w:rFonts w:hint="eastAsia"/>
        </w:rPr>
      </w:pPr>
      <w:r>
        <w:rPr>
          <w:rFonts w:hint="eastAsia"/>
        </w:rPr>
        <w:t>七、一般公开预算“三公”经费支出情况表</w:t>
      </w:r>
    </w:p>
    <w:p>
      <w:pPr>
        <w:pStyle w:val="6"/>
        <w:jc w:val="left"/>
        <w:rPr>
          <w:rFonts w:hint="eastAsia"/>
        </w:rPr>
      </w:pPr>
      <w:r>
        <w:rPr>
          <w:rFonts w:hint="eastAsia"/>
        </w:rPr>
        <w:t>八、政府性基金预算支出情况表</w:t>
      </w:r>
    </w:p>
    <w:p>
      <w:pPr>
        <w:pStyle w:val="6"/>
        <w:jc w:val="left"/>
        <w:rPr>
          <w:rFonts w:hint="eastAsia"/>
        </w:rPr>
      </w:pPr>
      <w:r>
        <w:rPr>
          <w:rFonts w:hint="eastAsia"/>
        </w:rPr>
        <w:t>九、国有资本经营预算支出情况表</w:t>
      </w:r>
    </w:p>
    <w:p>
      <w:pPr>
        <w:pStyle w:val="6"/>
        <w:jc w:val="left"/>
        <w:rPr>
          <w:rFonts w:hint="eastAsia" w:eastAsia="宋体"/>
          <w:lang w:eastAsia="zh-CN"/>
        </w:rPr>
      </w:pPr>
      <w:r>
        <w:rPr>
          <w:rFonts w:hint="eastAsia"/>
        </w:rPr>
        <w:t>十、2024年度预算项目绩效目标公开表</w:t>
      </w:r>
    </w:p>
    <w:p>
      <w:pPr>
        <w:pStyle w:val="6"/>
        <w:ind w:left="0" w:leftChars="0" w:firstLine="320" w:firstLineChars="100"/>
        <w:jc w:val="left"/>
        <w:rPr>
          <w:rFonts w:hint="eastAsia" w:eastAsia="宋体"/>
          <w:lang w:eastAsia="zh-CN"/>
        </w:rPr>
        <w:sectPr>
          <w:footerReference r:id="rId3" w:type="default"/>
          <w:pgSz w:w="11900" w:h="16840"/>
          <w:pgMar w:top="1508" w:right="1674" w:bottom="1508" w:left="1851" w:header="1080" w:footer="3" w:gutter="0"/>
          <w:pgBorders>
            <w:top w:val="none" w:sz="0" w:space="0"/>
            <w:left w:val="none" w:sz="0" w:space="0"/>
            <w:bottom w:val="none" w:sz="0" w:space="0"/>
            <w:right w:val="none" w:sz="0" w:space="0"/>
          </w:pgBorders>
          <w:cols w:space="720" w:num="1"/>
          <w:docGrid w:linePitch="360" w:charSpace="0"/>
        </w:sectPr>
      </w:pPr>
      <w:r>
        <w:t>第四部分</w:t>
      </w:r>
      <w:r>
        <w:rPr>
          <w:rFonts w:hint="eastAsia"/>
          <w:lang w:eastAsia="zh-CN"/>
        </w:rPr>
        <w:t>：</w:t>
      </w:r>
      <w:r>
        <w:t>名词</w:t>
      </w:r>
      <w:r>
        <w:rPr>
          <w:rFonts w:hint="eastAsia"/>
          <w:lang w:val="en-US" w:eastAsia="zh-CN"/>
        </w:rPr>
        <w:t>解释</w:t>
      </w:r>
    </w:p>
    <w:p>
      <w:pPr>
        <w:pStyle w:val="5"/>
        <w:keepNext/>
        <w:keepLines/>
        <w:spacing w:after="560"/>
        <w:jc w:val="both"/>
      </w:pPr>
      <w:bookmarkStart w:id="3" w:name="bookmark14"/>
      <w:bookmarkStart w:id="4" w:name="bookmark12"/>
      <w:bookmarkStart w:id="5" w:name="bookmark13"/>
    </w:p>
    <w:p>
      <w:pPr>
        <w:pStyle w:val="5"/>
        <w:keepNext/>
        <w:keepLines/>
        <w:spacing w:after="560"/>
        <w:jc w:val="center"/>
        <w:rPr>
          <w:b/>
          <w:bCs/>
        </w:rPr>
      </w:pPr>
      <w:r>
        <w:rPr>
          <w:b/>
          <w:bCs/>
        </w:rPr>
        <w:t>第一部分</w:t>
      </w:r>
      <w:r>
        <w:rPr>
          <w:rFonts w:hint="eastAsia"/>
          <w:b/>
          <w:bCs/>
          <w:lang w:eastAsia="zh-CN"/>
        </w:rPr>
        <w:t>：</w:t>
      </w:r>
      <w:r>
        <w:rPr>
          <w:b/>
          <w:u w:color="auto"/>
        </w:rPr>
        <w:t>环江毛南族自治县川山镇计生所</w:t>
      </w:r>
      <w:r>
        <w:rPr>
          <w:b/>
          <w:bCs/>
        </w:rPr>
        <w:t>概况</w:t>
      </w:r>
      <w:bookmarkEnd w:id="3"/>
      <w:bookmarkEnd w:id="4"/>
      <w:bookmarkEnd w:id="5"/>
    </w:p>
    <w:p>
      <w:pPr>
        <w:pStyle w:val="6"/>
        <w:spacing w:after="0" w:line="619" w:lineRule="exact"/>
        <w:ind w:firstLine="620"/>
        <w:jc w:val="left"/>
        <w:rPr>
          <w:b/>
          <w:bCs/>
        </w:rPr>
      </w:pPr>
      <w:r>
        <w:rPr>
          <w:rFonts w:hint="eastAsia"/>
          <w:b/>
          <w:bCs/>
          <w:lang w:val="en-US" w:eastAsia="zh-CN"/>
        </w:rPr>
        <w:t>一、</w:t>
      </w:r>
      <w:r>
        <w:rPr>
          <w:b/>
          <w:bCs/>
        </w:rPr>
        <w:t>主要职责</w:t>
      </w:r>
    </w:p>
    <w:p>
      <w:pPr>
        <w:pStyle w:val="7"/>
        <w:spacing w:line="623" w:lineRule="exact"/>
        <w:ind w:left="0" w:leftChars="0" w:firstLine="560" w:firstLineChars="200"/>
        <w:jc w:val="left"/>
        <w:rPr>
          <w:rFonts w:hint="default"/>
          <w:highlight w:val="yellow"/>
          <w:lang w:val="en-US" w:eastAsia="zh-CN"/>
        </w:rPr>
      </w:pPr>
      <w:r>
        <w:rPr>
          <w:rFonts w:hint="eastAsia"/>
          <w:highlight w:val="none"/>
          <w:lang w:val="en-US" w:eastAsia="zh-CN"/>
        </w:rPr>
        <w:t>川山镇卫生和计划生育服务所的主要职能：</w:t>
      </w:r>
    </w:p>
    <w:p>
      <w:pPr>
        <w:pStyle w:val="7"/>
        <w:spacing w:line="623" w:lineRule="exact"/>
        <w:ind w:left="0" w:leftChars="0" w:firstLine="560" w:firstLineChars="200"/>
        <w:jc w:val="left"/>
        <w:rPr>
          <w:rFonts w:hint="default"/>
          <w:highlight w:val="yellow"/>
          <w:lang w:val="en-US" w:eastAsia="zh-CN"/>
        </w:rPr>
      </w:pPr>
      <w:r>
        <w:rPr>
          <w:rFonts w:hint="eastAsia"/>
          <w:highlight w:val="none"/>
          <w:lang w:val="en-US" w:eastAsia="zh-CN"/>
        </w:rPr>
        <w:t>1、宣传党和国家的计划生育方针政策、法律法规，教育社区成员树立科学、文明、进步的婚育观念。</w:t>
      </w:r>
    </w:p>
    <w:p>
      <w:pPr>
        <w:pStyle w:val="7"/>
        <w:spacing w:line="623" w:lineRule="exact"/>
        <w:ind w:left="0" w:leftChars="0" w:firstLine="560" w:firstLineChars="200"/>
        <w:jc w:val="left"/>
        <w:rPr>
          <w:rFonts w:hint="default"/>
          <w:highlight w:val="yellow"/>
          <w:lang w:val="en-US" w:eastAsia="zh-CN"/>
        </w:rPr>
      </w:pPr>
      <w:r>
        <w:rPr>
          <w:rFonts w:hint="eastAsia"/>
          <w:highlight w:val="none"/>
          <w:lang w:val="en-US" w:eastAsia="zh-CN"/>
        </w:rPr>
        <w:t>2、建立健全计划生育工作网络，认真落实计划生育工作各项任务，实现稳定生育水平，提高出生人口素质的目标，协助计生专职工作人员做好居民、流动人口的计划生育管理与服务，准确掌握常住和暂住育龄妇女的生育信息、变更情况，及时做好账表卡册登记、信息上报反馈工作。</w:t>
      </w:r>
    </w:p>
    <w:p>
      <w:pPr>
        <w:pStyle w:val="7"/>
        <w:spacing w:line="623" w:lineRule="exact"/>
        <w:ind w:left="0" w:leftChars="0" w:firstLine="560" w:firstLineChars="200"/>
        <w:jc w:val="left"/>
        <w:rPr>
          <w:rFonts w:hint="default"/>
          <w:highlight w:val="yellow"/>
          <w:lang w:val="en-US" w:eastAsia="zh-CN"/>
        </w:rPr>
      </w:pPr>
      <w:r>
        <w:rPr>
          <w:rFonts w:hint="eastAsia"/>
          <w:highlight w:val="none"/>
          <w:lang w:val="en-US" w:eastAsia="zh-CN"/>
        </w:rPr>
        <w:t>3、建立健全计生协会组织机构，发挥作用。</w:t>
      </w:r>
    </w:p>
    <w:p>
      <w:pPr>
        <w:pStyle w:val="7"/>
        <w:spacing w:line="623" w:lineRule="exact"/>
        <w:ind w:left="0" w:leftChars="0" w:firstLine="560" w:firstLineChars="200"/>
        <w:jc w:val="left"/>
        <w:rPr>
          <w:rFonts w:hint="default"/>
          <w:highlight w:val="yellow"/>
          <w:lang w:val="en-US" w:eastAsia="zh-CN"/>
        </w:rPr>
      </w:pPr>
      <w:r>
        <w:rPr>
          <w:rFonts w:hint="eastAsia"/>
          <w:highlight w:val="none"/>
          <w:lang w:val="en-US" w:eastAsia="zh-CN"/>
        </w:rPr>
        <w:t>4、负责本乡镇内符合国家奖扶、特扶、广西扩面奖、政府代缴新农合、独生子女保健费等计划奖励扶助对象材料的收集、审核、上报。</w:t>
      </w:r>
    </w:p>
    <w:p>
      <w:pPr>
        <w:pStyle w:val="7"/>
        <w:spacing w:line="623" w:lineRule="exact"/>
        <w:ind w:left="0" w:leftChars="0" w:firstLine="560" w:firstLineChars="200"/>
        <w:jc w:val="left"/>
        <w:rPr>
          <w:rFonts w:hint="default"/>
          <w:highlight w:val="yellow"/>
          <w:lang w:val="en-US" w:eastAsia="zh-CN"/>
        </w:rPr>
      </w:pPr>
      <w:r>
        <w:rPr>
          <w:rFonts w:hint="eastAsia"/>
          <w:highlight w:val="none"/>
          <w:lang w:val="en-US" w:eastAsia="zh-CN"/>
        </w:rPr>
        <w:t>5、倡导婚育新风，婚事新办，促进社区文明建设。信息上报反馈工作。杜绝大月份引产和计划外生育，完成计划生育各项工作任务。</w:t>
      </w:r>
    </w:p>
    <w:p>
      <w:pPr>
        <w:pStyle w:val="7"/>
        <w:spacing w:line="623" w:lineRule="exact"/>
        <w:ind w:left="0" w:leftChars="0" w:firstLine="560" w:firstLineChars="200"/>
        <w:jc w:val="left"/>
        <w:rPr>
          <w:rFonts w:hint="default"/>
          <w:highlight w:val="yellow"/>
          <w:lang w:val="en-US" w:eastAsia="zh-CN"/>
        </w:rPr>
      </w:pPr>
      <w:r>
        <w:rPr>
          <w:rFonts w:hint="eastAsia"/>
          <w:highlight w:val="none"/>
          <w:lang w:val="en-US" w:eastAsia="zh-CN"/>
        </w:rPr>
        <w:t>3、建立健全计生协会组织机构，发挥作用。</w:t>
      </w:r>
    </w:p>
    <w:p>
      <w:pPr>
        <w:pStyle w:val="7"/>
        <w:spacing w:line="623" w:lineRule="exact"/>
        <w:ind w:left="0" w:leftChars="0" w:firstLine="560" w:firstLineChars="200"/>
        <w:jc w:val="left"/>
        <w:rPr>
          <w:rFonts w:hint="default"/>
          <w:highlight w:val="yellow"/>
          <w:lang w:val="en-US" w:eastAsia="zh-CN"/>
        </w:rPr>
      </w:pPr>
      <w:r>
        <w:rPr>
          <w:rFonts w:hint="eastAsia"/>
          <w:highlight w:val="none"/>
          <w:lang w:val="en-US" w:eastAsia="zh-CN"/>
        </w:rPr>
        <w:t>4、向广大干部、群众提供计划生育宣传教育、政策法规、生殖保健、季度“三查”等优质服务，免费发放避孕药具。</w:t>
      </w:r>
    </w:p>
    <w:p>
      <w:pPr>
        <w:pStyle w:val="7"/>
        <w:spacing w:line="623" w:lineRule="exact"/>
        <w:ind w:left="0" w:leftChars="0" w:firstLine="560" w:firstLineChars="200"/>
        <w:jc w:val="left"/>
        <w:rPr>
          <w:rFonts w:hint="default"/>
          <w:highlight w:val="yellow"/>
          <w:lang w:val="en-US" w:eastAsia="zh-CN"/>
        </w:rPr>
      </w:pPr>
      <w:r>
        <w:rPr>
          <w:rFonts w:hint="eastAsia"/>
          <w:highlight w:val="none"/>
          <w:lang w:val="en-US" w:eastAsia="zh-CN"/>
        </w:rPr>
        <w:t>5、倡导婚育新风，婚事新办，促进社区文明建设。</w:t>
      </w:r>
    </w:p>
    <w:p>
      <w:pPr>
        <w:pStyle w:val="6"/>
        <w:tabs>
          <w:tab w:val="left" w:pos="1369"/>
        </w:tabs>
        <w:spacing w:after="0" w:line="623" w:lineRule="exact"/>
        <w:ind w:firstLine="620"/>
        <w:jc w:val="left"/>
        <w:rPr>
          <w:b/>
          <w:bCs/>
        </w:rPr>
      </w:pPr>
      <w:bookmarkStart w:id="6" w:name="bookmark24"/>
      <w:r>
        <w:rPr>
          <w:b/>
          <w:bCs/>
        </w:rPr>
        <w:t>二</w:t>
      </w:r>
      <w:bookmarkEnd w:id="6"/>
      <w:r>
        <w:rPr>
          <w:b/>
          <w:bCs/>
        </w:rPr>
        <w:t>、</w:t>
      </w:r>
      <w:r>
        <w:rPr>
          <w:b/>
          <w:bCs/>
        </w:rPr>
        <w:tab/>
      </w:r>
      <w:r>
        <w:rPr>
          <w:rFonts w:hint="eastAsia"/>
          <w:b/>
          <w:bCs/>
        </w:rPr>
        <w:t>机构设置情况</w:t>
      </w:r>
    </w:p>
    <w:p>
      <w:pPr>
        <w:pStyle w:val="7"/>
        <w:spacing w:line="623" w:lineRule="exact"/>
        <w:ind w:left="0" w:leftChars="0" w:firstLine="560" w:firstLineChars="200"/>
        <w:jc w:val="left"/>
        <w:rPr>
          <w:rFonts w:hint="eastAsia"/>
          <w:highlight w:val="none"/>
          <w:lang w:val="en-US" w:eastAsia="zh-CN"/>
        </w:rPr>
      </w:pPr>
      <w:r>
        <w:rPr>
          <w:rFonts w:hint="eastAsia" w:ascii="宋体" w:hAnsi="宋体" w:eastAsia="宋体" w:cs="宋体"/>
          <w:i w:val="0"/>
          <w:iCs w:val="0"/>
          <w:caps w:val="0"/>
          <w:color w:val="auto"/>
          <w:spacing w:val="0"/>
          <w:sz w:val="28"/>
          <w:szCs w:val="28"/>
          <w:shd w:val="clear" w:fill="FFFFFF"/>
        </w:rPr>
        <w:t>本部门的上级主管部门是环江毛南族自治县</w:t>
      </w:r>
      <w:r>
        <w:rPr>
          <w:rFonts w:hint="eastAsia" w:ascii="宋体" w:hAnsi="宋体" w:eastAsia="宋体" w:cs="宋体"/>
          <w:i w:val="0"/>
          <w:iCs w:val="0"/>
          <w:caps w:val="0"/>
          <w:color w:val="auto"/>
          <w:spacing w:val="0"/>
          <w:sz w:val="28"/>
          <w:szCs w:val="28"/>
          <w:shd w:val="clear" w:fill="FFFFFF"/>
          <w:lang w:eastAsia="zh-CN"/>
        </w:rPr>
        <w:t>川山镇</w:t>
      </w:r>
      <w:r>
        <w:rPr>
          <w:rFonts w:hint="eastAsia" w:ascii="宋体" w:hAnsi="宋体" w:eastAsia="宋体" w:cs="宋体"/>
          <w:i w:val="0"/>
          <w:iCs w:val="0"/>
          <w:caps w:val="0"/>
          <w:color w:val="auto"/>
          <w:spacing w:val="0"/>
          <w:sz w:val="28"/>
          <w:szCs w:val="28"/>
          <w:shd w:val="clear" w:fill="FFFFFF"/>
        </w:rPr>
        <w:t>人民政府，是财政全额拨款的事业单位，人员编制共</w:t>
      </w:r>
      <w:r>
        <w:rPr>
          <w:rFonts w:hint="eastAsia" w:ascii="宋体" w:hAnsi="宋体" w:eastAsia="宋体" w:cs="宋体"/>
          <w:i w:val="0"/>
          <w:iCs w:val="0"/>
          <w:caps w:val="0"/>
          <w:color w:val="auto"/>
          <w:spacing w:val="0"/>
          <w:sz w:val="28"/>
          <w:szCs w:val="28"/>
          <w:shd w:val="clear" w:fill="FFFFFF"/>
          <w:lang w:val="en-US" w:eastAsia="zh-CN"/>
        </w:rPr>
        <w:t>12</w:t>
      </w:r>
      <w:r>
        <w:rPr>
          <w:rFonts w:hint="eastAsia" w:ascii="宋体" w:hAnsi="宋体" w:eastAsia="宋体" w:cs="宋体"/>
          <w:i w:val="0"/>
          <w:iCs w:val="0"/>
          <w:caps w:val="0"/>
          <w:color w:val="auto"/>
          <w:spacing w:val="0"/>
          <w:sz w:val="28"/>
          <w:szCs w:val="28"/>
          <w:shd w:val="clear" w:fill="FFFFFF"/>
        </w:rPr>
        <w:t>名。本部门无内设机构</w:t>
      </w:r>
      <w:r>
        <w:rPr>
          <w:rFonts w:hint="eastAsia" w:ascii="宋体" w:hAnsi="宋体" w:eastAsia="宋体" w:cs="宋体"/>
          <w:color w:val="auto"/>
          <w:sz w:val="28"/>
          <w:szCs w:val="28"/>
          <w:highlight w:val="none"/>
          <w:lang w:val="en-US" w:eastAsia="zh-CN"/>
        </w:rPr>
        <w:t>，部门预算为本级预算。</w:t>
      </w:r>
    </w:p>
    <w:p>
      <w:pPr>
        <w:pStyle w:val="7"/>
        <w:spacing w:line="623" w:lineRule="exact"/>
        <w:ind w:firstLine="1018" w:firstLineChars="0"/>
        <w:jc w:val="left"/>
        <w:rPr>
          <w:rFonts w:hint="eastAsia"/>
          <w:highlight w:val="none"/>
          <w:lang w:val="en-US" w:eastAsia="zh-CN"/>
        </w:rPr>
      </w:pPr>
    </w:p>
    <w:p>
      <w:r>
        <w:br w:type="page"/>
      </w:r>
    </w:p>
    <w:p>
      <w:pPr>
        <w:pStyle w:val="5"/>
        <w:keepNext/>
        <w:keepLines/>
        <w:spacing w:before="120" w:after="0" w:line="629" w:lineRule="exact"/>
        <w:jc w:val="center"/>
        <w:rPr>
          <w:b/>
          <w:bCs/>
        </w:rPr>
      </w:pPr>
      <w:bookmarkStart w:id="7" w:name="bookmark68"/>
      <w:bookmarkStart w:id="8" w:name="bookmark70"/>
      <w:bookmarkStart w:id="9" w:name="bookmark69"/>
      <w:bookmarkStart w:id="10" w:name="bookmark26"/>
      <w:bookmarkStart w:id="11" w:name="bookmark28"/>
      <w:bookmarkStart w:id="12" w:name="bookmark27"/>
      <w:r>
        <w:rPr>
          <w:b/>
          <w:bCs/>
        </w:rPr>
        <w:t>第</w:t>
      </w:r>
      <w:r>
        <w:rPr>
          <w:rFonts w:hint="eastAsia"/>
          <w:b/>
          <w:bCs/>
          <w:lang w:val="en-US" w:eastAsia="zh-CN"/>
        </w:rPr>
        <w:t>二</w:t>
      </w:r>
      <w:r>
        <w:rPr>
          <w:b/>
          <w:bCs/>
        </w:rPr>
        <w:t>部分</w:t>
      </w:r>
      <w:r>
        <w:rPr>
          <w:rFonts w:hint="eastAsia"/>
          <w:b/>
          <w:bCs/>
          <w:lang w:eastAsia="zh-CN"/>
        </w:rPr>
        <w:t>：</w:t>
      </w:r>
      <w:bookmarkEnd w:id="7"/>
      <w:bookmarkEnd w:id="8"/>
      <w:bookmarkEnd w:id="9"/>
      <w:r>
        <w:rPr>
          <w:rFonts w:hint="eastAsia"/>
          <w:b/>
          <w:bCs/>
          <w:lang w:eastAsia="zh-CN"/>
        </w:rPr>
        <w:t>环江毛南族自治县川山镇计生所</w:t>
      </w:r>
      <w:r>
        <w:rPr>
          <w:b/>
          <w:u w:color="auto"/>
        </w:rPr>
        <w:t>2024年部门预算情况说明</w:t>
      </w:r>
    </w:p>
    <w:p>
      <w:pPr>
        <w:pStyle w:val="6"/>
        <w:tabs>
          <w:tab w:val="left" w:pos="1235"/>
        </w:tabs>
        <w:spacing w:after="0" w:line="624" w:lineRule="exact"/>
        <w:ind w:firstLine="580"/>
        <w:jc w:val="left"/>
        <w:rPr>
          <w:b/>
          <w:bCs/>
        </w:rPr>
      </w:pPr>
      <w:bookmarkStart w:id="13" w:name="bookmark71"/>
      <w:r>
        <w:rPr>
          <w:b/>
          <w:bCs/>
        </w:rPr>
        <w:t>一</w:t>
      </w:r>
      <w:bookmarkEnd w:id="13"/>
      <w:r>
        <w:rPr>
          <w:b/>
          <w:bCs/>
        </w:rPr>
        <w:t>、</w:t>
      </w:r>
      <w:r>
        <w:rPr>
          <w:b/>
          <w:bCs/>
        </w:rPr>
        <w:tab/>
      </w:r>
      <w:r>
        <w:rPr>
          <w:b/>
          <w:bCs/>
        </w:rPr>
        <w:t>部门预算收支总体情况说明</w:t>
      </w:r>
    </w:p>
    <w:p>
      <w:pPr>
        <w:pStyle w:val="7"/>
        <w:spacing w:line="623" w:lineRule="exact"/>
        <w:ind w:left="0" w:leftChars="0" w:firstLine="560" w:firstLineChars="200"/>
        <w:jc w:val="left"/>
        <w:rPr>
          <w:rFonts w:hint="eastAsia" w:ascii="Times New Roman" w:hAnsi="Times New Roman" w:eastAsia="宋体" w:cs="Times New Roman"/>
          <w:b/>
          <w:bCs/>
          <w:sz w:val="28"/>
          <w:szCs w:val="28"/>
          <w:lang w:val="en-US" w:eastAsia="zh-CN"/>
        </w:rPr>
      </w:pPr>
      <w:r>
        <w:rPr>
          <w:rFonts w:hint="eastAsia"/>
          <w:b w:val="0"/>
          <w:bCs w:val="0"/>
          <w:sz w:val="28"/>
          <w:szCs w:val="28"/>
        </w:rPr>
        <w:t>我部门总收入</w:t>
      </w:r>
      <w:r>
        <w:rPr>
          <w:rFonts w:hint="eastAsia"/>
          <w:sz w:val="28"/>
          <w:szCs w:val="28"/>
          <w:lang w:val="en-US" w:eastAsia="zh-CN"/>
        </w:rPr>
        <w:t>147.10</w:t>
      </w:r>
      <w:r>
        <w:rPr>
          <w:rFonts w:hint="eastAsia"/>
          <w:b w:val="0"/>
          <w:bCs w:val="0"/>
          <w:sz w:val="28"/>
          <w:szCs w:val="28"/>
        </w:rPr>
        <w:t>万元，总支出</w:t>
      </w:r>
      <w:r>
        <w:rPr>
          <w:rFonts w:hint="eastAsia"/>
          <w:sz w:val="28"/>
          <w:szCs w:val="28"/>
          <w:lang w:val="en-US" w:eastAsia="zh-CN"/>
        </w:rPr>
        <w:t>147.10</w:t>
      </w:r>
      <w:r>
        <w:rPr>
          <w:rFonts w:hint="eastAsia"/>
          <w:b w:val="0"/>
          <w:bCs w:val="0"/>
          <w:sz w:val="28"/>
          <w:szCs w:val="28"/>
        </w:rPr>
        <w:t>万元。总收入较2023年度预算数</w:t>
      </w:r>
      <w:r>
        <w:rPr>
          <w:rFonts w:hint="eastAsia"/>
          <w:sz w:val="28"/>
          <w:szCs w:val="28"/>
          <w:lang w:val="en-US" w:eastAsia="zh-CN"/>
        </w:rPr>
        <w:t>150.31</w:t>
      </w:r>
      <w:r>
        <w:rPr>
          <w:rFonts w:hint="eastAsia"/>
          <w:b w:val="0"/>
          <w:bCs w:val="0"/>
          <w:sz w:val="28"/>
          <w:szCs w:val="28"/>
        </w:rPr>
        <w:t>万元，</w:t>
      </w:r>
      <w:r>
        <w:rPr>
          <w:rFonts w:hint="eastAsia"/>
          <w:sz w:val="28"/>
          <w:szCs w:val="28"/>
        </w:rPr>
        <w:t>减少3.21</w:t>
      </w:r>
      <w:r>
        <w:rPr>
          <w:rFonts w:hint="eastAsia"/>
          <w:b w:val="0"/>
          <w:bCs w:val="0"/>
          <w:sz w:val="28"/>
          <w:szCs w:val="28"/>
        </w:rPr>
        <w:t>万元，</w:t>
      </w:r>
      <w:r>
        <w:rPr>
          <w:rFonts w:hint="eastAsia"/>
          <w:sz w:val="28"/>
          <w:szCs w:val="28"/>
        </w:rPr>
        <w:t>下降2.14%</w:t>
      </w:r>
      <w:r>
        <w:rPr>
          <w:rFonts w:hint="eastAsia"/>
          <w:b w:val="0"/>
          <w:bCs w:val="0"/>
          <w:sz w:val="28"/>
          <w:szCs w:val="28"/>
        </w:rPr>
        <w:t>，总支出较2023年度预算数</w:t>
      </w:r>
      <w:r>
        <w:rPr>
          <w:rFonts w:hint="eastAsia"/>
          <w:sz w:val="28"/>
          <w:szCs w:val="28"/>
          <w:lang w:val="en-US" w:eastAsia="zh-CN"/>
        </w:rPr>
        <w:t>150.31</w:t>
      </w:r>
      <w:r>
        <w:rPr>
          <w:rFonts w:hint="eastAsia"/>
          <w:b w:val="0"/>
          <w:bCs w:val="0"/>
          <w:sz w:val="28"/>
          <w:szCs w:val="28"/>
        </w:rPr>
        <w:t>万元，</w:t>
      </w:r>
      <w:r>
        <w:rPr>
          <w:rFonts w:hint="eastAsia"/>
          <w:sz w:val="28"/>
          <w:szCs w:val="28"/>
        </w:rPr>
        <w:t>减少3.21</w:t>
      </w:r>
      <w:r>
        <w:rPr>
          <w:rFonts w:hint="eastAsia"/>
          <w:b w:val="0"/>
          <w:bCs w:val="0"/>
          <w:sz w:val="28"/>
          <w:szCs w:val="28"/>
        </w:rPr>
        <w:t>万元，</w:t>
      </w:r>
      <w:r>
        <w:rPr>
          <w:rFonts w:hint="eastAsia"/>
          <w:sz w:val="28"/>
          <w:szCs w:val="28"/>
        </w:rPr>
        <w:t>下降2.14%</w:t>
      </w:r>
      <w:r>
        <w:rPr>
          <w:rFonts w:hint="eastAsia"/>
          <w:sz w:val="28"/>
          <w:szCs w:val="28"/>
          <w:lang w:eastAsia="zh-CN"/>
        </w:rPr>
        <w:t>。</w:t>
      </w:r>
      <w:r>
        <w:rPr>
          <w:rFonts w:hint="eastAsia" w:ascii="宋体" w:hAnsi="宋体" w:eastAsia="宋体" w:cs="宋体"/>
          <w:color w:val="auto"/>
          <w:sz w:val="28"/>
          <w:szCs w:val="28"/>
          <w:lang w:eastAsia="zh-CN"/>
        </w:rPr>
        <w:t>主要原因：</w:t>
      </w:r>
      <w:r>
        <w:rPr>
          <w:rFonts w:hint="eastAsia" w:ascii="宋体" w:hAnsi="宋体" w:eastAsia="宋体" w:cs="宋体"/>
          <w:i w:val="0"/>
          <w:iCs w:val="0"/>
          <w:caps w:val="0"/>
          <w:color w:val="auto"/>
          <w:spacing w:val="0"/>
          <w:sz w:val="28"/>
          <w:szCs w:val="28"/>
          <w:shd w:val="clear" w:fill="FFFFFF"/>
        </w:rPr>
        <w:t>在职在编人员正常退休，人员减少。</w:t>
      </w:r>
    </w:p>
    <w:p>
      <w:pPr>
        <w:pStyle w:val="6"/>
        <w:tabs>
          <w:tab w:val="left" w:pos="1235"/>
        </w:tabs>
        <w:spacing w:after="0" w:line="624" w:lineRule="exact"/>
        <w:ind w:firstLine="580"/>
        <w:jc w:val="left"/>
        <w:rPr>
          <w:b/>
          <w:bCs/>
          <w:lang w:val="en-US" w:eastAsia="zh-CN"/>
        </w:rPr>
      </w:pPr>
      <w:r>
        <w:rPr>
          <w:rFonts w:hint="eastAsia"/>
          <w:b/>
          <w:bCs/>
          <w:lang w:val="en-US" w:eastAsia="zh-CN"/>
        </w:rPr>
        <w:t>二、</w:t>
      </w:r>
      <w:r>
        <w:rPr>
          <w:b/>
          <w:bCs/>
        </w:rPr>
        <w:t>部门收入总体情况说明</w:t>
      </w:r>
    </w:p>
    <w:p>
      <w:pPr>
        <w:pStyle w:val="7"/>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2903"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pStyle w:val="7"/>
        <w:spacing w:line="623" w:lineRule="exact"/>
        <w:ind w:left="0" w:leftChars="0" w:firstLine="560" w:firstLineChars="200"/>
        <w:jc w:val="left"/>
        <w:rPr>
          <w:rFonts w:hint="eastAsia" w:eastAsia="宋体"/>
          <w:b/>
          <w:bCs/>
          <w:lang w:eastAsia="zh-CN"/>
        </w:rPr>
      </w:pPr>
      <w:r>
        <w:rPr>
          <w:rFonts w:hint="eastAsia" w:ascii="宋体" w:hAnsi="宋体" w:eastAsia="宋体" w:cs="宋体"/>
          <w:sz w:val="28"/>
          <w:szCs w:val="28"/>
          <w:u w:color="auto"/>
          <w:lang w:eastAsia="zh-CN"/>
        </w:rPr>
        <w:t>2024</w:t>
      </w:r>
      <w:r>
        <w:rPr>
          <w:rFonts w:hint="eastAsia" w:ascii="宋体" w:hAnsi="宋体" w:eastAsia="宋体" w:cs="宋体"/>
          <w:sz w:val="28"/>
          <w:szCs w:val="28"/>
          <w:u w:color="auto"/>
        </w:rPr>
        <w:t>年我部门总收入</w:t>
      </w:r>
      <w:r>
        <w:rPr>
          <w:rFonts w:hint="eastAsia" w:ascii="宋体" w:hAnsi="宋体" w:eastAsia="宋体" w:cs="宋体"/>
          <w:sz w:val="28"/>
          <w:szCs w:val="28"/>
          <w:lang w:val="en-US" w:eastAsia="zh-CN"/>
        </w:rPr>
        <w:t>147.10</w:t>
      </w:r>
      <w:r>
        <w:rPr>
          <w:rFonts w:hint="eastAsia" w:ascii="宋体" w:hAnsi="宋体" w:eastAsia="宋体" w:cs="宋体"/>
          <w:sz w:val="28"/>
          <w:szCs w:val="28"/>
          <w:u w:color="auto"/>
        </w:rPr>
        <w:t>万元，较2023年度预算数</w:t>
      </w:r>
      <w:r>
        <w:rPr>
          <w:rFonts w:hint="eastAsia" w:ascii="宋体" w:hAnsi="宋体" w:eastAsia="宋体" w:cs="宋体"/>
          <w:sz w:val="28"/>
          <w:szCs w:val="28"/>
          <w:lang w:val="en-US" w:eastAsia="zh-CN"/>
        </w:rPr>
        <w:t>150.31</w:t>
      </w:r>
      <w:r>
        <w:rPr>
          <w:rFonts w:hint="eastAsia" w:ascii="宋体" w:hAnsi="宋体" w:eastAsia="宋体" w:cs="宋体"/>
          <w:sz w:val="28"/>
          <w:szCs w:val="28"/>
          <w:u w:color="auto"/>
        </w:rPr>
        <w:t>万元，</w:t>
      </w:r>
      <w:r>
        <w:rPr>
          <w:rFonts w:hint="eastAsia" w:ascii="宋体" w:hAnsi="宋体" w:eastAsia="宋体" w:cs="宋体"/>
          <w:sz w:val="28"/>
          <w:szCs w:val="28"/>
        </w:rPr>
        <w:t>减少3.21</w:t>
      </w:r>
      <w:r>
        <w:rPr>
          <w:rFonts w:hint="eastAsia" w:ascii="宋体" w:hAnsi="宋体" w:eastAsia="宋体" w:cs="宋体"/>
          <w:sz w:val="28"/>
          <w:szCs w:val="28"/>
          <w:u w:color="auto"/>
        </w:rPr>
        <w:t>万元，</w:t>
      </w:r>
      <w:r>
        <w:rPr>
          <w:rFonts w:hint="eastAsia" w:ascii="宋体" w:hAnsi="宋体" w:eastAsia="宋体" w:cs="宋体"/>
          <w:sz w:val="28"/>
          <w:szCs w:val="28"/>
        </w:rPr>
        <w:t>下降2.14%</w:t>
      </w:r>
      <w:r>
        <w:rPr>
          <w:rFonts w:hint="eastAsia" w:cs="宋体"/>
          <w:sz w:val="28"/>
          <w:szCs w:val="28"/>
          <w:u w:color="auto"/>
          <w:lang w:eastAsia="zh-CN"/>
        </w:rPr>
        <w:t>。</w:t>
      </w:r>
      <w:r>
        <w:rPr>
          <w:rFonts w:hint="eastAsia" w:ascii="宋体" w:hAnsi="宋体" w:eastAsia="宋体" w:cs="宋体"/>
          <w:color w:val="auto"/>
          <w:sz w:val="28"/>
          <w:szCs w:val="28"/>
          <w:lang w:eastAsia="zh-CN"/>
        </w:rPr>
        <w:t>主要原因：</w:t>
      </w:r>
      <w:r>
        <w:rPr>
          <w:rFonts w:hint="eastAsia" w:ascii="宋体" w:hAnsi="宋体" w:eastAsia="宋体" w:cs="宋体"/>
          <w:i w:val="0"/>
          <w:iCs w:val="0"/>
          <w:caps w:val="0"/>
          <w:color w:val="auto"/>
          <w:spacing w:val="0"/>
          <w:sz w:val="28"/>
          <w:szCs w:val="28"/>
          <w:shd w:val="clear" w:fill="FFFFFF"/>
        </w:rPr>
        <w:t>在职在编人员正常退休，人员减少。</w:t>
      </w:r>
    </w:p>
    <w:p>
      <w:pPr>
        <w:pStyle w:val="7"/>
        <w:spacing w:line="240" w:lineRule="auto"/>
        <w:ind w:firstLine="0"/>
        <w:jc w:val="left"/>
        <w:rPr>
          <w:rFonts w:ascii="Times New Roman" w:hAnsi="Times New Roman" w:eastAsia="Times New Roman" w:cs="Times New Roman"/>
          <w:sz w:val="30"/>
          <w:szCs w:val="30"/>
        </w:rPr>
      </w:pPr>
      <w:r>
        <w:rPr>
          <w:rFonts w:ascii="Times New Roman" w:hAnsi="Times New Roman" w:eastAsia="Times New Roman" w:cs="Times New Roman"/>
          <w:sz w:val="30"/>
          <w:szCs w:val="30"/>
        </w:rPr>
        <w:drawing>
          <wp:inline distT="0" distB="0" distL="114300" distR="114300">
            <wp:extent cx="5080000" cy="3810000"/>
            <wp:effectExtent l="4445" t="4445" r="20955" b="14605"/>
            <wp:docPr id="2904"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pStyle w:val="7"/>
        <w:spacing w:line="623" w:lineRule="exact"/>
        <w:ind w:left="0" w:leftChars="0" w:firstLine="560" w:firstLineChars="200"/>
        <w:jc w:val="left"/>
        <w:rPr>
          <w:rFonts w:hint="eastAsia" w:ascii="Times New Roman" w:hAnsi="Times New Roman" w:cs="Times New Roman"/>
          <w:sz w:val="30"/>
          <w:szCs w:val="30"/>
          <w:lang w:eastAsia="zh-CN"/>
        </w:rPr>
      </w:pPr>
      <w:r>
        <w:rPr>
          <w:rFonts w:hint="eastAsia" w:ascii="宋体" w:hAnsi="宋体" w:eastAsia="宋体" w:cs="宋体"/>
          <w:sz w:val="28"/>
          <w:szCs w:val="28"/>
          <w:lang w:eastAsia="zh-CN"/>
        </w:rPr>
        <w:t>2024</w:t>
      </w:r>
      <w:r>
        <w:rPr>
          <w:rFonts w:ascii="宋体" w:hAnsi="宋体" w:eastAsia="宋体" w:cs="宋体"/>
          <w:sz w:val="28"/>
          <w:u w:color="auto"/>
        </w:rPr>
        <w:t>年我部门总支出</w:t>
      </w:r>
      <w:r>
        <w:rPr>
          <w:rFonts w:hint="eastAsia" w:ascii="宋体" w:hAnsi="宋体" w:eastAsia="宋体" w:cs="宋体"/>
          <w:sz w:val="28"/>
          <w:szCs w:val="28"/>
          <w:lang w:val="en-US" w:eastAsia="zh-CN"/>
        </w:rPr>
        <w:t>147.10</w:t>
      </w:r>
      <w:r>
        <w:rPr>
          <w:rFonts w:hint="eastAsia" w:ascii="宋体" w:hAnsi="宋体" w:eastAsia="宋体" w:cs="宋体"/>
          <w:sz w:val="28"/>
          <w:szCs w:val="28"/>
          <w:lang w:eastAsia="zh-CN"/>
        </w:rPr>
        <w:t>万元，较2023年度预算数</w:t>
      </w:r>
      <w:r>
        <w:rPr>
          <w:rFonts w:hint="eastAsia" w:ascii="宋体" w:hAnsi="宋体" w:eastAsia="宋体" w:cs="宋体"/>
          <w:sz w:val="28"/>
          <w:szCs w:val="28"/>
          <w:lang w:val="en-US" w:eastAsia="zh-CN"/>
        </w:rPr>
        <w:t>150.31</w:t>
      </w:r>
      <w:r>
        <w:rPr>
          <w:rFonts w:hint="eastAsia" w:ascii="宋体" w:hAnsi="宋体" w:eastAsia="宋体" w:cs="宋体"/>
          <w:sz w:val="28"/>
          <w:szCs w:val="28"/>
          <w:lang w:eastAsia="zh-CN"/>
        </w:rPr>
        <w:t>万元，</w:t>
      </w:r>
      <w:r>
        <w:rPr>
          <w:rFonts w:hint="eastAsia" w:ascii="宋体" w:hAnsi="宋体" w:eastAsia="宋体" w:cs="宋体"/>
          <w:sz w:val="28"/>
          <w:szCs w:val="28"/>
        </w:rPr>
        <w:t>减少3.21</w:t>
      </w:r>
      <w:r>
        <w:rPr>
          <w:rFonts w:hint="eastAsia" w:ascii="宋体" w:hAnsi="宋体" w:eastAsia="宋体" w:cs="宋体"/>
          <w:sz w:val="28"/>
          <w:szCs w:val="28"/>
          <w:lang w:eastAsia="zh-CN"/>
        </w:rPr>
        <w:t>万元，</w:t>
      </w:r>
      <w:r>
        <w:rPr>
          <w:rFonts w:hint="eastAsia" w:ascii="宋体" w:hAnsi="宋体" w:eastAsia="宋体" w:cs="宋体"/>
          <w:sz w:val="28"/>
          <w:szCs w:val="28"/>
        </w:rPr>
        <w:t>下降2.14%</w:t>
      </w:r>
      <w:r>
        <w:rPr>
          <w:rFonts w:hint="eastAsia" w:cs="宋体"/>
          <w:sz w:val="28"/>
          <w:szCs w:val="28"/>
          <w:lang w:eastAsia="zh-CN"/>
        </w:rPr>
        <w:t>。</w:t>
      </w:r>
    </w:p>
    <w:p>
      <w:pPr>
        <w:pStyle w:val="7"/>
        <w:spacing w:after="140" w:line="240" w:lineRule="auto"/>
        <w:ind w:firstLine="0"/>
        <w:jc w:val="left"/>
      </w:pPr>
      <w:r>
        <w:t>（一）按支出功能分类科目划分，共分为</w:t>
      </w:r>
      <w:r>
        <w:rPr>
          <w:rFonts w:hint="eastAsia"/>
          <w:lang w:val="en-US" w:eastAsia="zh-CN"/>
        </w:rPr>
        <w:t>4</w:t>
      </w:r>
      <w:r>
        <w:t>类，其中:</w:t>
      </w:r>
    </w:p>
    <w:p>
      <w:pPr>
        <w:pStyle w:val="7"/>
        <w:spacing w:line="623" w:lineRule="exact"/>
        <w:ind w:left="0" w:leftChars="0" w:firstLine="560" w:firstLineChars="200"/>
        <w:jc w:val="left"/>
        <w:rPr>
          <w:rFonts w:hint="eastAsia" w:ascii="宋体" w:hAnsi="宋体" w:eastAsia="宋体" w:cs="宋体"/>
          <w:color w:val="auto"/>
          <w:sz w:val="28"/>
          <w:szCs w:val="28"/>
          <w:lang w:eastAsia="zh-CN"/>
        </w:rPr>
      </w:pPr>
      <w:r>
        <w:rPr>
          <w:rFonts w:hint="eastAsia" w:ascii="宋体" w:hAnsi="宋体" w:eastAsia="宋体" w:cs="宋体"/>
          <w:sz w:val="28"/>
          <w:szCs w:val="28"/>
        </w:rPr>
        <w:t>(</w:t>
      </w:r>
      <w:r>
        <w:rPr>
          <w:rFonts w:hint="eastAsia" w:ascii="宋体" w:hAnsi="宋体" w:eastAsia="宋体" w:cs="宋体"/>
          <w:sz w:val="28"/>
          <w:szCs w:val="28"/>
          <w:u w:color="auto"/>
        </w:rPr>
        <w:t>1)卫生健康支出</w:t>
      </w:r>
      <w:r>
        <w:rPr>
          <w:rFonts w:hint="eastAsia" w:ascii="宋体" w:hAnsi="宋体" w:eastAsia="宋体" w:cs="宋体"/>
          <w:sz w:val="28"/>
          <w:szCs w:val="28"/>
          <w:lang w:val="en-US" w:eastAsia="zh-CN"/>
        </w:rPr>
        <w:t>113.86</w:t>
      </w:r>
      <w:r>
        <w:rPr>
          <w:rFonts w:hint="eastAsia" w:ascii="宋体" w:hAnsi="宋体" w:eastAsia="宋体" w:cs="宋体"/>
          <w:sz w:val="28"/>
          <w:szCs w:val="28"/>
        </w:rPr>
        <w:t>万元，占支出总预算</w:t>
      </w:r>
      <w:r>
        <w:rPr>
          <w:rFonts w:hint="eastAsia" w:ascii="宋体" w:hAnsi="宋体" w:eastAsia="宋体" w:cs="宋体"/>
          <w:sz w:val="28"/>
          <w:szCs w:val="28"/>
          <w:lang w:val="en-US" w:eastAsia="zh-CN"/>
        </w:rPr>
        <w:t>77.40%</w:t>
      </w:r>
      <w:r>
        <w:rPr>
          <w:rFonts w:hint="eastAsia" w:ascii="宋体" w:hAnsi="宋体" w:eastAsia="宋体" w:cs="宋体"/>
          <w:sz w:val="28"/>
          <w:szCs w:val="28"/>
        </w:rPr>
        <w:t>,比上年</w:t>
      </w:r>
      <w:r>
        <w:rPr>
          <w:rFonts w:hint="eastAsia" w:ascii="宋体" w:hAnsi="宋体" w:eastAsia="宋体" w:cs="宋体"/>
          <w:sz w:val="28"/>
          <w:szCs w:val="28"/>
          <w:lang w:val="en-US" w:eastAsia="zh-CN"/>
        </w:rPr>
        <w:t>减少0.76</w:t>
      </w:r>
      <w:r>
        <w:rPr>
          <w:rFonts w:hint="eastAsia" w:ascii="宋体" w:hAnsi="宋体" w:eastAsia="宋体" w:cs="宋体"/>
          <w:sz w:val="28"/>
          <w:szCs w:val="28"/>
        </w:rPr>
        <w:t>万元，</w:t>
      </w:r>
      <w:r>
        <w:rPr>
          <w:rFonts w:hint="eastAsia" w:ascii="宋体" w:hAnsi="宋体" w:eastAsia="宋体" w:cs="宋体"/>
          <w:sz w:val="28"/>
          <w:szCs w:val="28"/>
          <w:lang w:val="en-US" w:eastAsia="zh-CN"/>
        </w:rPr>
        <w:t>减少0.66%</w:t>
      </w:r>
      <w:r>
        <w:rPr>
          <w:rFonts w:hint="eastAsia" w:ascii="宋体" w:hAnsi="宋体" w:eastAsia="宋体" w:cs="宋体"/>
          <w:sz w:val="28"/>
          <w:szCs w:val="28"/>
          <w:lang w:eastAsia="zh-CN"/>
        </w:rPr>
        <w:t>，</w:t>
      </w:r>
      <w:r>
        <w:rPr>
          <w:rFonts w:hint="eastAsia" w:ascii="宋体" w:hAnsi="宋体" w:eastAsia="宋体" w:cs="宋体"/>
          <w:i w:val="0"/>
          <w:iCs w:val="0"/>
          <w:caps w:val="0"/>
          <w:color w:val="auto"/>
          <w:spacing w:val="0"/>
          <w:sz w:val="28"/>
          <w:szCs w:val="28"/>
          <w:shd w:val="clear" w:fill="FFFFFF"/>
        </w:rPr>
        <w:t>主要用于本部门人员工资及五险经费支出。</w:t>
      </w:r>
    </w:p>
    <w:p>
      <w:pPr>
        <w:pStyle w:val="7"/>
        <w:spacing w:line="623" w:lineRule="exact"/>
        <w:ind w:left="0" w:leftChars="0" w:firstLine="560" w:firstLineChars="200"/>
        <w:jc w:val="left"/>
        <w:rPr>
          <w:rFonts w:hint="eastAsia" w:ascii="宋体" w:hAnsi="宋体" w:eastAsia="宋体" w:cs="宋体"/>
          <w:sz w:val="28"/>
          <w:szCs w:val="28"/>
          <w:lang w:val="en-US" w:eastAsia="zh-CN"/>
        </w:rPr>
      </w:pPr>
      <w:r>
        <w:rPr>
          <w:rFonts w:hint="eastAsia" w:ascii="宋体" w:hAnsi="宋体" w:eastAsia="宋体" w:cs="宋体"/>
          <w:sz w:val="28"/>
          <w:szCs w:val="28"/>
        </w:rPr>
        <w:t>(</w:t>
      </w:r>
      <w:r>
        <w:rPr>
          <w:rFonts w:hint="eastAsia" w:ascii="宋体" w:hAnsi="宋体" w:eastAsia="宋体" w:cs="宋体"/>
          <w:sz w:val="28"/>
          <w:szCs w:val="28"/>
          <w:u w:color="auto"/>
        </w:rPr>
        <w:t>2)社会保障和就业支出</w:t>
      </w:r>
      <w:r>
        <w:rPr>
          <w:rFonts w:hint="eastAsia" w:ascii="宋体" w:hAnsi="宋体" w:eastAsia="宋体" w:cs="宋体"/>
          <w:sz w:val="28"/>
          <w:szCs w:val="28"/>
          <w:lang w:val="en-US" w:eastAsia="zh-CN"/>
        </w:rPr>
        <w:t>17.01</w:t>
      </w:r>
      <w:r>
        <w:rPr>
          <w:rFonts w:hint="eastAsia" w:ascii="宋体" w:hAnsi="宋体" w:eastAsia="宋体" w:cs="宋体"/>
          <w:sz w:val="28"/>
          <w:szCs w:val="28"/>
        </w:rPr>
        <w:t>万元，占支出总预算</w:t>
      </w:r>
      <w:r>
        <w:rPr>
          <w:rFonts w:hint="eastAsia" w:ascii="宋体" w:hAnsi="宋体" w:eastAsia="宋体" w:cs="宋体"/>
          <w:sz w:val="28"/>
          <w:szCs w:val="28"/>
          <w:lang w:val="en-US" w:eastAsia="zh-CN"/>
        </w:rPr>
        <w:t>11.56%</w:t>
      </w:r>
      <w:r>
        <w:rPr>
          <w:rFonts w:hint="eastAsia" w:ascii="宋体" w:hAnsi="宋体" w:eastAsia="宋体" w:cs="宋体"/>
          <w:sz w:val="28"/>
          <w:szCs w:val="28"/>
        </w:rPr>
        <w:t>,比上年</w:t>
      </w:r>
      <w:r>
        <w:rPr>
          <w:rFonts w:hint="eastAsia" w:ascii="宋体" w:hAnsi="宋体" w:eastAsia="宋体" w:cs="宋体"/>
          <w:sz w:val="28"/>
          <w:szCs w:val="28"/>
          <w:lang w:val="en-US" w:eastAsia="zh-CN"/>
        </w:rPr>
        <w:t>减少2.02</w:t>
      </w:r>
      <w:r>
        <w:rPr>
          <w:rFonts w:hint="eastAsia" w:ascii="宋体" w:hAnsi="宋体" w:eastAsia="宋体" w:cs="宋体"/>
          <w:sz w:val="28"/>
          <w:szCs w:val="28"/>
        </w:rPr>
        <w:t>万元，</w:t>
      </w:r>
      <w:r>
        <w:rPr>
          <w:rFonts w:hint="eastAsia" w:ascii="宋体" w:hAnsi="宋体" w:eastAsia="宋体" w:cs="宋体"/>
          <w:sz w:val="28"/>
          <w:szCs w:val="28"/>
          <w:lang w:val="en-US" w:eastAsia="zh-CN"/>
        </w:rPr>
        <w:t>减少10.61%，</w:t>
      </w:r>
      <w:r>
        <w:rPr>
          <w:rFonts w:hint="eastAsia" w:ascii="宋体" w:hAnsi="宋体" w:eastAsia="宋体" w:cs="宋体"/>
          <w:i w:val="0"/>
          <w:iCs w:val="0"/>
          <w:caps w:val="0"/>
          <w:color w:val="333333"/>
          <w:spacing w:val="0"/>
          <w:sz w:val="28"/>
          <w:szCs w:val="28"/>
          <w:shd w:val="clear" w:fill="FFFFFF"/>
        </w:rPr>
        <w:t>主要用于本部门人员五险经费支出。</w:t>
      </w:r>
    </w:p>
    <w:p>
      <w:pPr>
        <w:pStyle w:val="7"/>
        <w:spacing w:line="623" w:lineRule="exact"/>
        <w:ind w:left="0" w:leftChars="0" w:firstLine="560" w:firstLineChars="200"/>
        <w:jc w:val="left"/>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u w:color="auto"/>
        </w:rPr>
        <w:t>3)住房保障支出</w:t>
      </w:r>
      <w:r>
        <w:rPr>
          <w:rFonts w:hint="eastAsia" w:ascii="宋体" w:hAnsi="宋体" w:eastAsia="宋体" w:cs="宋体"/>
          <w:sz w:val="28"/>
          <w:szCs w:val="28"/>
          <w:lang w:val="en-US" w:eastAsia="zh-CN"/>
        </w:rPr>
        <w:t>14.83</w:t>
      </w:r>
      <w:r>
        <w:rPr>
          <w:rFonts w:hint="eastAsia" w:ascii="宋体" w:hAnsi="宋体" w:eastAsia="宋体" w:cs="宋体"/>
          <w:sz w:val="28"/>
          <w:szCs w:val="28"/>
        </w:rPr>
        <w:t>万元，占支出总预算</w:t>
      </w:r>
      <w:r>
        <w:rPr>
          <w:rFonts w:hint="eastAsia" w:ascii="宋体" w:hAnsi="宋体" w:eastAsia="宋体" w:cs="宋体"/>
          <w:sz w:val="28"/>
          <w:szCs w:val="28"/>
          <w:lang w:val="en-US" w:eastAsia="zh-CN"/>
        </w:rPr>
        <w:t>10.08%</w:t>
      </w:r>
      <w:r>
        <w:rPr>
          <w:rFonts w:hint="eastAsia" w:ascii="宋体" w:hAnsi="宋体" w:eastAsia="宋体" w:cs="宋体"/>
          <w:sz w:val="28"/>
          <w:szCs w:val="28"/>
        </w:rPr>
        <w:t>,比上年</w:t>
      </w:r>
      <w:r>
        <w:rPr>
          <w:rFonts w:hint="eastAsia" w:ascii="宋体" w:hAnsi="宋体" w:eastAsia="宋体" w:cs="宋体"/>
          <w:sz w:val="28"/>
          <w:szCs w:val="28"/>
          <w:lang w:val="en-US" w:eastAsia="zh-CN"/>
        </w:rPr>
        <w:t>增长0.55</w:t>
      </w:r>
      <w:r>
        <w:rPr>
          <w:rFonts w:hint="eastAsia" w:ascii="宋体" w:hAnsi="宋体" w:eastAsia="宋体" w:cs="宋体"/>
          <w:sz w:val="28"/>
          <w:szCs w:val="28"/>
        </w:rPr>
        <w:t>万元，</w:t>
      </w:r>
      <w:r>
        <w:rPr>
          <w:rFonts w:hint="eastAsia" w:ascii="宋体" w:hAnsi="宋体" w:eastAsia="宋体" w:cs="宋体"/>
          <w:sz w:val="28"/>
          <w:szCs w:val="28"/>
          <w:lang w:val="en-US" w:eastAsia="zh-CN"/>
        </w:rPr>
        <w:t>增长3.85%</w:t>
      </w:r>
      <w:r>
        <w:rPr>
          <w:rFonts w:hint="eastAsia" w:ascii="宋体" w:hAnsi="宋体" w:eastAsia="宋体" w:cs="宋体"/>
          <w:sz w:val="28"/>
          <w:szCs w:val="28"/>
        </w:rPr>
        <w:t>,</w:t>
      </w:r>
      <w:r>
        <w:rPr>
          <w:rFonts w:hint="eastAsia" w:ascii="宋体" w:hAnsi="宋体" w:eastAsia="宋体" w:cs="宋体"/>
          <w:i w:val="0"/>
          <w:iCs w:val="0"/>
          <w:caps w:val="0"/>
          <w:color w:val="333333"/>
          <w:spacing w:val="0"/>
          <w:sz w:val="28"/>
          <w:szCs w:val="28"/>
          <w:shd w:val="clear" w:fill="FFFFFF"/>
        </w:rPr>
        <w:t>主要用于本部门人员工资及五险经费支出。</w:t>
      </w:r>
    </w:p>
    <w:p>
      <w:pPr>
        <w:pStyle w:val="7"/>
        <w:spacing w:line="623" w:lineRule="exact"/>
        <w:ind w:left="0" w:leftChars="0" w:firstLine="560" w:firstLineChars="200"/>
        <w:jc w:val="left"/>
        <w:rPr>
          <w:rFonts w:hint="eastAsia" w:eastAsia="宋体"/>
          <w:lang w:eastAsia="zh-CN"/>
        </w:rPr>
      </w:pPr>
      <w:r>
        <w:rPr>
          <w:rFonts w:hint="eastAsia"/>
        </w:rPr>
        <w:t>(</w:t>
      </w:r>
      <w:r>
        <w:rPr>
          <w:u w:color="auto"/>
        </w:rPr>
        <w:t>4)一般公共服务支出</w:t>
      </w:r>
      <w:r>
        <w:rPr>
          <w:rFonts w:hint="eastAsia"/>
          <w:lang w:val="en-US" w:eastAsia="zh-CN"/>
        </w:rPr>
        <w:t>1.40</w:t>
      </w:r>
      <w:r>
        <w:rPr>
          <w:rFonts w:hint="eastAsia"/>
        </w:rPr>
        <w:t>万元，占支出总预算</w:t>
      </w:r>
      <w:r>
        <w:rPr>
          <w:rFonts w:hint="eastAsia"/>
          <w:lang w:val="en-US" w:eastAsia="zh-CN"/>
        </w:rPr>
        <w:t>0.95%</w:t>
      </w:r>
      <w:r>
        <w:rPr>
          <w:rFonts w:hint="eastAsia"/>
        </w:rPr>
        <w:t>,比上年</w:t>
      </w:r>
      <w:r>
        <w:rPr>
          <w:rFonts w:hint="eastAsia"/>
          <w:lang w:val="en-US" w:eastAsia="zh-CN"/>
        </w:rPr>
        <w:t>减少0.98</w:t>
      </w:r>
      <w:r>
        <w:rPr>
          <w:rFonts w:hint="eastAsia"/>
        </w:rPr>
        <w:t>万元，</w:t>
      </w:r>
      <w:r>
        <w:rPr>
          <w:rFonts w:hint="eastAsia"/>
          <w:lang w:val="en-US" w:eastAsia="zh-CN"/>
        </w:rPr>
        <w:t>减少41.18%</w:t>
      </w:r>
      <w:r>
        <w:rPr>
          <w:rFonts w:hint="eastAsia"/>
          <w:lang w:eastAsia="zh-CN"/>
        </w:rPr>
        <w:t>，</w:t>
      </w:r>
      <w:r>
        <w:rPr>
          <w:rFonts w:hint="eastAsia" w:ascii="宋体" w:hAnsi="宋体" w:eastAsia="宋体" w:cs="宋体"/>
          <w:i w:val="0"/>
          <w:iCs w:val="0"/>
          <w:caps w:val="0"/>
          <w:color w:val="auto"/>
          <w:spacing w:val="0"/>
          <w:sz w:val="28"/>
          <w:szCs w:val="28"/>
          <w:shd w:val="clear" w:fill="FFFFFF"/>
        </w:rPr>
        <w:t>主要用于计生所为保证日常运转发生的基本支出和按规定预留的绩效工资。如根据国家规定的基本工资和津补贴标准等安排的人员经费支出，确保部门正常运转的办公费、印刷费、水电费、培训费、差旅费、会议费等日常公用经费支出。</w:t>
      </w:r>
    </w:p>
    <w:p>
      <w:pPr>
        <w:pStyle w:val="7"/>
        <w:spacing w:line="635" w:lineRule="exact"/>
        <w:ind w:firstLine="740"/>
        <w:jc w:val="left"/>
      </w:pPr>
      <w:r>
        <w:t>(二)按支出结构分类划分，分为基本支出预算和项目支出预算。</w:t>
      </w:r>
    </w:p>
    <w:p>
      <w:pPr>
        <w:pStyle w:val="7"/>
        <w:spacing w:line="635" w:lineRule="exact"/>
        <w:ind w:firstLine="600"/>
        <w:jc w:val="left"/>
      </w:pPr>
      <w:r>
        <w:rPr>
          <w:rFonts w:ascii="Times New Roman" w:hAnsi="Times New Roman" w:eastAsia="Times New Roman" w:cs="Times New Roman"/>
          <w:sz w:val="30"/>
          <w:szCs w:val="30"/>
        </w:rPr>
        <w:t>1</w:t>
      </w:r>
      <w:r>
        <w:t>.基本支出预算。</w:t>
      </w:r>
    </w:p>
    <w:p>
      <w:pPr>
        <w:pStyle w:val="7"/>
        <w:spacing w:line="619" w:lineRule="exact"/>
        <w:ind w:firstLine="600"/>
        <w:jc w:val="left"/>
        <w:rPr>
          <w:rFonts w:hint="eastAsia"/>
          <w:lang w:val="en-US" w:eastAsia="zh-CN"/>
        </w:rPr>
      </w:pPr>
      <w:r>
        <w:rPr>
          <w:rFonts w:hint="eastAsia"/>
        </w:rPr>
        <w:t>基本支出预算</w:t>
      </w:r>
      <w:r>
        <w:rPr>
          <w:rFonts w:hint="eastAsia"/>
          <w:lang w:val="en-US" w:eastAsia="zh-CN"/>
        </w:rPr>
        <w:t>147.10</w:t>
      </w:r>
      <w:r>
        <w:rPr>
          <w:rFonts w:hint="eastAsia"/>
        </w:rPr>
        <w:t>万元，占支出预算</w:t>
      </w:r>
      <w:r>
        <w:rPr>
          <w:u w:color="auto"/>
        </w:rPr>
        <w:t>100.00%,比上年减少3.21万元，减少2.14%</w:t>
      </w:r>
      <w:r>
        <w:t>。</w:t>
      </w:r>
      <w:r>
        <w:rPr>
          <w:rFonts w:hint="eastAsia"/>
          <w:lang w:val="en-US" w:eastAsia="zh-CN"/>
        </w:rPr>
        <w:t>其中：</w:t>
      </w:r>
    </w:p>
    <w:p>
      <w:pPr>
        <w:pStyle w:val="8"/>
        <w:numPr>
          <w:ilvl w:val="0"/>
          <w:numId w:val="1"/>
        </w:numPr>
        <w:spacing w:after="0" w:line="619" w:lineRule="exact"/>
        <w:ind w:firstLine="740"/>
        <w:jc w:val="left"/>
        <w:rPr>
          <w:rFonts w:hint="eastAsia" w:eastAsia="宋体" w:cs="Times New Roman"/>
          <w:sz w:val="30"/>
          <w:szCs w:val="30"/>
          <w:highlight w:val="none"/>
          <w:lang w:eastAsia="zh-CN"/>
        </w:rPr>
      </w:pPr>
      <w:r>
        <w:rPr>
          <w:rFonts w:ascii="宋体" w:hAnsi="宋体" w:eastAsia="宋体" w:cs="宋体"/>
          <w:sz w:val="28"/>
          <w:u w:color="auto"/>
        </w:rPr>
        <w:t>商品和服务支出</w:t>
      </w:r>
      <w:r>
        <w:rPr>
          <w:rFonts w:hint="eastAsia" w:ascii="宋体" w:hAnsi="宋体" w:eastAsia="宋体" w:cs="宋体"/>
          <w:sz w:val="28"/>
          <w:szCs w:val="28"/>
          <w:lang w:val="en-US" w:eastAsia="zh-CN"/>
        </w:rPr>
        <w:t>5.23</w:t>
      </w:r>
      <w:r>
        <w:rPr>
          <w:rFonts w:hint="eastAsia" w:ascii="宋体" w:hAnsi="宋体" w:eastAsia="宋体" w:cs="宋体"/>
          <w:sz w:val="28"/>
          <w:szCs w:val="28"/>
        </w:rPr>
        <w:t>万</w:t>
      </w:r>
      <w:r>
        <w:rPr>
          <w:rFonts w:ascii="宋体" w:hAnsi="宋体" w:eastAsia="宋体" w:cs="宋体"/>
          <w:sz w:val="28"/>
          <w:szCs w:val="28"/>
        </w:rPr>
        <w:t>元，占基本支出总预算</w:t>
      </w:r>
      <w:r>
        <w:rPr>
          <w:rFonts w:hint="eastAsia" w:ascii="宋体" w:hAnsi="宋体" w:eastAsia="宋体" w:cs="宋体"/>
          <w:sz w:val="28"/>
          <w:szCs w:val="28"/>
          <w:lang w:val="en-US" w:eastAsia="zh-CN"/>
        </w:rPr>
        <w:t>3.56%</w:t>
      </w:r>
      <w:r>
        <w:rPr>
          <w:rFonts w:hint="eastAsia"/>
        </w:rPr>
        <w:t>,</w:t>
      </w:r>
      <w:r>
        <w:t>比上年</w:t>
      </w:r>
      <w:r>
        <w:rPr>
          <w:rFonts w:hint="eastAsia"/>
        </w:rPr>
        <w:t>减少0.98</w:t>
      </w:r>
      <w:r>
        <w:t>万元，</w:t>
      </w:r>
      <w:r>
        <w:rPr>
          <w:rFonts w:hint="eastAsia"/>
        </w:rPr>
        <w:t>减少15.78%</w:t>
      </w:r>
      <w:r>
        <w:rPr>
          <w:rFonts w:hint="eastAsia" w:eastAsia="宋体" w:cs="Times New Roman"/>
          <w:sz w:val="30"/>
          <w:szCs w:val="30"/>
          <w:highlight w:val="none"/>
          <w:lang w:eastAsia="zh-CN"/>
        </w:rPr>
        <w:t>。</w:t>
      </w:r>
    </w:p>
    <w:p>
      <w:pPr>
        <w:pStyle w:val="8"/>
        <w:numPr>
          <w:ilvl w:val="0"/>
          <w:numId w:val="1"/>
        </w:numPr>
        <w:spacing w:after="0" w:line="619" w:lineRule="exact"/>
        <w:ind w:firstLine="740"/>
        <w:jc w:val="left"/>
        <w:rPr>
          <w:rFonts w:hint="eastAsia"/>
          <w:highlight w:val="none"/>
          <w:lang w:val="en-US" w:eastAsia="zh-CN"/>
        </w:rPr>
      </w:pPr>
      <w:r>
        <w:rPr>
          <w:rFonts w:hint="eastAsia" w:ascii="宋体" w:hAnsi="宋体" w:eastAsia="宋体" w:cs="宋体"/>
          <w:sz w:val="28"/>
          <w:szCs w:val="28"/>
        </w:rPr>
        <w:t>(</w:t>
      </w:r>
      <w:r>
        <w:rPr>
          <w:rFonts w:ascii="宋体" w:hAnsi="宋体" w:eastAsia="宋体" w:cs="宋体"/>
          <w:sz w:val="28"/>
          <w:u w:color="auto"/>
        </w:rPr>
        <w:t>2)工资福利支出</w:t>
      </w:r>
      <w:r>
        <w:rPr>
          <w:rFonts w:hint="eastAsia" w:ascii="宋体" w:hAnsi="宋体" w:eastAsia="宋体" w:cs="宋体"/>
          <w:sz w:val="28"/>
          <w:szCs w:val="28"/>
          <w:lang w:val="en-US" w:eastAsia="zh-CN"/>
        </w:rPr>
        <w:t>141.87</w:t>
      </w:r>
      <w:r>
        <w:rPr>
          <w:rFonts w:hint="eastAsia" w:ascii="宋体" w:hAnsi="宋体" w:eastAsia="宋体" w:cs="宋体"/>
          <w:sz w:val="28"/>
          <w:szCs w:val="28"/>
        </w:rPr>
        <w:t>万</w:t>
      </w:r>
      <w:r>
        <w:rPr>
          <w:rFonts w:ascii="宋体" w:hAnsi="宋体" w:eastAsia="宋体" w:cs="宋体"/>
          <w:sz w:val="28"/>
          <w:szCs w:val="28"/>
        </w:rPr>
        <w:t>元，占基本支出总预算</w:t>
      </w:r>
      <w:r>
        <w:rPr>
          <w:rFonts w:hint="eastAsia" w:ascii="宋体" w:hAnsi="宋体" w:eastAsia="宋体" w:cs="宋体"/>
          <w:sz w:val="28"/>
          <w:szCs w:val="28"/>
          <w:lang w:val="en-US" w:eastAsia="zh-CN"/>
        </w:rPr>
        <w:t>96.44%</w:t>
      </w:r>
      <w:r>
        <w:rPr>
          <w:rFonts w:hint="eastAsia"/>
        </w:rPr>
        <w:t>,</w:t>
      </w:r>
      <w:r>
        <w:t>比上年</w:t>
      </w:r>
      <w:r>
        <w:rPr>
          <w:rFonts w:hint="eastAsia"/>
        </w:rPr>
        <w:t>减少2.23</w:t>
      </w:r>
      <w:r>
        <w:t>万元，</w:t>
      </w:r>
      <w:r>
        <w:rPr>
          <w:rFonts w:hint="eastAsia"/>
        </w:rPr>
        <w:t>减少1.55%</w:t>
      </w:r>
      <w:r>
        <w:rPr>
          <w:rFonts w:hint="eastAsia" w:eastAsia="宋体" w:cs="Times New Roman"/>
          <w:sz w:val="30"/>
          <w:szCs w:val="30"/>
          <w:highlight w:val="none"/>
          <w:lang w:eastAsia="zh-CN"/>
        </w:rPr>
        <w:t>。</w:t>
      </w:r>
    </w:p>
    <w:p>
      <w:pPr>
        <w:pStyle w:val="7"/>
        <w:numPr>
          <w:ilvl w:val="0"/>
          <w:numId w:val="2"/>
        </w:numPr>
        <w:spacing w:line="614" w:lineRule="exact"/>
        <w:ind w:firstLine="600"/>
        <w:jc w:val="left"/>
      </w:pPr>
      <w:r>
        <w:t>项目支出预算。</w:t>
      </w:r>
    </w:p>
    <w:p>
      <w:pPr>
        <w:pStyle w:val="7"/>
        <w:spacing w:line="619" w:lineRule="exact"/>
        <w:ind w:firstLine="600"/>
        <w:jc w:val="left"/>
        <w:rPr>
          <w:rFonts w:hint="eastAsia"/>
          <w:lang w:val="en-US" w:eastAsia="zh-CN"/>
        </w:rPr>
      </w:pPr>
      <w:r>
        <w:rPr>
          <w:rFonts w:hint="eastAsia"/>
        </w:rPr>
        <w:t>项目支出预算</w:t>
      </w:r>
      <w:r>
        <w:rPr>
          <w:rFonts w:hint="eastAsia"/>
          <w:lang w:val="en-US" w:eastAsia="zh-CN"/>
        </w:rPr>
        <w:t>0.00</w:t>
      </w:r>
      <w:r>
        <w:rPr>
          <w:rFonts w:hint="eastAsia"/>
        </w:rPr>
        <w:t>万元，占支出预算</w:t>
      </w:r>
      <w:r>
        <w:rPr>
          <w:u w:color="auto"/>
        </w:rPr>
        <w:t>0.00%</w:t>
      </w:r>
      <w:r>
        <w:rPr>
          <w:rFonts w:hint="eastAsia"/>
        </w:rPr>
        <w:t>,比上年</w:t>
      </w:r>
      <w:r>
        <w:rPr>
          <w:u w:color="auto"/>
        </w:rPr>
        <w:t>增长0.00</w:t>
      </w:r>
      <w:r>
        <w:rPr>
          <w:rFonts w:hint="eastAsia"/>
        </w:rPr>
        <w:t>万元，</w:t>
      </w:r>
      <w:r>
        <w:rPr>
          <w:u w:color="auto"/>
        </w:rPr>
        <w:t>增长0%</w:t>
      </w:r>
      <w:r>
        <w:t>。</w:t>
      </w:r>
    </w:p>
    <w:p>
      <w:pPr>
        <w:pStyle w:val="6"/>
        <w:numPr>
          <w:ilvl w:val="0"/>
          <w:numId w:val="0"/>
        </w:numPr>
        <w:tabs>
          <w:tab w:val="left" w:pos="1238"/>
        </w:tabs>
        <w:spacing w:after="0" w:line="625" w:lineRule="exact"/>
        <w:jc w:val="left"/>
        <w:rPr>
          <w:b/>
          <w:bCs/>
        </w:rPr>
      </w:pPr>
    </w:p>
    <w:p>
      <w:pPr>
        <w:pStyle w:val="6"/>
        <w:numPr>
          <w:ilvl w:val="0"/>
          <w:numId w:val="0"/>
        </w:numPr>
        <w:tabs>
          <w:tab w:val="left" w:pos="1238"/>
        </w:tabs>
        <w:spacing w:after="0" w:line="625" w:lineRule="exact"/>
        <w:jc w:val="left"/>
        <w:rPr>
          <w:b/>
          <w:bCs/>
        </w:rPr>
      </w:pPr>
    </w:p>
    <w:p>
      <w:pPr>
        <w:pStyle w:val="6"/>
        <w:numPr>
          <w:ilvl w:val="0"/>
          <w:numId w:val="0"/>
        </w:numPr>
        <w:tabs>
          <w:tab w:val="left" w:pos="1238"/>
        </w:tabs>
        <w:spacing w:after="0" w:line="625" w:lineRule="exact"/>
        <w:jc w:val="left"/>
        <w:rPr>
          <w:b/>
          <w:bCs/>
        </w:rPr>
      </w:pPr>
    </w:p>
    <w:p>
      <w:pPr>
        <w:pStyle w:val="6"/>
        <w:numPr>
          <w:ilvl w:val="0"/>
          <w:numId w:val="0"/>
        </w:numPr>
        <w:tabs>
          <w:tab w:val="left" w:pos="1238"/>
        </w:tabs>
        <w:spacing w:after="0" w:line="625" w:lineRule="exact"/>
        <w:jc w:val="left"/>
        <w:rPr>
          <w:b/>
          <w:bCs/>
        </w:rPr>
      </w:pPr>
    </w:p>
    <w:p>
      <w:pPr>
        <w:pStyle w:val="6"/>
        <w:numPr>
          <w:ilvl w:val="0"/>
          <w:numId w:val="0"/>
        </w:numPr>
        <w:tabs>
          <w:tab w:val="left" w:pos="1238"/>
        </w:tabs>
        <w:spacing w:after="0" w:line="625" w:lineRule="exact"/>
        <w:jc w:val="left"/>
        <w:rPr>
          <w:b/>
          <w:bCs/>
        </w:rPr>
      </w:pPr>
    </w:p>
    <w:p>
      <w:pPr>
        <w:pStyle w:val="6"/>
        <w:numPr>
          <w:ilvl w:val="0"/>
          <w:numId w:val="0"/>
        </w:numPr>
        <w:tabs>
          <w:tab w:val="left" w:pos="1238"/>
        </w:tabs>
        <w:spacing w:after="0" w:line="625" w:lineRule="exact"/>
        <w:jc w:val="left"/>
        <w:rPr>
          <w:b/>
          <w:bCs/>
        </w:rPr>
      </w:pPr>
    </w:p>
    <w:p>
      <w:pPr>
        <w:pStyle w:val="6"/>
        <w:numPr>
          <w:ilvl w:val="0"/>
          <w:numId w:val="0"/>
        </w:numPr>
        <w:tabs>
          <w:tab w:val="left" w:pos="1238"/>
        </w:tabs>
        <w:spacing w:after="0" w:line="625" w:lineRule="exact"/>
        <w:jc w:val="left"/>
        <w:rPr>
          <w:b/>
          <w:bCs/>
        </w:rPr>
      </w:pPr>
    </w:p>
    <w:p>
      <w:pPr>
        <w:pStyle w:val="6"/>
        <w:tabs>
          <w:tab w:val="left" w:pos="1235"/>
        </w:tabs>
        <w:spacing w:after="0" w:line="624" w:lineRule="exact"/>
        <w:ind w:firstLine="580"/>
        <w:jc w:val="left"/>
        <w:rPr>
          <w:b/>
          <w:bCs/>
        </w:rPr>
      </w:pPr>
      <w:r>
        <w:rPr>
          <w:rFonts w:hint="eastAsia"/>
          <w:b/>
          <w:bCs/>
          <w:lang w:val="en-US" w:eastAsia="zh-CN"/>
        </w:rPr>
        <w:t>四、</w:t>
      </w:r>
      <w:r>
        <w:rPr>
          <w:b/>
          <w:bCs/>
        </w:rPr>
        <w:t>财政拨款收支总体情况说明</w:t>
      </w:r>
    </w:p>
    <w:p>
      <w:pPr>
        <w:pStyle w:val="7"/>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20955" b="14605"/>
            <wp:docPr id="2905"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pStyle w:val="7"/>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2024</w:t>
      </w:r>
      <w:r>
        <w:rPr>
          <w:rFonts w:hint="eastAsia" w:ascii="宋体" w:hAnsi="宋体" w:eastAsia="宋体" w:cs="宋体"/>
          <w:sz w:val="28"/>
          <w:szCs w:val="28"/>
          <w:u w:color="auto"/>
        </w:rPr>
        <w:t>年</w:t>
      </w:r>
      <w:r>
        <w:rPr>
          <w:rFonts w:hint="eastAsia" w:ascii="宋体" w:hAnsi="宋体" w:eastAsia="宋体" w:cs="宋体"/>
          <w:sz w:val="28"/>
          <w:szCs w:val="28"/>
        </w:rPr>
        <w:t>财政拨款收入我部门财政拨款总收入</w:t>
      </w:r>
      <w:r>
        <w:rPr>
          <w:rFonts w:hint="eastAsia" w:ascii="宋体" w:hAnsi="宋体" w:eastAsia="宋体" w:cs="宋体"/>
          <w:sz w:val="28"/>
          <w:szCs w:val="28"/>
          <w:lang w:val="en-US" w:eastAsia="zh-CN" w:bidi="en-US"/>
        </w:rPr>
        <w:t>147.10</w:t>
      </w:r>
      <w:r>
        <w:rPr>
          <w:rFonts w:hint="eastAsia" w:ascii="宋体" w:hAnsi="宋体" w:eastAsia="宋体" w:cs="宋体"/>
          <w:sz w:val="28"/>
          <w:szCs w:val="28"/>
        </w:rPr>
        <w:t>万元，总支出</w:t>
      </w:r>
      <w:r>
        <w:rPr>
          <w:rFonts w:hint="eastAsia" w:ascii="宋体" w:hAnsi="宋体" w:eastAsia="宋体" w:cs="宋体"/>
          <w:sz w:val="28"/>
          <w:szCs w:val="28"/>
          <w:lang w:val="en-US" w:eastAsia="zh-CN" w:bidi="en-US"/>
        </w:rPr>
        <w:t>147.10</w:t>
      </w:r>
      <w:r>
        <w:rPr>
          <w:rFonts w:hint="eastAsia" w:ascii="宋体" w:hAnsi="宋体" w:eastAsia="宋体" w:cs="宋体"/>
          <w:sz w:val="28"/>
          <w:szCs w:val="28"/>
        </w:rPr>
        <w:t>万元。财政拨款总收入较2023年度预算数</w:t>
      </w:r>
      <w:r>
        <w:rPr>
          <w:rFonts w:hint="eastAsia" w:ascii="宋体" w:hAnsi="宋体" w:eastAsia="宋体" w:cs="宋体"/>
          <w:sz w:val="28"/>
          <w:szCs w:val="28"/>
          <w:lang w:val="en-US" w:eastAsia="zh-CN" w:bidi="en-US"/>
        </w:rPr>
        <w:t>150.31</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减少3.21</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下降2.14%</w:t>
      </w:r>
      <w:r>
        <w:rPr>
          <w:rFonts w:hint="eastAsia" w:ascii="宋体" w:hAnsi="宋体" w:eastAsia="宋体" w:cs="宋体"/>
          <w:sz w:val="28"/>
          <w:szCs w:val="28"/>
        </w:rPr>
        <w:t>，主要原因是</w:t>
      </w:r>
      <w:r>
        <w:rPr>
          <w:rFonts w:hint="eastAsia"/>
          <w:highlight w:val="none"/>
          <w:lang w:val="en-US" w:eastAsia="zh-CN"/>
        </w:rPr>
        <w:t>人员变动，有人员退休。</w:t>
      </w:r>
      <w:r>
        <w:rPr>
          <w:rFonts w:hint="eastAsia" w:ascii="宋体" w:hAnsi="宋体" w:eastAsia="宋体" w:cs="宋体"/>
          <w:sz w:val="28"/>
          <w:szCs w:val="28"/>
        </w:rPr>
        <w:t>财政拨款总支出较2023年度预算数</w:t>
      </w:r>
      <w:r>
        <w:rPr>
          <w:rFonts w:hint="eastAsia" w:ascii="宋体" w:hAnsi="宋体" w:eastAsia="宋体" w:cs="宋体"/>
          <w:sz w:val="28"/>
          <w:szCs w:val="28"/>
          <w:lang w:val="en-US" w:eastAsia="zh-CN" w:bidi="en-US"/>
        </w:rPr>
        <w:t>150.31</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减少3.21</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下降2.14%</w:t>
      </w:r>
      <w:r>
        <w:rPr>
          <w:rFonts w:hint="eastAsia" w:cs="宋体"/>
          <w:sz w:val="28"/>
          <w:szCs w:val="28"/>
          <w:lang w:eastAsia="zh-CN"/>
        </w:rPr>
        <w:t>。</w:t>
      </w:r>
    </w:p>
    <w:p>
      <w:pPr>
        <w:pStyle w:val="6"/>
        <w:numPr>
          <w:ilvl w:val="0"/>
          <w:numId w:val="0"/>
        </w:numPr>
        <w:tabs>
          <w:tab w:val="left" w:pos="1238"/>
        </w:tabs>
        <w:spacing w:after="0" w:line="625" w:lineRule="exact"/>
        <w:ind w:firstLine="560" w:firstLineChars="200"/>
        <w:jc w:val="left"/>
        <w:rPr>
          <w:rFonts w:hint="eastAsia"/>
          <w:sz w:val="28"/>
          <w:szCs w:val="28"/>
        </w:rPr>
      </w:pPr>
    </w:p>
    <w:p>
      <w:pPr>
        <w:pStyle w:val="6"/>
        <w:numPr>
          <w:ilvl w:val="0"/>
          <w:numId w:val="0"/>
        </w:numPr>
        <w:tabs>
          <w:tab w:val="left" w:pos="1238"/>
        </w:tabs>
        <w:spacing w:after="0" w:line="625" w:lineRule="exact"/>
        <w:ind w:firstLine="560" w:firstLineChars="200"/>
        <w:jc w:val="left"/>
        <w:rPr>
          <w:rFonts w:hint="eastAsia"/>
          <w:sz w:val="28"/>
          <w:szCs w:val="28"/>
        </w:rPr>
      </w:pPr>
    </w:p>
    <w:p>
      <w:pPr>
        <w:pStyle w:val="6"/>
        <w:numPr>
          <w:ilvl w:val="0"/>
          <w:numId w:val="0"/>
        </w:numPr>
        <w:tabs>
          <w:tab w:val="left" w:pos="1238"/>
        </w:tabs>
        <w:spacing w:after="0" w:line="625" w:lineRule="exact"/>
        <w:ind w:firstLine="560" w:firstLineChars="200"/>
        <w:jc w:val="left"/>
        <w:rPr>
          <w:rFonts w:hint="eastAsia"/>
          <w:sz w:val="28"/>
          <w:szCs w:val="28"/>
        </w:rPr>
      </w:pPr>
    </w:p>
    <w:p>
      <w:pPr>
        <w:pStyle w:val="6"/>
        <w:numPr>
          <w:ilvl w:val="0"/>
          <w:numId w:val="0"/>
        </w:numPr>
        <w:tabs>
          <w:tab w:val="left" w:pos="1238"/>
        </w:tabs>
        <w:spacing w:after="0" w:line="625" w:lineRule="exact"/>
        <w:ind w:firstLine="560" w:firstLineChars="200"/>
        <w:jc w:val="left"/>
        <w:rPr>
          <w:rFonts w:hint="eastAsia"/>
          <w:sz w:val="28"/>
          <w:szCs w:val="28"/>
        </w:rPr>
      </w:pPr>
    </w:p>
    <w:p>
      <w:pPr>
        <w:pStyle w:val="6"/>
        <w:numPr>
          <w:ilvl w:val="0"/>
          <w:numId w:val="0"/>
        </w:numPr>
        <w:tabs>
          <w:tab w:val="left" w:pos="1238"/>
        </w:tabs>
        <w:spacing w:after="0" w:line="625" w:lineRule="exact"/>
        <w:ind w:firstLine="560" w:firstLineChars="200"/>
        <w:jc w:val="left"/>
        <w:rPr>
          <w:rFonts w:hint="eastAsia"/>
          <w:sz w:val="28"/>
          <w:szCs w:val="28"/>
        </w:rPr>
      </w:pPr>
    </w:p>
    <w:p>
      <w:pPr>
        <w:pStyle w:val="6"/>
        <w:numPr>
          <w:ilvl w:val="0"/>
          <w:numId w:val="0"/>
        </w:numPr>
        <w:tabs>
          <w:tab w:val="left" w:pos="1238"/>
        </w:tabs>
        <w:spacing w:after="0" w:line="625" w:lineRule="exact"/>
        <w:jc w:val="left"/>
        <w:rPr>
          <w:rFonts w:hint="eastAsia"/>
          <w:sz w:val="28"/>
          <w:szCs w:val="28"/>
        </w:rPr>
      </w:pPr>
    </w:p>
    <w:p>
      <w:pPr>
        <w:pStyle w:val="6"/>
        <w:tabs>
          <w:tab w:val="left" w:pos="1235"/>
        </w:tabs>
        <w:spacing w:after="0" w:line="624" w:lineRule="exact"/>
        <w:ind w:firstLine="580"/>
        <w:jc w:val="left"/>
        <w:rPr>
          <w:b/>
          <w:bCs/>
        </w:rPr>
      </w:pPr>
      <w:r>
        <w:rPr>
          <w:rFonts w:hint="eastAsia"/>
          <w:b/>
          <w:bCs/>
          <w:lang w:val="en-US" w:eastAsia="zh-CN"/>
        </w:rPr>
        <w:t>五、</w:t>
      </w:r>
      <w:r>
        <w:rPr>
          <w:b/>
          <w:bCs/>
        </w:rPr>
        <w:t>一般公共预算支出情况说明</w:t>
      </w:r>
    </w:p>
    <w:p>
      <w:pPr>
        <w:pStyle w:val="7"/>
        <w:spacing w:line="240" w:lineRule="auto"/>
        <w:ind w:firstLine="0"/>
        <w:jc w:val="left"/>
        <w:rPr>
          <w:lang w:eastAsia="zh-CN"/>
        </w:rPr>
      </w:pPr>
      <w:r>
        <w:rPr>
          <w:lang w:eastAsia="zh-CN"/>
        </w:rPr>
        <w:drawing>
          <wp:inline distT="0" distB="0" distL="114300" distR="114300">
            <wp:extent cx="5080000" cy="3810000"/>
            <wp:effectExtent l="4445" t="4445" r="20955" b="14605"/>
            <wp:docPr id="2906"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pStyle w:val="7"/>
        <w:spacing w:line="623" w:lineRule="exact"/>
        <w:ind w:left="0" w:leftChars="0" w:firstLine="560" w:firstLineChars="200"/>
        <w:jc w:val="left"/>
        <w:rPr>
          <w:rFonts w:hint="eastAsia" w:ascii="宋体" w:hAnsi="宋体" w:eastAsia="宋体" w:cs="宋体"/>
          <w:sz w:val="28"/>
          <w:szCs w:val="28"/>
        </w:rPr>
      </w:pPr>
      <w:r>
        <w:rPr>
          <w:rFonts w:hint="eastAsia" w:ascii="宋体" w:hAnsi="宋体" w:eastAsia="宋体" w:cs="宋体"/>
          <w:sz w:val="28"/>
          <w:szCs w:val="28"/>
          <w:lang w:eastAsia="zh-CN"/>
        </w:rPr>
        <w:t>2024</w:t>
      </w:r>
      <w:r>
        <w:rPr>
          <w:rFonts w:hint="eastAsia" w:ascii="宋体" w:hAnsi="宋体" w:eastAsia="宋体" w:cs="宋体"/>
          <w:sz w:val="28"/>
          <w:szCs w:val="28"/>
          <w:lang w:val="en-US" w:eastAsia="zh-CN"/>
        </w:rPr>
        <w:t>年</w:t>
      </w:r>
      <w:r>
        <w:rPr>
          <w:rFonts w:hint="eastAsia" w:ascii="宋体" w:hAnsi="宋体" w:eastAsia="宋体" w:cs="宋体"/>
          <w:sz w:val="28"/>
          <w:szCs w:val="28"/>
        </w:rPr>
        <w:t>一般公共预算支出共</w:t>
      </w:r>
      <w:r>
        <w:rPr>
          <w:rFonts w:hint="eastAsia" w:ascii="宋体" w:hAnsi="宋体" w:eastAsia="宋体" w:cs="宋体"/>
          <w:sz w:val="28"/>
          <w:szCs w:val="28"/>
          <w:lang w:val="en-US" w:eastAsia="zh-CN"/>
        </w:rPr>
        <w:t>147.10</w:t>
      </w:r>
      <w:r>
        <w:rPr>
          <w:rFonts w:hint="eastAsia" w:ascii="宋体" w:hAnsi="宋体" w:eastAsia="宋体" w:cs="宋体"/>
          <w:sz w:val="28"/>
          <w:szCs w:val="28"/>
        </w:rPr>
        <w:t>万元，较2023年度预算数</w:t>
      </w:r>
      <w:r>
        <w:rPr>
          <w:rFonts w:hint="eastAsia" w:ascii="宋体" w:hAnsi="宋体" w:eastAsia="宋体" w:cs="宋体"/>
          <w:sz w:val="28"/>
          <w:szCs w:val="28"/>
          <w:lang w:val="en-US" w:eastAsia="zh-CN"/>
        </w:rPr>
        <w:t>150.31</w:t>
      </w:r>
      <w:r>
        <w:rPr>
          <w:rFonts w:hint="eastAsia" w:ascii="宋体" w:hAnsi="宋体" w:eastAsia="宋体" w:cs="宋体"/>
          <w:sz w:val="28"/>
          <w:szCs w:val="28"/>
        </w:rPr>
        <w:t>万元，</w:t>
      </w:r>
      <w:r>
        <w:rPr>
          <w:rFonts w:hint="eastAsia" w:ascii="宋体" w:hAnsi="宋体" w:eastAsia="宋体" w:cs="宋体"/>
          <w:sz w:val="28"/>
          <w:szCs w:val="28"/>
          <w:lang w:val="en-US" w:eastAsia="zh-CN"/>
        </w:rPr>
        <w:t>减少3.21</w:t>
      </w:r>
      <w:r>
        <w:rPr>
          <w:rFonts w:hint="eastAsia" w:ascii="宋体" w:hAnsi="宋体" w:eastAsia="宋体" w:cs="宋体"/>
          <w:sz w:val="28"/>
          <w:szCs w:val="28"/>
        </w:rPr>
        <w:t>万元，</w:t>
      </w:r>
      <w:r>
        <w:rPr>
          <w:rFonts w:hint="eastAsia" w:ascii="宋体" w:hAnsi="宋体" w:eastAsia="宋体" w:cs="宋体"/>
          <w:sz w:val="28"/>
          <w:szCs w:val="28"/>
          <w:lang w:val="en-US" w:eastAsia="zh-CN"/>
        </w:rPr>
        <w:t>下降2.14%</w:t>
      </w:r>
      <w:r>
        <w:rPr>
          <w:rFonts w:hint="eastAsia" w:ascii="宋体" w:hAnsi="宋体" w:eastAsia="宋体" w:cs="宋体"/>
          <w:sz w:val="28"/>
          <w:szCs w:val="28"/>
        </w:rPr>
        <w:t>，主要原因是</w:t>
      </w:r>
      <w:r>
        <w:rPr>
          <w:rFonts w:hint="eastAsia"/>
          <w:highlight w:val="none"/>
          <w:lang w:val="en-US" w:eastAsia="zh-CN"/>
        </w:rPr>
        <w:t>人员变动，有人员退休。</w:t>
      </w:r>
      <w:r>
        <w:rPr>
          <w:rFonts w:hint="eastAsia" w:ascii="宋体" w:hAnsi="宋体" w:eastAsia="宋体" w:cs="宋体"/>
          <w:sz w:val="28"/>
          <w:szCs w:val="28"/>
        </w:rPr>
        <w:t>。中央提前下达2024年一般公共预算转移支付资金安排的支出</w:t>
      </w:r>
      <w:r>
        <w:rPr>
          <w:rFonts w:hint="eastAsia" w:ascii="宋体" w:hAnsi="宋体" w:eastAsia="宋体" w:cs="宋体"/>
          <w:sz w:val="28"/>
          <w:szCs w:val="28"/>
          <w:lang w:val="en-US" w:eastAsia="zh-CN"/>
        </w:rPr>
        <w:t>0.00</w:t>
      </w:r>
      <w:r>
        <w:rPr>
          <w:rFonts w:hint="eastAsia" w:ascii="宋体" w:hAnsi="宋体" w:eastAsia="宋体" w:cs="宋体"/>
          <w:sz w:val="28"/>
          <w:szCs w:val="28"/>
        </w:rPr>
        <w:t>万元。具体情况为：</w:t>
      </w:r>
    </w:p>
    <w:p>
      <w:pPr>
        <w:pStyle w:val="7"/>
        <w:spacing w:line="623" w:lineRule="exact"/>
        <w:ind w:left="0" w:leftChars="0" w:firstLine="560" w:firstLineChars="200"/>
        <w:jc w:val="left"/>
        <w:rPr>
          <w:rFonts w:hint="eastAsia" w:cs="宋体"/>
          <w:sz w:val="28"/>
          <w:szCs w:val="28"/>
          <w:lang w:eastAsia="zh-CN"/>
        </w:rPr>
      </w:pPr>
      <w:r>
        <w:rPr>
          <w:rFonts w:hint="eastAsia" w:ascii="宋体" w:hAnsi="宋体" w:eastAsia="宋体" w:cs="宋体"/>
          <w:sz w:val="28"/>
          <w:szCs w:val="28"/>
        </w:rPr>
        <w:t>一般公共服务支出（类）支出</w:t>
      </w:r>
      <w:r>
        <w:rPr>
          <w:rFonts w:ascii="宋体" w:hAnsi="宋体" w:eastAsia="宋体" w:cs="宋体"/>
          <w:sz w:val="28"/>
          <w:u w:color="auto"/>
        </w:rPr>
        <w:t>1.40</w:t>
      </w:r>
      <w:r>
        <w:rPr>
          <w:rFonts w:hint="eastAsia" w:ascii="宋体" w:hAnsi="宋体" w:eastAsia="宋体" w:cs="宋体"/>
          <w:sz w:val="28"/>
          <w:szCs w:val="28"/>
        </w:rPr>
        <w:t>万元，占支出总预算的</w:t>
      </w:r>
      <w:r>
        <w:rPr>
          <w:rFonts w:ascii="宋体" w:hAnsi="宋体" w:eastAsia="宋体" w:cs="宋体"/>
          <w:sz w:val="28"/>
          <w:u w:color="auto"/>
        </w:rPr>
        <w:t>0.95%</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2.38</w:t>
      </w:r>
      <w:r>
        <w:rPr>
          <w:rFonts w:hint="eastAsia" w:ascii="宋体" w:hAnsi="宋体" w:eastAsia="宋体" w:cs="宋体"/>
          <w:sz w:val="28"/>
          <w:szCs w:val="28"/>
        </w:rPr>
        <w:t>万元，</w:t>
      </w:r>
      <w:r>
        <w:rPr>
          <w:rFonts w:ascii="宋体" w:hAnsi="宋体" w:eastAsia="宋体" w:cs="宋体"/>
          <w:sz w:val="28"/>
          <w:u w:color="auto"/>
        </w:rPr>
        <w:t>减少0.98</w:t>
      </w:r>
      <w:r>
        <w:rPr>
          <w:rFonts w:hint="eastAsia" w:ascii="宋体" w:hAnsi="宋体" w:eastAsia="宋体" w:cs="宋体"/>
          <w:sz w:val="28"/>
          <w:szCs w:val="28"/>
        </w:rPr>
        <w:t>万元，</w:t>
      </w:r>
      <w:r>
        <w:rPr>
          <w:rFonts w:ascii="宋体" w:hAnsi="宋体" w:eastAsia="宋体" w:cs="宋体"/>
          <w:sz w:val="28"/>
          <w:u w:color="auto"/>
        </w:rPr>
        <w:t>减少41.18%</w:t>
      </w:r>
      <w:r>
        <w:rPr>
          <w:rFonts w:hint="eastAsia" w:cs="宋体"/>
          <w:sz w:val="28"/>
          <w:szCs w:val="28"/>
          <w:lang w:eastAsia="zh-CN"/>
        </w:rPr>
        <w:t>。</w:t>
      </w:r>
    </w:p>
    <w:p>
      <w:pPr>
        <w:pStyle w:val="7"/>
        <w:spacing w:line="623" w:lineRule="exact"/>
        <w:ind w:left="0" w:leftChars="0" w:firstLine="560" w:firstLineChars="200"/>
        <w:jc w:val="left"/>
        <w:rPr>
          <w:rFonts w:hint="eastAsia" w:ascii="宋体" w:hAnsi="宋体" w:eastAsia="宋体" w:cs="宋体"/>
          <w:sz w:val="28"/>
          <w:szCs w:val="28"/>
        </w:rPr>
      </w:pPr>
      <w:r>
        <w:rPr>
          <w:rFonts w:hint="eastAsia" w:ascii="宋体" w:hAnsi="宋体" w:eastAsia="宋体" w:cs="宋体"/>
          <w:sz w:val="28"/>
          <w:szCs w:val="28"/>
        </w:rPr>
        <w:t>住房保障支出（类）支出</w:t>
      </w:r>
      <w:r>
        <w:rPr>
          <w:rFonts w:ascii="宋体" w:hAnsi="宋体" w:eastAsia="宋体" w:cs="宋体"/>
          <w:sz w:val="28"/>
          <w:u w:color="auto"/>
        </w:rPr>
        <w:t>14.83</w:t>
      </w:r>
      <w:r>
        <w:rPr>
          <w:rFonts w:hint="eastAsia" w:ascii="宋体" w:hAnsi="宋体" w:eastAsia="宋体" w:cs="宋体"/>
          <w:sz w:val="28"/>
          <w:szCs w:val="28"/>
        </w:rPr>
        <w:t>万元，占支出总预算的</w:t>
      </w:r>
      <w:r>
        <w:rPr>
          <w:rFonts w:ascii="宋体" w:hAnsi="宋体" w:eastAsia="宋体" w:cs="宋体"/>
          <w:sz w:val="28"/>
          <w:u w:color="auto"/>
        </w:rPr>
        <w:t>10.08%</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14.28</w:t>
      </w:r>
      <w:r>
        <w:rPr>
          <w:rFonts w:hint="eastAsia" w:ascii="宋体" w:hAnsi="宋体" w:eastAsia="宋体" w:cs="宋体"/>
          <w:sz w:val="28"/>
          <w:szCs w:val="28"/>
        </w:rPr>
        <w:t>万元，</w:t>
      </w:r>
      <w:r>
        <w:rPr>
          <w:rFonts w:ascii="宋体" w:hAnsi="宋体" w:eastAsia="宋体" w:cs="宋体"/>
          <w:sz w:val="28"/>
          <w:u w:color="auto"/>
        </w:rPr>
        <w:t>增长0.55</w:t>
      </w:r>
      <w:r>
        <w:rPr>
          <w:rFonts w:hint="eastAsia" w:ascii="宋体" w:hAnsi="宋体" w:eastAsia="宋体" w:cs="宋体"/>
          <w:sz w:val="28"/>
          <w:szCs w:val="28"/>
        </w:rPr>
        <w:t>万元，</w:t>
      </w:r>
      <w:r>
        <w:rPr>
          <w:rFonts w:ascii="宋体" w:hAnsi="宋体" w:eastAsia="宋体" w:cs="宋体"/>
          <w:sz w:val="28"/>
          <w:u w:color="auto"/>
        </w:rPr>
        <w:t>增长3.85%</w:t>
      </w:r>
      <w:r>
        <w:rPr>
          <w:rFonts w:hint="eastAsia" w:ascii="宋体" w:hAnsi="宋体" w:eastAsia="宋体" w:cs="宋体"/>
          <w:sz w:val="28"/>
          <w:szCs w:val="28"/>
        </w:rPr>
        <w:t>，主要原因是：</w:t>
      </w:r>
      <w:r>
        <w:rPr>
          <w:rFonts w:hint="eastAsia"/>
          <w:highlight w:val="none"/>
        </w:rPr>
        <w:t>部门人员收入增加，公积金有所上升。</w:t>
      </w:r>
    </w:p>
    <w:p>
      <w:pPr>
        <w:pStyle w:val="7"/>
        <w:spacing w:line="623" w:lineRule="exact"/>
        <w:ind w:left="0" w:leftChars="0" w:firstLine="560" w:firstLineChars="200"/>
        <w:jc w:val="left"/>
        <w:rPr>
          <w:rFonts w:hint="eastAsia" w:cs="宋体"/>
          <w:sz w:val="28"/>
          <w:szCs w:val="28"/>
          <w:lang w:eastAsia="zh-CN"/>
        </w:rPr>
      </w:pPr>
      <w:r>
        <w:rPr>
          <w:rFonts w:hint="eastAsia" w:ascii="宋体" w:hAnsi="宋体" w:eastAsia="宋体" w:cs="宋体"/>
          <w:sz w:val="28"/>
          <w:szCs w:val="28"/>
        </w:rPr>
        <w:t>卫生健康支出（类）支出</w:t>
      </w:r>
      <w:r>
        <w:rPr>
          <w:rFonts w:ascii="宋体" w:hAnsi="宋体" w:eastAsia="宋体" w:cs="宋体"/>
          <w:sz w:val="28"/>
          <w:u w:color="auto"/>
        </w:rPr>
        <w:t>113.86</w:t>
      </w:r>
      <w:r>
        <w:rPr>
          <w:rFonts w:hint="eastAsia" w:ascii="宋体" w:hAnsi="宋体" w:eastAsia="宋体" w:cs="宋体"/>
          <w:sz w:val="28"/>
          <w:szCs w:val="28"/>
        </w:rPr>
        <w:t>万元，占支出总预算的</w:t>
      </w:r>
      <w:r>
        <w:rPr>
          <w:rFonts w:ascii="宋体" w:hAnsi="宋体" w:eastAsia="宋体" w:cs="宋体"/>
          <w:sz w:val="28"/>
          <w:u w:color="auto"/>
        </w:rPr>
        <w:t>77.40%</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114.62</w:t>
      </w:r>
      <w:r>
        <w:rPr>
          <w:rFonts w:hint="eastAsia" w:ascii="宋体" w:hAnsi="宋体" w:eastAsia="宋体" w:cs="宋体"/>
          <w:sz w:val="28"/>
          <w:szCs w:val="28"/>
        </w:rPr>
        <w:t>万元，</w:t>
      </w:r>
      <w:r>
        <w:rPr>
          <w:rFonts w:ascii="宋体" w:hAnsi="宋体" w:eastAsia="宋体" w:cs="宋体"/>
          <w:sz w:val="28"/>
          <w:u w:color="auto"/>
        </w:rPr>
        <w:t>减少0.76</w:t>
      </w:r>
      <w:r>
        <w:rPr>
          <w:rFonts w:hint="eastAsia" w:ascii="宋体" w:hAnsi="宋体" w:eastAsia="宋体" w:cs="宋体"/>
          <w:sz w:val="28"/>
          <w:szCs w:val="28"/>
        </w:rPr>
        <w:t>万元，</w:t>
      </w:r>
      <w:r>
        <w:rPr>
          <w:rFonts w:ascii="宋体" w:hAnsi="宋体" w:eastAsia="宋体" w:cs="宋体"/>
          <w:sz w:val="28"/>
          <w:u w:color="auto"/>
        </w:rPr>
        <w:t>减少0.66%</w:t>
      </w:r>
      <w:r>
        <w:rPr>
          <w:rFonts w:hint="eastAsia" w:cs="宋体"/>
          <w:sz w:val="28"/>
          <w:szCs w:val="28"/>
          <w:lang w:eastAsia="zh-CN"/>
        </w:rPr>
        <w:t>。</w:t>
      </w:r>
    </w:p>
    <w:p>
      <w:pPr>
        <w:pStyle w:val="7"/>
        <w:spacing w:line="623" w:lineRule="exact"/>
        <w:ind w:left="0" w:leftChars="0" w:firstLine="560" w:firstLineChars="200"/>
        <w:jc w:val="left"/>
        <w:rPr>
          <w:rFonts w:hint="eastAsia" w:ascii="宋体" w:hAnsi="宋体" w:eastAsia="宋体" w:cs="宋体"/>
          <w:sz w:val="28"/>
          <w:szCs w:val="28"/>
          <w:lang w:eastAsia="zh-CN"/>
        </w:rPr>
      </w:pPr>
      <w:r>
        <w:rPr>
          <w:rFonts w:hint="eastAsia" w:ascii="宋体" w:hAnsi="宋体" w:eastAsia="宋体" w:cs="宋体"/>
          <w:sz w:val="28"/>
          <w:szCs w:val="28"/>
        </w:rPr>
        <w:t>社会保障和就业支出（类）支出</w:t>
      </w:r>
      <w:r>
        <w:rPr>
          <w:rFonts w:ascii="宋体" w:hAnsi="宋体" w:eastAsia="宋体" w:cs="宋体"/>
          <w:sz w:val="28"/>
          <w:u w:color="auto"/>
        </w:rPr>
        <w:t>17.01</w:t>
      </w:r>
      <w:r>
        <w:rPr>
          <w:rFonts w:hint="eastAsia" w:ascii="宋体" w:hAnsi="宋体" w:eastAsia="宋体" w:cs="宋体"/>
          <w:sz w:val="28"/>
          <w:szCs w:val="28"/>
        </w:rPr>
        <w:t>万元，占支出总预算的</w:t>
      </w:r>
      <w:r>
        <w:rPr>
          <w:rFonts w:ascii="宋体" w:hAnsi="宋体" w:eastAsia="宋体" w:cs="宋体"/>
          <w:sz w:val="28"/>
          <w:u w:color="auto"/>
        </w:rPr>
        <w:t>11.56%</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19.03</w:t>
      </w:r>
      <w:r>
        <w:rPr>
          <w:rFonts w:hint="eastAsia" w:ascii="宋体" w:hAnsi="宋体" w:eastAsia="宋体" w:cs="宋体"/>
          <w:sz w:val="28"/>
          <w:szCs w:val="28"/>
        </w:rPr>
        <w:t>万元，</w:t>
      </w:r>
      <w:r>
        <w:rPr>
          <w:rFonts w:ascii="宋体" w:hAnsi="宋体" w:eastAsia="宋体" w:cs="宋体"/>
          <w:sz w:val="28"/>
          <w:u w:color="auto"/>
        </w:rPr>
        <w:t>减少2.02</w:t>
      </w:r>
      <w:r>
        <w:rPr>
          <w:rFonts w:hint="eastAsia" w:ascii="宋体" w:hAnsi="宋体" w:eastAsia="宋体" w:cs="宋体"/>
          <w:sz w:val="28"/>
          <w:szCs w:val="28"/>
        </w:rPr>
        <w:t>万元，</w:t>
      </w:r>
      <w:r>
        <w:rPr>
          <w:rFonts w:ascii="宋体" w:hAnsi="宋体" w:eastAsia="宋体" w:cs="宋体"/>
          <w:sz w:val="28"/>
          <w:u w:color="auto"/>
        </w:rPr>
        <w:t>减少10.61%</w:t>
      </w:r>
      <w:r>
        <w:rPr>
          <w:rFonts w:hint="eastAsia" w:cs="宋体"/>
          <w:sz w:val="28"/>
          <w:szCs w:val="28"/>
          <w:lang w:eastAsia="zh-CN"/>
        </w:rPr>
        <w:t>。</w:t>
      </w:r>
    </w:p>
    <w:p>
      <w:pPr>
        <w:pStyle w:val="6"/>
        <w:tabs>
          <w:tab w:val="left" w:pos="1235"/>
        </w:tabs>
        <w:spacing w:after="0" w:line="624" w:lineRule="exact"/>
        <w:ind w:firstLine="580"/>
        <w:jc w:val="left"/>
        <w:rPr>
          <w:b/>
          <w:bCs/>
        </w:rPr>
      </w:pPr>
      <w:r>
        <w:rPr>
          <w:rFonts w:hint="eastAsia"/>
          <w:b/>
          <w:bCs/>
          <w:lang w:val="en-US" w:eastAsia="zh-CN"/>
        </w:rPr>
        <w:t>六、</w:t>
      </w:r>
      <w:r>
        <w:rPr>
          <w:b/>
          <w:bCs/>
        </w:rPr>
        <w:t>一般公共预算基本支出情况说明</w:t>
      </w:r>
    </w:p>
    <w:p>
      <w:pPr>
        <w:pStyle w:val="6"/>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2907"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pPr>
        <w:pStyle w:val="7"/>
        <w:spacing w:line="623" w:lineRule="exact"/>
        <w:ind w:left="0" w:leftChars="0" w:firstLine="560" w:firstLineChars="200"/>
        <w:jc w:val="left"/>
        <w:rPr>
          <w:rFonts w:hint="eastAsia" w:eastAsia="宋体"/>
          <w:lang w:val="en-US" w:eastAsia="zh-CN"/>
        </w:rPr>
      </w:pPr>
      <w:r>
        <w:rPr>
          <w:rFonts w:hint="eastAsia"/>
          <w:lang w:val="en-US" w:eastAsia="zh-CN"/>
        </w:rPr>
        <w:t>2024</w:t>
      </w:r>
      <w:r>
        <w:rPr>
          <w:u w:color="auto"/>
        </w:rPr>
        <w:t>年</w:t>
      </w:r>
      <w:r>
        <w:rPr>
          <w:rFonts w:hint="eastAsia"/>
        </w:rPr>
        <w:t>一般公共预算基本支出共</w:t>
      </w:r>
      <w:r>
        <w:rPr>
          <w:rFonts w:hint="eastAsia"/>
          <w:lang w:val="en-US" w:eastAsia="zh-CN"/>
        </w:rPr>
        <w:t>147.10</w:t>
      </w:r>
      <w:r>
        <w:rPr>
          <w:rFonts w:hint="eastAsia"/>
        </w:rPr>
        <w:t>万元，较2023年度预算数</w:t>
      </w:r>
      <w:r>
        <w:rPr>
          <w:rFonts w:hint="eastAsia"/>
          <w:lang w:val="en-US" w:eastAsia="zh-CN"/>
        </w:rPr>
        <w:t>150.31</w:t>
      </w:r>
      <w:r>
        <w:rPr>
          <w:rFonts w:hint="eastAsia"/>
        </w:rPr>
        <w:t>万元</w:t>
      </w:r>
      <w:r>
        <w:rPr>
          <w:rFonts w:hint="eastAsia"/>
          <w:lang w:val="en-US" w:eastAsia="zh-CN"/>
        </w:rPr>
        <w:t>,</w:t>
      </w:r>
      <w:r>
        <w:rPr>
          <w:u w:color="auto"/>
        </w:rPr>
        <w:t>减少3.21</w:t>
      </w:r>
      <w:r>
        <w:rPr>
          <w:rFonts w:hint="eastAsia"/>
        </w:rPr>
        <w:t>万元，</w:t>
      </w:r>
      <w:r>
        <w:rPr>
          <w:rFonts w:hint="eastAsia"/>
          <w:lang w:val="en-US" w:eastAsia="zh-CN"/>
        </w:rPr>
        <w:t>下降2.14%</w:t>
      </w:r>
      <w:r>
        <w:rPr>
          <w:rFonts w:hint="eastAsia"/>
          <w:lang w:eastAsia="zh-CN"/>
        </w:rPr>
        <w:t>。</w:t>
      </w:r>
    </w:p>
    <w:p>
      <w:pPr>
        <w:pStyle w:val="7"/>
        <w:spacing w:line="626" w:lineRule="exact"/>
        <w:ind w:firstLine="600"/>
        <w:jc w:val="left"/>
        <w:rPr>
          <w:rFonts w:hint="eastAsia"/>
          <w:lang w:eastAsia="zh-CN"/>
        </w:rPr>
      </w:pPr>
      <w:r>
        <w:rPr>
          <w:rFonts w:hint="eastAsia"/>
          <w:lang w:val="en-US" w:eastAsia="zh-CN"/>
        </w:rPr>
        <w:t>商品和服务支出</w:t>
      </w:r>
      <w:r>
        <w:rPr>
          <w:rFonts w:hint="eastAsia"/>
        </w:rPr>
        <w:t>支出预算</w:t>
      </w:r>
      <w:r>
        <w:rPr>
          <w:rFonts w:hint="eastAsia"/>
          <w:lang w:val="en-US" w:eastAsia="zh-CN"/>
        </w:rPr>
        <w:t>5.23</w:t>
      </w:r>
      <w:r>
        <w:t>万元</w:t>
      </w:r>
      <w:r>
        <w:rPr>
          <w:rFonts w:hint="eastAsia"/>
          <w:lang w:eastAsia="zh-CN"/>
        </w:rPr>
        <w:t>，</w:t>
      </w:r>
      <w:r>
        <w:rPr>
          <w:rFonts w:hint="eastAsia"/>
        </w:rPr>
        <w:t>占基本支出预算的</w:t>
      </w:r>
      <w:r>
        <w:rPr>
          <w:rFonts w:hint="eastAsia"/>
          <w:lang w:val="en-US" w:eastAsia="zh-CN"/>
        </w:rPr>
        <w:t>3.56%</w:t>
      </w:r>
      <w:r>
        <w:rPr>
          <w:rFonts w:hint="eastAsia"/>
        </w:rPr>
        <w:t>，较2023年度预算数</w:t>
      </w:r>
      <w:r>
        <w:rPr>
          <w:rFonts w:hint="eastAsia"/>
          <w:lang w:val="en-US" w:eastAsia="zh-CN"/>
        </w:rPr>
        <w:t>6.21</w:t>
      </w:r>
      <w:r>
        <w:rPr>
          <w:rFonts w:hint="eastAsia"/>
        </w:rPr>
        <w:t>万元，</w:t>
      </w:r>
      <w:r>
        <w:rPr>
          <w:rFonts w:hint="eastAsia"/>
          <w:lang w:val="en-US" w:eastAsia="zh-CN"/>
        </w:rPr>
        <w:t>减少0.98</w:t>
      </w:r>
      <w:r>
        <w:rPr>
          <w:rFonts w:hint="eastAsia"/>
        </w:rPr>
        <w:t>万元，</w:t>
      </w:r>
      <w:r>
        <w:rPr>
          <w:rFonts w:hint="eastAsia"/>
          <w:lang w:val="en-US" w:eastAsia="zh-CN"/>
        </w:rPr>
        <w:t>减少15.78%</w:t>
      </w:r>
      <w:r>
        <w:rPr>
          <w:rFonts w:hint="eastAsia"/>
          <w:lang w:eastAsia="zh-CN"/>
        </w:rPr>
        <w:t>。</w:t>
      </w:r>
    </w:p>
    <w:p>
      <w:pPr>
        <w:pStyle w:val="7"/>
        <w:spacing w:line="626" w:lineRule="exact"/>
        <w:ind w:firstLine="600"/>
        <w:jc w:val="left"/>
        <w:rPr>
          <w:rFonts w:hint="eastAsia"/>
          <w:lang w:eastAsia="zh-CN"/>
        </w:rPr>
      </w:pPr>
      <w:r>
        <w:rPr>
          <w:rFonts w:hint="eastAsia"/>
          <w:lang w:val="en-US" w:eastAsia="zh-CN"/>
        </w:rPr>
        <w:t>工资福利支出</w:t>
      </w:r>
      <w:r>
        <w:rPr>
          <w:rFonts w:hint="eastAsia"/>
        </w:rPr>
        <w:t>支出预算</w:t>
      </w:r>
      <w:r>
        <w:rPr>
          <w:rFonts w:hint="eastAsia"/>
          <w:lang w:val="en-US" w:eastAsia="zh-CN"/>
        </w:rPr>
        <w:t>141.87</w:t>
      </w:r>
      <w:r>
        <w:t>万元</w:t>
      </w:r>
      <w:r>
        <w:rPr>
          <w:rFonts w:hint="eastAsia"/>
          <w:lang w:eastAsia="zh-CN"/>
        </w:rPr>
        <w:t>，</w:t>
      </w:r>
      <w:r>
        <w:rPr>
          <w:rFonts w:hint="eastAsia"/>
        </w:rPr>
        <w:t>占基本支出预算的</w:t>
      </w:r>
      <w:r>
        <w:rPr>
          <w:rFonts w:hint="eastAsia"/>
          <w:lang w:val="en-US" w:eastAsia="zh-CN"/>
        </w:rPr>
        <w:t>96.44%</w:t>
      </w:r>
      <w:r>
        <w:rPr>
          <w:rFonts w:hint="eastAsia"/>
        </w:rPr>
        <w:t>，较2023年度预算数</w:t>
      </w:r>
      <w:r>
        <w:rPr>
          <w:rFonts w:hint="eastAsia"/>
          <w:lang w:val="en-US" w:eastAsia="zh-CN"/>
        </w:rPr>
        <w:t>144.10</w:t>
      </w:r>
      <w:r>
        <w:rPr>
          <w:rFonts w:hint="eastAsia"/>
        </w:rPr>
        <w:t>万元，</w:t>
      </w:r>
      <w:r>
        <w:rPr>
          <w:rFonts w:hint="eastAsia"/>
          <w:lang w:val="en-US" w:eastAsia="zh-CN"/>
        </w:rPr>
        <w:t>减少2.23</w:t>
      </w:r>
      <w:r>
        <w:rPr>
          <w:rFonts w:hint="eastAsia"/>
        </w:rPr>
        <w:t>万元，</w:t>
      </w:r>
      <w:r>
        <w:rPr>
          <w:rFonts w:hint="eastAsia"/>
          <w:lang w:val="en-US" w:eastAsia="zh-CN"/>
        </w:rPr>
        <w:t>减少1.55%</w:t>
      </w:r>
      <w:r>
        <w:rPr>
          <w:rFonts w:hint="eastAsia"/>
          <w:lang w:eastAsia="zh-CN"/>
        </w:rPr>
        <w:t>。</w:t>
      </w:r>
    </w:p>
    <w:p>
      <w:pPr>
        <w:pStyle w:val="7"/>
        <w:spacing w:line="626" w:lineRule="exact"/>
        <w:ind w:firstLine="600"/>
        <w:jc w:val="left"/>
        <w:rPr>
          <w:rFonts w:hint="eastAsia"/>
          <w:lang w:eastAsia="zh-CN"/>
        </w:rPr>
      </w:pPr>
    </w:p>
    <w:p>
      <w:pPr>
        <w:pStyle w:val="7"/>
        <w:spacing w:line="626" w:lineRule="exact"/>
        <w:ind w:firstLine="600"/>
        <w:jc w:val="left"/>
        <w:rPr>
          <w:rFonts w:hint="eastAsia"/>
          <w:lang w:eastAsia="zh-CN"/>
        </w:rPr>
      </w:pPr>
    </w:p>
    <w:p>
      <w:pPr>
        <w:pStyle w:val="7"/>
        <w:spacing w:line="626" w:lineRule="exact"/>
        <w:ind w:firstLine="600"/>
        <w:jc w:val="left"/>
        <w:rPr>
          <w:rFonts w:hint="eastAsia"/>
          <w:lang w:val="en-US" w:eastAsia="zh-CN"/>
        </w:rPr>
      </w:pPr>
    </w:p>
    <w:p>
      <w:pPr>
        <w:pStyle w:val="6"/>
        <w:tabs>
          <w:tab w:val="left" w:pos="1235"/>
        </w:tabs>
        <w:spacing w:after="0" w:line="624" w:lineRule="exact"/>
        <w:ind w:firstLine="580"/>
        <w:jc w:val="left"/>
        <w:rPr>
          <w:rFonts w:hint="eastAsia"/>
          <w:b/>
          <w:bCs/>
        </w:rPr>
      </w:pPr>
      <w:r>
        <w:rPr>
          <w:rFonts w:hint="eastAsia"/>
          <w:b/>
          <w:bCs/>
          <w:lang w:val="en-US" w:eastAsia="zh-CN"/>
        </w:rPr>
        <w:t>七、</w:t>
      </w:r>
      <w:r>
        <w:rPr>
          <w:b/>
          <w:bCs/>
        </w:rPr>
        <w:t>一般公共预算</w:t>
      </w:r>
      <w:r>
        <w:rPr>
          <w:b/>
          <w:bCs/>
          <w:lang w:val="zh-CN" w:eastAsia="zh-CN" w:bidi="zh-CN"/>
        </w:rPr>
        <w:t>“三</w:t>
      </w:r>
      <w:r>
        <w:rPr>
          <w:b/>
          <w:bCs/>
        </w:rPr>
        <w:t>公”</w:t>
      </w:r>
      <w:r>
        <w:rPr>
          <w:rFonts w:hint="eastAsia"/>
          <w:b/>
          <w:bCs/>
        </w:rPr>
        <w:t>经费支出情况说明</w:t>
      </w:r>
    </w:p>
    <w:p>
      <w:pPr>
        <w:pStyle w:val="6"/>
        <w:numPr>
          <w:ilvl w:val="0"/>
          <w:numId w:val="0"/>
        </w:numPr>
        <w:spacing w:after="0"/>
        <w:jc w:val="left"/>
        <w:rPr>
          <w:rFonts w:hint="eastAsia"/>
          <w:b/>
          <w:bCs/>
        </w:rPr>
      </w:pPr>
    </w:p>
    <w:p>
      <w:pPr>
        <w:pStyle w:val="6"/>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20955" b="14605"/>
            <wp:docPr id="2908"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pPr>
        <w:pStyle w:val="6"/>
        <w:tabs>
          <w:tab w:val="left" w:pos="1253"/>
        </w:tabs>
        <w:spacing w:after="0" w:line="629" w:lineRule="exact"/>
        <w:ind w:firstLine="600"/>
        <w:jc w:val="left"/>
        <w:rPr>
          <w:rFonts w:hint="eastAsia"/>
          <w:b w:val="0"/>
          <w:bCs w:val="0"/>
          <w:sz w:val="28"/>
          <w:szCs w:val="28"/>
          <w:lang w:eastAsia="zh-CN"/>
        </w:rPr>
      </w:pPr>
      <w:bookmarkStart w:id="14" w:name="bookmark90"/>
      <w:r>
        <w:rPr>
          <w:rFonts w:hint="eastAsia"/>
          <w:b w:val="0"/>
          <w:bCs w:val="0"/>
          <w:sz w:val="28"/>
          <w:szCs w:val="28"/>
          <w:lang w:eastAsia="zh-CN"/>
        </w:rPr>
        <w:t>（</w:t>
      </w:r>
      <w:r>
        <w:rPr>
          <w:rFonts w:hint="eastAsia"/>
          <w:b w:val="0"/>
          <w:bCs w:val="0"/>
          <w:sz w:val="28"/>
          <w:szCs w:val="28"/>
          <w:lang w:val="en-US" w:eastAsia="zh-CN"/>
        </w:rPr>
        <w:t>一</w:t>
      </w:r>
      <w:r>
        <w:rPr>
          <w:rFonts w:hint="eastAsia"/>
          <w:b w:val="0"/>
          <w:bCs w:val="0"/>
          <w:sz w:val="28"/>
          <w:szCs w:val="28"/>
          <w:lang w:eastAsia="zh-CN"/>
        </w:rPr>
        <w:t>）</w:t>
      </w:r>
      <w:r>
        <w:rPr>
          <w:sz w:val="28"/>
          <w:u w:color="auto"/>
        </w:rPr>
        <w:t>2024年部门预算共安排</w:t>
      </w:r>
      <w:r>
        <w:rPr>
          <w:rFonts w:hint="eastAsia"/>
          <w:b w:val="0"/>
          <w:bCs w:val="0"/>
          <w:sz w:val="28"/>
          <w:szCs w:val="28"/>
          <w:lang w:val="zh-CN" w:eastAsia="zh-CN"/>
        </w:rPr>
        <w:t>“三公</w:t>
      </w:r>
      <w:r>
        <w:rPr>
          <w:rFonts w:hint="eastAsia"/>
          <w:b w:val="0"/>
          <w:bCs w:val="0"/>
          <w:sz w:val="28"/>
          <w:szCs w:val="28"/>
          <w:lang w:val="en-US" w:eastAsia="zh-CN"/>
        </w:rPr>
        <w:t>"</w:t>
      </w:r>
      <w:r>
        <w:rPr>
          <w:rFonts w:hint="eastAsia"/>
          <w:b w:val="0"/>
          <w:bCs w:val="0"/>
          <w:sz w:val="28"/>
          <w:szCs w:val="28"/>
          <w:lang w:eastAsia="zh-CN"/>
        </w:rPr>
        <w:t>经费支出预算</w:t>
      </w:r>
      <w:r>
        <w:rPr>
          <w:rFonts w:hint="eastAsia"/>
          <w:b w:val="0"/>
          <w:bCs w:val="0"/>
          <w:sz w:val="28"/>
          <w:szCs w:val="28"/>
          <w:lang w:val="en-US" w:eastAsia="zh-CN"/>
        </w:rPr>
        <w:t>0.95</w:t>
      </w:r>
      <w:r>
        <w:rPr>
          <w:rFonts w:hint="eastAsia"/>
          <w:b w:val="0"/>
          <w:bCs w:val="0"/>
          <w:sz w:val="28"/>
          <w:szCs w:val="28"/>
          <w:lang w:eastAsia="zh-CN"/>
        </w:rPr>
        <w:t>万元（全口径），其中：因公出国（境）经费支出预算</w:t>
      </w:r>
      <w:r>
        <w:rPr>
          <w:rFonts w:hint="eastAsia"/>
          <w:b w:val="0"/>
          <w:bCs w:val="0"/>
          <w:sz w:val="28"/>
          <w:szCs w:val="28"/>
          <w:lang w:val="en-US" w:eastAsia="zh-CN"/>
        </w:rPr>
        <w:t>0.00</w:t>
      </w:r>
      <w:r>
        <w:rPr>
          <w:rFonts w:hint="eastAsia"/>
          <w:b w:val="0"/>
          <w:bCs w:val="0"/>
          <w:sz w:val="28"/>
          <w:szCs w:val="28"/>
          <w:lang w:eastAsia="zh-CN"/>
        </w:rPr>
        <w:t>万元，公务接待费支出预算</w:t>
      </w:r>
      <w:r>
        <w:rPr>
          <w:rFonts w:hint="eastAsia"/>
          <w:b w:val="0"/>
          <w:bCs w:val="0"/>
          <w:sz w:val="28"/>
          <w:szCs w:val="28"/>
          <w:lang w:val="en-US" w:eastAsia="zh-CN"/>
        </w:rPr>
        <w:t>0.00</w:t>
      </w:r>
      <w:r>
        <w:rPr>
          <w:rFonts w:hint="eastAsia"/>
          <w:b w:val="0"/>
          <w:bCs w:val="0"/>
          <w:sz w:val="28"/>
          <w:szCs w:val="28"/>
          <w:lang w:eastAsia="zh-CN"/>
        </w:rPr>
        <w:t>万元，公务用车购置及运行费支出预算</w:t>
      </w:r>
      <w:r>
        <w:rPr>
          <w:rFonts w:hint="eastAsia"/>
          <w:b w:val="0"/>
          <w:bCs w:val="0"/>
          <w:sz w:val="28"/>
          <w:szCs w:val="28"/>
          <w:lang w:val="en-US" w:eastAsia="zh-CN"/>
        </w:rPr>
        <w:t>0.95</w:t>
      </w:r>
      <w:r>
        <w:rPr>
          <w:rFonts w:hint="eastAsia"/>
          <w:b w:val="0"/>
          <w:bCs w:val="0"/>
          <w:sz w:val="28"/>
          <w:szCs w:val="28"/>
          <w:lang w:eastAsia="zh-CN"/>
        </w:rPr>
        <w:t>万元（公务用车购置费</w:t>
      </w:r>
      <w:r>
        <w:rPr>
          <w:rFonts w:hint="eastAsia"/>
          <w:b w:val="0"/>
          <w:bCs w:val="0"/>
          <w:sz w:val="28"/>
          <w:szCs w:val="28"/>
          <w:lang w:val="en-US" w:eastAsia="zh-CN"/>
        </w:rPr>
        <w:t>0.00</w:t>
      </w:r>
      <w:r>
        <w:rPr>
          <w:rFonts w:hint="eastAsia"/>
          <w:b w:val="0"/>
          <w:bCs w:val="0"/>
          <w:sz w:val="28"/>
          <w:szCs w:val="28"/>
          <w:lang w:eastAsia="zh-CN"/>
        </w:rPr>
        <w:t>万元,公务用车运行维护费</w:t>
      </w:r>
      <w:r>
        <w:rPr>
          <w:rFonts w:hint="eastAsia"/>
          <w:b w:val="0"/>
          <w:bCs w:val="0"/>
          <w:sz w:val="28"/>
          <w:szCs w:val="28"/>
          <w:lang w:val="en-US" w:eastAsia="zh-CN"/>
        </w:rPr>
        <w:t>0.95</w:t>
      </w:r>
      <w:r>
        <w:rPr>
          <w:rFonts w:hint="eastAsia"/>
          <w:b w:val="0"/>
          <w:bCs w:val="0"/>
          <w:sz w:val="28"/>
          <w:szCs w:val="28"/>
          <w:lang w:eastAsia="zh-CN"/>
        </w:rPr>
        <w:t>万元）。</w:t>
      </w:r>
    </w:p>
    <w:p>
      <w:pPr>
        <w:pStyle w:val="6"/>
        <w:tabs>
          <w:tab w:val="left" w:pos="1253"/>
        </w:tabs>
        <w:spacing w:after="0" w:line="629" w:lineRule="exact"/>
        <w:ind w:firstLine="600"/>
        <w:jc w:val="left"/>
        <w:rPr>
          <w:rFonts w:hint="eastAsia"/>
          <w:b w:val="0"/>
          <w:bCs w:val="0"/>
          <w:sz w:val="28"/>
          <w:szCs w:val="28"/>
        </w:rPr>
      </w:pPr>
      <w:r>
        <w:rPr>
          <w:rFonts w:hint="eastAsia"/>
          <w:b w:val="0"/>
          <w:bCs w:val="0"/>
          <w:sz w:val="28"/>
          <w:szCs w:val="28"/>
          <w:lang w:eastAsia="zh-CN"/>
        </w:rPr>
        <w:t>（</w:t>
      </w:r>
      <w:r>
        <w:rPr>
          <w:rFonts w:hint="eastAsia"/>
          <w:b w:val="0"/>
          <w:bCs w:val="0"/>
          <w:sz w:val="28"/>
          <w:szCs w:val="28"/>
          <w:lang w:val="en-US" w:eastAsia="zh-CN"/>
        </w:rPr>
        <w:t>二</w:t>
      </w:r>
      <w:r>
        <w:rPr>
          <w:rFonts w:hint="eastAsia"/>
          <w:b w:val="0"/>
          <w:bCs w:val="0"/>
          <w:sz w:val="28"/>
          <w:szCs w:val="28"/>
          <w:lang w:eastAsia="zh-CN"/>
        </w:rPr>
        <w:t>）</w:t>
      </w:r>
      <w:r>
        <w:rPr>
          <w:sz w:val="28"/>
          <w:u w:color="auto"/>
        </w:rPr>
        <w:t>2024</w:t>
      </w:r>
      <w:r>
        <w:rPr>
          <w:rFonts w:hint="eastAsia"/>
          <w:b w:val="0"/>
          <w:bCs w:val="0"/>
          <w:sz w:val="28"/>
          <w:szCs w:val="28"/>
        </w:rPr>
        <w:t>年一般公共预算安排的“三公”经费支出预算</w:t>
      </w:r>
      <w:r>
        <w:rPr>
          <w:rFonts w:hint="eastAsia"/>
          <w:b w:val="0"/>
          <w:bCs w:val="0"/>
          <w:sz w:val="28"/>
          <w:szCs w:val="28"/>
          <w:lang w:val="en-US" w:eastAsia="zh-CN"/>
        </w:rPr>
        <w:t>0.95</w:t>
      </w:r>
      <w:r>
        <w:rPr>
          <w:rFonts w:hint="eastAsia"/>
          <w:b w:val="0"/>
          <w:bCs w:val="0"/>
          <w:sz w:val="28"/>
          <w:szCs w:val="28"/>
        </w:rPr>
        <w:t>万元，同口径较2023年度预算数</w:t>
      </w:r>
      <w:r>
        <w:rPr>
          <w:rFonts w:hint="eastAsia"/>
          <w:b w:val="0"/>
          <w:bCs w:val="0"/>
          <w:sz w:val="28"/>
          <w:szCs w:val="28"/>
          <w:lang w:val="en-US" w:eastAsia="zh-CN"/>
        </w:rPr>
        <w:t>1.15</w:t>
      </w:r>
      <w:r>
        <w:rPr>
          <w:rFonts w:hint="eastAsia"/>
          <w:b w:val="0"/>
          <w:bCs w:val="0"/>
          <w:sz w:val="28"/>
          <w:szCs w:val="28"/>
        </w:rPr>
        <w:t>万元，</w:t>
      </w:r>
      <w:r>
        <w:rPr>
          <w:rFonts w:hint="eastAsia"/>
          <w:b w:val="0"/>
          <w:bCs w:val="0"/>
          <w:sz w:val="28"/>
          <w:szCs w:val="28"/>
          <w:lang w:val="en-US" w:eastAsia="zh-CN"/>
        </w:rPr>
        <w:t>减少0.20</w:t>
      </w:r>
      <w:r>
        <w:rPr>
          <w:rFonts w:hint="eastAsia"/>
          <w:b w:val="0"/>
          <w:bCs w:val="0"/>
          <w:sz w:val="28"/>
          <w:szCs w:val="28"/>
        </w:rPr>
        <w:t>万元，</w:t>
      </w:r>
      <w:r>
        <w:rPr>
          <w:rFonts w:hint="eastAsia"/>
          <w:b w:val="0"/>
          <w:bCs w:val="0"/>
          <w:sz w:val="28"/>
          <w:szCs w:val="28"/>
          <w:lang w:val="en-US" w:eastAsia="zh-CN"/>
        </w:rPr>
        <w:t>减少17.39%</w:t>
      </w:r>
      <w:r>
        <w:rPr>
          <w:rFonts w:hint="eastAsia"/>
          <w:b w:val="0"/>
          <w:bCs w:val="0"/>
          <w:sz w:val="28"/>
          <w:szCs w:val="28"/>
        </w:rPr>
        <w:t>，具体如下：</w:t>
      </w:r>
    </w:p>
    <w:p>
      <w:pPr>
        <w:pStyle w:val="6"/>
        <w:tabs>
          <w:tab w:val="left" w:pos="1253"/>
        </w:tabs>
        <w:spacing w:after="0" w:line="629" w:lineRule="exact"/>
        <w:ind w:firstLine="600"/>
        <w:jc w:val="left"/>
        <w:rPr>
          <w:rFonts w:hint="eastAsia" w:eastAsia="宋体"/>
          <w:b w:val="0"/>
          <w:bCs w:val="0"/>
          <w:sz w:val="28"/>
          <w:szCs w:val="28"/>
          <w:lang w:eastAsia="zh-CN"/>
        </w:rPr>
      </w:pPr>
      <w:r>
        <w:rPr>
          <w:rFonts w:hint="eastAsia"/>
          <w:b w:val="0"/>
          <w:bCs w:val="0"/>
          <w:sz w:val="28"/>
          <w:szCs w:val="28"/>
        </w:rPr>
        <w:t>1.因公出国（境）费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，主要原因是</w:t>
      </w:r>
      <w:r>
        <w:rPr>
          <w:rFonts w:hint="eastAsia"/>
          <w:highlight w:val="none"/>
          <w:lang w:val="en-US" w:eastAsia="zh-CN"/>
        </w:rPr>
        <w:t>因公出国（境）费2023年预算0万元。</w:t>
      </w:r>
    </w:p>
    <w:p>
      <w:pPr>
        <w:pStyle w:val="6"/>
        <w:tabs>
          <w:tab w:val="left" w:pos="1253"/>
        </w:tabs>
        <w:spacing w:after="0" w:line="629" w:lineRule="exact"/>
        <w:ind w:firstLine="600"/>
        <w:jc w:val="left"/>
        <w:rPr>
          <w:rFonts w:hint="eastAsia" w:eastAsia="宋体"/>
          <w:b w:val="0"/>
          <w:bCs w:val="0"/>
          <w:sz w:val="28"/>
          <w:szCs w:val="28"/>
          <w:lang w:eastAsia="zh-CN"/>
        </w:rPr>
      </w:pPr>
      <w:r>
        <w:rPr>
          <w:rFonts w:hint="eastAsia"/>
          <w:b w:val="0"/>
          <w:bCs w:val="0"/>
          <w:sz w:val="28"/>
          <w:szCs w:val="28"/>
        </w:rPr>
        <w:t>2.公务接待费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0.20</w:t>
      </w:r>
      <w:r>
        <w:rPr>
          <w:rFonts w:hint="eastAsia"/>
          <w:b w:val="0"/>
          <w:bCs w:val="0"/>
          <w:sz w:val="28"/>
          <w:szCs w:val="28"/>
        </w:rPr>
        <w:t>万元，</w:t>
      </w:r>
      <w:r>
        <w:rPr>
          <w:sz w:val="28"/>
          <w:u w:color="auto"/>
        </w:rPr>
        <w:t>减少0.20</w:t>
      </w:r>
      <w:r>
        <w:rPr>
          <w:rFonts w:hint="eastAsia"/>
          <w:b w:val="0"/>
          <w:bCs w:val="0"/>
          <w:sz w:val="28"/>
          <w:szCs w:val="28"/>
        </w:rPr>
        <w:t>万元，</w:t>
      </w:r>
      <w:r>
        <w:rPr>
          <w:sz w:val="28"/>
          <w:u w:color="auto"/>
        </w:rPr>
        <w:t>减少100.00%</w:t>
      </w:r>
      <w:r>
        <w:rPr>
          <w:rFonts w:hint="eastAsia"/>
          <w:b w:val="0"/>
          <w:bCs w:val="0"/>
          <w:sz w:val="28"/>
          <w:szCs w:val="28"/>
        </w:rPr>
        <w:t>，主要原因是</w:t>
      </w:r>
      <w:r>
        <w:rPr>
          <w:rFonts w:hint="eastAsia"/>
          <w:highlight w:val="none"/>
          <w:lang w:val="en-US" w:eastAsia="zh-CN"/>
        </w:rPr>
        <w:t>在其他日常业务费中已有安排，故在部门经费较少次经费预算。</w:t>
      </w:r>
    </w:p>
    <w:p>
      <w:pPr>
        <w:pStyle w:val="6"/>
        <w:tabs>
          <w:tab w:val="left" w:pos="1253"/>
        </w:tabs>
        <w:spacing w:after="0" w:line="629" w:lineRule="exact"/>
        <w:ind w:firstLine="600"/>
        <w:jc w:val="left"/>
        <w:rPr>
          <w:rFonts w:hint="eastAsia"/>
          <w:b w:val="0"/>
          <w:bCs w:val="0"/>
          <w:sz w:val="28"/>
          <w:szCs w:val="28"/>
        </w:rPr>
      </w:pPr>
      <w:r>
        <w:rPr>
          <w:rFonts w:hint="eastAsia"/>
          <w:b w:val="0"/>
          <w:bCs w:val="0"/>
          <w:sz w:val="28"/>
          <w:szCs w:val="28"/>
        </w:rPr>
        <w:t>3.公务用车购置及运行费</w:t>
      </w:r>
      <w:r>
        <w:rPr>
          <w:rFonts w:hint="eastAsia"/>
          <w:b w:val="0"/>
          <w:bCs w:val="0"/>
          <w:sz w:val="28"/>
          <w:szCs w:val="28"/>
          <w:lang w:eastAsia="zh-CN"/>
        </w:rPr>
        <w:t>2024</w:t>
      </w:r>
      <w:r>
        <w:rPr>
          <w:rFonts w:hint="eastAsia"/>
          <w:b w:val="0"/>
          <w:bCs w:val="0"/>
          <w:sz w:val="28"/>
          <w:szCs w:val="28"/>
        </w:rPr>
        <w:t>年预算安排</w:t>
      </w:r>
      <w:r>
        <w:rPr>
          <w:sz w:val="28"/>
          <w:u w:color="auto"/>
        </w:rPr>
        <w:t>0.95</w:t>
      </w:r>
      <w:r>
        <w:rPr>
          <w:rFonts w:hint="eastAsia"/>
          <w:b w:val="0"/>
          <w:bCs w:val="0"/>
          <w:sz w:val="28"/>
          <w:szCs w:val="28"/>
        </w:rPr>
        <w:t>万元，较2023年度预算数</w:t>
      </w:r>
      <w:r>
        <w:rPr>
          <w:sz w:val="28"/>
          <w:u w:color="auto"/>
        </w:rPr>
        <w:t>0.95</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增长0.00%</w:t>
      </w:r>
      <w:r>
        <w:rPr>
          <w:rFonts w:hint="eastAsia"/>
          <w:b w:val="0"/>
          <w:bCs w:val="0"/>
          <w:sz w:val="28"/>
          <w:szCs w:val="28"/>
        </w:rPr>
        <w:t>，其中：</w:t>
      </w:r>
    </w:p>
    <w:p>
      <w:pPr>
        <w:pStyle w:val="6"/>
        <w:tabs>
          <w:tab w:val="left" w:pos="1253"/>
        </w:tabs>
        <w:spacing w:after="0" w:line="629" w:lineRule="exact"/>
        <w:ind w:firstLine="600"/>
        <w:jc w:val="left"/>
        <w:rPr>
          <w:rFonts w:hint="eastAsia" w:eastAsia="宋体"/>
          <w:b w:val="0"/>
          <w:bCs w:val="0"/>
          <w:sz w:val="28"/>
          <w:szCs w:val="28"/>
          <w:lang w:eastAsia="zh-CN"/>
        </w:rPr>
      </w:pPr>
      <w:r>
        <w:rPr>
          <w:rFonts w:hint="eastAsia"/>
          <w:b w:val="0"/>
          <w:bCs w:val="0"/>
          <w:sz w:val="28"/>
          <w:szCs w:val="28"/>
        </w:rPr>
        <w:t>公务用车购置费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，主要原因是</w:t>
      </w:r>
      <w:r>
        <w:rPr>
          <w:rFonts w:hint="eastAsia"/>
          <w:highlight w:val="none"/>
          <w:lang w:val="en-US" w:eastAsia="zh-CN"/>
        </w:rPr>
        <w:t>我部门2024年部门预算无公务用车购置费预算。</w:t>
      </w:r>
    </w:p>
    <w:p>
      <w:pPr>
        <w:pStyle w:val="6"/>
        <w:tabs>
          <w:tab w:val="left" w:pos="1253"/>
        </w:tabs>
        <w:spacing w:after="0" w:line="629" w:lineRule="exact"/>
        <w:ind w:firstLine="600"/>
        <w:jc w:val="left"/>
        <w:rPr>
          <w:rFonts w:hint="eastAsia"/>
          <w:b w:val="0"/>
          <w:bCs w:val="0"/>
          <w:sz w:val="28"/>
          <w:szCs w:val="28"/>
        </w:rPr>
      </w:pPr>
      <w:r>
        <w:rPr>
          <w:rFonts w:hint="eastAsia"/>
          <w:b w:val="0"/>
          <w:bCs w:val="0"/>
          <w:sz w:val="28"/>
          <w:szCs w:val="28"/>
        </w:rPr>
        <w:t>公务用车运行维护费</w:t>
      </w:r>
      <w:r>
        <w:rPr>
          <w:rFonts w:hint="eastAsia"/>
          <w:b w:val="0"/>
          <w:bCs w:val="0"/>
          <w:sz w:val="28"/>
          <w:szCs w:val="28"/>
          <w:lang w:eastAsia="zh-CN"/>
        </w:rPr>
        <w:t>2024</w:t>
      </w:r>
      <w:r>
        <w:rPr>
          <w:rFonts w:hint="eastAsia"/>
          <w:b w:val="0"/>
          <w:bCs w:val="0"/>
          <w:sz w:val="28"/>
          <w:szCs w:val="28"/>
        </w:rPr>
        <w:t>年预算安排</w:t>
      </w:r>
      <w:r>
        <w:rPr>
          <w:sz w:val="28"/>
          <w:u w:color="auto"/>
        </w:rPr>
        <w:t>0.95</w:t>
      </w:r>
      <w:r>
        <w:rPr>
          <w:rFonts w:hint="eastAsia"/>
          <w:b w:val="0"/>
          <w:bCs w:val="0"/>
          <w:sz w:val="28"/>
          <w:szCs w:val="28"/>
        </w:rPr>
        <w:t>万元，较2023年度预算数</w:t>
      </w:r>
      <w:r>
        <w:rPr>
          <w:sz w:val="28"/>
          <w:u w:color="auto"/>
        </w:rPr>
        <w:t>0.95</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增长0.00%</w:t>
      </w:r>
      <w:r>
        <w:rPr>
          <w:rFonts w:hint="eastAsia"/>
          <w:b w:val="0"/>
          <w:bCs w:val="0"/>
          <w:sz w:val="28"/>
          <w:szCs w:val="28"/>
        </w:rPr>
        <w:t>，主要原因是</w:t>
      </w:r>
      <w:r>
        <w:rPr>
          <w:rFonts w:hint="eastAsia"/>
          <w:highlight w:val="none"/>
          <w:lang w:val="en-US" w:eastAsia="zh-CN"/>
        </w:rPr>
        <w:t>本单位有一辆公务车，日常维修以及保险费、油费共计0.95万元。</w:t>
      </w:r>
    </w:p>
    <w:p>
      <w:pPr>
        <w:pStyle w:val="6"/>
        <w:tabs>
          <w:tab w:val="left" w:pos="1235"/>
        </w:tabs>
        <w:spacing w:after="0" w:line="624" w:lineRule="exact"/>
        <w:ind w:firstLine="580"/>
        <w:jc w:val="left"/>
        <w:rPr>
          <w:b/>
          <w:bCs/>
        </w:rPr>
      </w:pPr>
      <w:r>
        <w:rPr>
          <w:b/>
          <w:bCs/>
        </w:rPr>
        <w:t>八</w:t>
      </w:r>
      <w:bookmarkEnd w:id="14"/>
      <w:r>
        <w:rPr>
          <w:b/>
          <w:bCs/>
        </w:rPr>
        <w:t>、</w:t>
      </w:r>
      <w:r>
        <w:rPr>
          <w:b/>
          <w:bCs/>
        </w:rPr>
        <w:tab/>
      </w:r>
      <w:r>
        <w:rPr>
          <w:b/>
          <w:bCs/>
        </w:rPr>
        <w:t>政府性基金预算支出情况说明</w:t>
      </w:r>
    </w:p>
    <w:p>
      <w:pPr>
        <w:pStyle w:val="7"/>
        <w:spacing w:line="629" w:lineRule="exact"/>
        <w:ind w:firstLine="600"/>
        <w:jc w:val="left"/>
        <w:rPr>
          <w:rFonts w:hint="eastAsia" w:eastAsia="宋体"/>
          <w:lang w:eastAsia="zh-CN"/>
        </w:rPr>
      </w:pPr>
      <w:r>
        <w:rPr>
          <w:rFonts w:hint="eastAsia"/>
        </w:rPr>
        <w:t>我部门</w:t>
      </w:r>
      <w:r>
        <w:rPr>
          <w:rFonts w:hint="eastAsia"/>
          <w:b w:val="0"/>
          <w:bCs w:val="0"/>
          <w:sz w:val="28"/>
          <w:szCs w:val="28"/>
          <w:lang w:eastAsia="zh-CN"/>
        </w:rPr>
        <w:t>2024</w:t>
      </w:r>
      <w:r>
        <w:rPr>
          <w:rFonts w:hint="eastAsia"/>
        </w:rPr>
        <w:t>年政府性基金预算支出共</w:t>
      </w:r>
      <w:r>
        <w:rPr>
          <w:rFonts w:hint="eastAsia"/>
          <w:b w:val="0"/>
          <w:bCs w:val="0"/>
          <w:sz w:val="28"/>
          <w:szCs w:val="28"/>
          <w:lang w:eastAsia="zh-CN"/>
        </w:rPr>
        <w:t>0.00</w:t>
      </w:r>
      <w:r>
        <w:rPr>
          <w:rFonts w:hint="eastAsia"/>
        </w:rPr>
        <w:t>万元，较2023年度预算数</w:t>
      </w:r>
      <w:r>
        <w:rPr>
          <w:rFonts w:hint="eastAsia"/>
          <w:b w:val="0"/>
          <w:bCs w:val="0"/>
          <w:sz w:val="28"/>
          <w:szCs w:val="28"/>
          <w:lang w:eastAsia="zh-CN"/>
        </w:rPr>
        <w:t>0.00</w:t>
      </w:r>
      <w:r>
        <w:rPr>
          <w:rFonts w:hint="eastAsia"/>
        </w:rPr>
        <w:t>万元，</w:t>
      </w:r>
      <w:r>
        <w:rPr>
          <w:rFonts w:hint="eastAsia"/>
          <w:b w:val="0"/>
          <w:bCs w:val="0"/>
          <w:sz w:val="28"/>
          <w:szCs w:val="28"/>
          <w:lang w:eastAsia="zh-CN"/>
        </w:rPr>
        <w:t>增加0.00</w:t>
      </w:r>
      <w:r>
        <w:rPr>
          <w:rFonts w:hint="eastAsia"/>
        </w:rPr>
        <w:t>万元，</w:t>
      </w:r>
      <w:r>
        <w:rPr>
          <w:rFonts w:hint="eastAsia"/>
          <w:b w:val="0"/>
          <w:bCs w:val="0"/>
          <w:sz w:val="28"/>
          <w:szCs w:val="28"/>
          <w:lang w:eastAsia="zh-CN"/>
        </w:rPr>
        <w:t>增长0%</w:t>
      </w:r>
      <w:r>
        <w:rPr>
          <w:rFonts w:hint="eastAsia"/>
        </w:rPr>
        <w:t>，主要原因是</w:t>
      </w:r>
      <w:r>
        <w:rPr>
          <w:rFonts w:hint="eastAsia"/>
          <w:highlight w:val="none"/>
          <w:lang w:val="en-US" w:eastAsia="zh-CN"/>
        </w:rPr>
        <w:t>我部门2024年部门预算无政府性基金预算。</w:t>
      </w:r>
    </w:p>
    <w:p>
      <w:pPr>
        <w:pStyle w:val="6"/>
        <w:tabs>
          <w:tab w:val="left" w:pos="1235"/>
        </w:tabs>
        <w:spacing w:after="0" w:line="624" w:lineRule="exact"/>
        <w:ind w:firstLine="580"/>
        <w:jc w:val="left"/>
        <w:rPr>
          <w:b/>
          <w:bCs/>
        </w:rPr>
      </w:pPr>
      <w:bookmarkStart w:id="15" w:name="bookmark91"/>
      <w:r>
        <w:rPr>
          <w:b/>
          <w:bCs/>
        </w:rPr>
        <w:t>九</w:t>
      </w:r>
      <w:bookmarkEnd w:id="15"/>
      <w:r>
        <w:rPr>
          <w:b/>
          <w:bCs/>
        </w:rPr>
        <w:t>、</w:t>
      </w:r>
      <w:r>
        <w:rPr>
          <w:b/>
          <w:bCs/>
        </w:rPr>
        <w:tab/>
      </w:r>
      <w:r>
        <w:rPr>
          <w:b/>
          <w:bCs/>
        </w:rPr>
        <w:t>国有资本经营预算支出情况说明</w:t>
      </w:r>
    </w:p>
    <w:p>
      <w:pPr>
        <w:pStyle w:val="7"/>
        <w:spacing w:line="437" w:lineRule="auto"/>
        <w:ind w:firstLine="600"/>
        <w:jc w:val="left"/>
        <w:rPr>
          <w:rFonts w:hint="eastAsia" w:eastAsia="宋体"/>
          <w:lang w:eastAsia="zh-CN"/>
        </w:rPr>
      </w:pPr>
      <w:r>
        <w:rPr>
          <w:rFonts w:hint="eastAsia"/>
        </w:rPr>
        <w:t>我部门</w:t>
      </w:r>
      <w:r>
        <w:rPr>
          <w:rFonts w:hint="eastAsia"/>
          <w:lang w:eastAsia="zh-CN"/>
        </w:rPr>
        <w:t>2024</w:t>
      </w:r>
      <w:r>
        <w:rPr>
          <w:rFonts w:hint="eastAsia"/>
        </w:rPr>
        <w:t>年国有资本经营预算支出共</w:t>
      </w:r>
      <w:r>
        <w:rPr>
          <w:rFonts w:hint="eastAsia"/>
          <w:lang w:eastAsia="zh-CN"/>
        </w:rPr>
        <w:t>0.00</w:t>
      </w:r>
      <w:r>
        <w:rPr>
          <w:rFonts w:hint="eastAsia"/>
        </w:rPr>
        <w:t>万元，较2023年度预算数</w:t>
      </w:r>
      <w:r>
        <w:rPr>
          <w:rFonts w:hint="eastAsia"/>
          <w:lang w:eastAsia="zh-CN"/>
        </w:rPr>
        <w:t>0.00</w:t>
      </w:r>
      <w:r>
        <w:rPr>
          <w:rFonts w:hint="eastAsia"/>
        </w:rPr>
        <w:t>万元，</w:t>
      </w:r>
      <w:r>
        <w:rPr>
          <w:rFonts w:hint="eastAsia"/>
          <w:lang w:eastAsia="zh-CN"/>
        </w:rPr>
        <w:t>增加0.00</w:t>
      </w:r>
      <w:r>
        <w:rPr>
          <w:rFonts w:hint="eastAsia"/>
        </w:rPr>
        <w:t>万元，</w:t>
      </w:r>
      <w:r>
        <w:rPr>
          <w:rFonts w:hint="eastAsia"/>
          <w:lang w:eastAsia="zh-CN"/>
        </w:rPr>
        <w:t>增长0%</w:t>
      </w:r>
      <w:r>
        <w:rPr>
          <w:rFonts w:hint="eastAsia"/>
        </w:rPr>
        <w:t>，主要原因是</w:t>
      </w:r>
      <w:r>
        <w:rPr>
          <w:rFonts w:hint="eastAsia"/>
          <w:lang w:val="en-US" w:eastAsia="zh-CN"/>
        </w:rPr>
        <w:t>我部门2024年部门预算无无国有资本经营预算。</w:t>
      </w:r>
    </w:p>
    <w:p>
      <w:pPr>
        <w:pStyle w:val="6"/>
        <w:tabs>
          <w:tab w:val="left" w:pos="1235"/>
        </w:tabs>
        <w:spacing w:after="0" w:line="624" w:lineRule="exact"/>
        <w:ind w:firstLine="580"/>
        <w:jc w:val="left"/>
        <w:rPr>
          <w:b/>
          <w:bCs/>
        </w:rPr>
      </w:pPr>
      <w:r>
        <w:rPr>
          <w:b/>
          <w:bCs/>
        </w:rPr>
        <w:t>十、其他重要事项</w:t>
      </w:r>
      <w:r>
        <w:rPr>
          <w:rFonts w:hint="eastAsia"/>
          <w:b/>
          <w:bCs/>
          <w:lang w:val="en-US" w:eastAsia="zh-CN"/>
        </w:rPr>
        <w:t>情况</w:t>
      </w:r>
      <w:r>
        <w:rPr>
          <w:b/>
          <w:bCs/>
        </w:rPr>
        <w:t>说明</w:t>
      </w:r>
    </w:p>
    <w:p>
      <w:pPr>
        <w:pStyle w:val="7"/>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（一）机关运行经费安排情况说明</w:t>
      </w:r>
    </w:p>
    <w:p>
      <w:pPr>
        <w:pStyle w:val="7"/>
        <w:spacing w:line="624" w:lineRule="exact"/>
        <w:ind w:firstLine="600"/>
        <w:jc w:val="left"/>
        <w:rPr>
          <w:rFonts w:hint="eastAsia" w:ascii="宋体" w:hAnsi="宋体" w:eastAsia="宋体" w:cs="宋体"/>
          <w:sz w:val="28"/>
          <w:szCs w:val="28"/>
          <w:lang w:val="en-US" w:eastAsia="zh-CN"/>
        </w:rPr>
      </w:pPr>
      <w:r>
        <w:rPr>
          <w:rFonts w:hint="eastAsia" w:ascii="宋体" w:hAnsi="宋体" w:eastAsia="宋体" w:cs="宋体"/>
          <w:b w:val="0"/>
          <w:bCs w:val="0"/>
          <w:sz w:val="28"/>
          <w:szCs w:val="28"/>
          <w:lang w:eastAsia="zh-CN"/>
        </w:rPr>
        <w:t>2024</w:t>
      </w:r>
      <w:r>
        <w:rPr>
          <w:rFonts w:hint="eastAsia" w:ascii="宋体" w:hAnsi="宋体" w:eastAsia="宋体" w:cs="宋体"/>
          <w:sz w:val="28"/>
          <w:szCs w:val="28"/>
          <w:lang w:eastAsia="zh-CN"/>
        </w:rPr>
        <w:t>年本部门机关运行经费预算</w:t>
      </w:r>
      <w:r>
        <w:rPr>
          <w:rFonts w:hint="eastAsia" w:ascii="宋体" w:hAnsi="宋体" w:eastAsia="宋体" w:cs="宋体"/>
          <w:sz w:val="28"/>
          <w:szCs w:val="28"/>
          <w:lang w:val="en-US" w:eastAsia="zh-CN"/>
        </w:rPr>
        <w:t>5.23</w:t>
      </w:r>
      <w:r>
        <w:rPr>
          <w:rFonts w:hint="eastAsia" w:ascii="宋体" w:hAnsi="宋体" w:eastAsia="宋体" w:cs="宋体"/>
          <w:sz w:val="28"/>
          <w:szCs w:val="28"/>
          <w:lang w:eastAsia="zh-CN"/>
        </w:rPr>
        <w:t>万元，较2023年度预算数</w:t>
      </w:r>
      <w:r>
        <w:rPr>
          <w:rFonts w:hint="eastAsia" w:ascii="宋体" w:hAnsi="宋体" w:eastAsia="宋体" w:cs="宋体"/>
          <w:sz w:val="28"/>
          <w:szCs w:val="28"/>
          <w:lang w:val="en-US" w:eastAsia="zh-CN"/>
        </w:rPr>
        <w:t>6.21</w:t>
      </w:r>
      <w:r>
        <w:rPr>
          <w:rFonts w:hint="eastAsia" w:ascii="宋体" w:hAnsi="宋体" w:eastAsia="宋体" w:cs="宋体"/>
          <w:sz w:val="28"/>
          <w:szCs w:val="28"/>
          <w:lang w:eastAsia="zh-CN"/>
        </w:rPr>
        <w:t>万元，</w:t>
      </w:r>
      <w:r>
        <w:rPr>
          <w:rFonts w:hint="eastAsia" w:ascii="宋体" w:hAnsi="宋体" w:eastAsia="宋体" w:cs="宋体"/>
          <w:sz w:val="28"/>
          <w:szCs w:val="28"/>
          <w:lang w:val="en-US" w:eastAsia="zh-CN"/>
        </w:rPr>
        <w:t>减少0.98</w:t>
      </w:r>
      <w:r>
        <w:rPr>
          <w:rFonts w:hint="eastAsia" w:ascii="宋体" w:hAnsi="宋体" w:eastAsia="宋体" w:cs="宋体"/>
          <w:sz w:val="28"/>
          <w:szCs w:val="28"/>
          <w:lang w:eastAsia="zh-CN"/>
        </w:rPr>
        <w:t>万元，</w:t>
      </w:r>
      <w:r>
        <w:rPr>
          <w:rFonts w:hint="eastAsia" w:ascii="宋体" w:hAnsi="宋体" w:eastAsia="宋体" w:cs="宋体"/>
          <w:sz w:val="28"/>
          <w:szCs w:val="28"/>
          <w:lang w:val="en-US" w:eastAsia="zh-CN"/>
        </w:rPr>
        <w:t>下降15.78%</w:t>
      </w:r>
      <w:r>
        <w:rPr>
          <w:rFonts w:hint="eastAsia" w:cs="宋体"/>
          <w:sz w:val="28"/>
          <w:szCs w:val="28"/>
          <w:lang w:val="en-US" w:eastAsia="zh-CN"/>
        </w:rPr>
        <w:t>。</w:t>
      </w:r>
    </w:p>
    <w:p>
      <w:pPr>
        <w:pStyle w:val="7"/>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（二）政府采购预算安排情况说明</w:t>
      </w:r>
    </w:p>
    <w:p>
      <w:pPr>
        <w:pStyle w:val="7"/>
        <w:spacing w:line="624" w:lineRule="exact"/>
        <w:ind w:firstLine="600"/>
        <w:jc w:val="left"/>
        <w:rPr>
          <w:rFonts w:hint="default" w:ascii="宋体" w:hAnsi="宋体" w:eastAsia="宋体" w:cs="宋体"/>
          <w:sz w:val="28"/>
          <w:szCs w:val="28"/>
          <w:lang w:val="en-US" w:eastAsia="zh-CN"/>
        </w:rPr>
      </w:pPr>
      <w:r>
        <w:rPr>
          <w:rFonts w:hint="eastAsia" w:ascii="宋体" w:hAnsi="宋体" w:eastAsia="宋体" w:cs="宋体"/>
          <w:sz w:val="28"/>
          <w:szCs w:val="28"/>
          <w:lang w:eastAsia="zh-CN"/>
        </w:rPr>
        <w:t>我部门2024年政府采购预算总金额</w:t>
      </w:r>
      <w:r>
        <w:rPr>
          <w:rFonts w:hint="eastAsia"/>
          <w:highlight w:val="none"/>
          <w:lang w:val="en-US" w:eastAsia="zh-CN"/>
        </w:rPr>
        <w:t>0</w:t>
      </w:r>
      <w:r>
        <w:rPr>
          <w:rFonts w:hint="eastAsia" w:ascii="宋体" w:hAnsi="宋体" w:eastAsia="宋体" w:cs="宋体"/>
          <w:sz w:val="28"/>
          <w:szCs w:val="28"/>
          <w:lang w:eastAsia="zh-CN"/>
        </w:rPr>
        <w:t>万元。其中：货物类采购</w:t>
      </w:r>
      <w:r>
        <w:rPr>
          <w:rFonts w:hint="eastAsia"/>
          <w:highlight w:val="none"/>
          <w:lang w:val="en-US" w:eastAsia="zh-CN"/>
        </w:rPr>
        <w:t>0</w:t>
      </w:r>
      <w:r>
        <w:rPr>
          <w:rFonts w:hint="eastAsia" w:ascii="宋体" w:hAnsi="宋体" w:eastAsia="宋体" w:cs="宋体"/>
          <w:sz w:val="28"/>
          <w:szCs w:val="28"/>
          <w:lang w:eastAsia="zh-CN"/>
        </w:rPr>
        <w:t>万元、工程类采购</w:t>
      </w:r>
      <w:r>
        <w:rPr>
          <w:rFonts w:hint="eastAsia"/>
          <w:highlight w:val="none"/>
          <w:lang w:val="en-US" w:eastAsia="zh-CN"/>
        </w:rPr>
        <w:t>0</w:t>
      </w:r>
      <w:r>
        <w:rPr>
          <w:rFonts w:hint="eastAsia" w:ascii="宋体" w:hAnsi="宋体" w:eastAsia="宋体" w:cs="宋体"/>
          <w:sz w:val="28"/>
          <w:szCs w:val="28"/>
          <w:lang w:eastAsia="zh-CN"/>
        </w:rPr>
        <w:t>万元、服务类采购</w:t>
      </w:r>
      <w:r>
        <w:rPr>
          <w:rFonts w:hint="eastAsia"/>
          <w:highlight w:val="none"/>
          <w:lang w:val="en-US" w:eastAsia="zh-CN"/>
        </w:rPr>
        <w:t>0</w:t>
      </w:r>
      <w:r>
        <w:rPr>
          <w:rFonts w:hint="eastAsia" w:ascii="宋体" w:hAnsi="宋体" w:eastAsia="宋体" w:cs="宋体"/>
          <w:sz w:val="28"/>
          <w:szCs w:val="28"/>
          <w:lang w:eastAsia="zh-CN"/>
        </w:rPr>
        <w:t>万元。</w:t>
      </w:r>
    </w:p>
    <w:p>
      <w:pPr>
        <w:pStyle w:val="7"/>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（三）国有资产占用情况说明</w:t>
      </w:r>
    </w:p>
    <w:p>
      <w:pPr>
        <w:pStyle w:val="7"/>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截至2023年12月31日，本部门共有车辆</w:t>
      </w:r>
      <w:r>
        <w:rPr>
          <w:rFonts w:hint="eastAsia"/>
          <w:highlight w:val="none"/>
          <w:lang w:val="en-US" w:eastAsia="zh-CN"/>
        </w:rPr>
        <w:t>1</w:t>
      </w:r>
      <w:r>
        <w:rPr>
          <w:rFonts w:hint="eastAsia" w:ascii="宋体" w:hAnsi="宋体" w:eastAsia="宋体" w:cs="宋体"/>
          <w:sz w:val="28"/>
          <w:szCs w:val="28"/>
          <w:lang w:eastAsia="zh-CN"/>
        </w:rPr>
        <w:t>辆，其中，应急机要通信用车</w:t>
      </w:r>
      <w:r>
        <w:rPr>
          <w:rFonts w:hint="eastAsia"/>
          <w:highlight w:val="none"/>
          <w:lang w:val="en-US" w:eastAsia="zh-CN"/>
        </w:rPr>
        <w:t>0</w:t>
      </w:r>
      <w:r>
        <w:rPr>
          <w:rFonts w:hint="eastAsia" w:ascii="宋体" w:hAnsi="宋体" w:eastAsia="宋体" w:cs="宋体"/>
          <w:sz w:val="28"/>
          <w:szCs w:val="28"/>
          <w:lang w:eastAsia="zh-CN"/>
        </w:rPr>
        <w:t>辆、一般执法执勤用车</w:t>
      </w:r>
      <w:r>
        <w:rPr>
          <w:rFonts w:hint="eastAsia"/>
          <w:highlight w:val="none"/>
          <w:lang w:val="en-US" w:eastAsia="zh-CN"/>
        </w:rPr>
        <w:t>0</w:t>
      </w:r>
      <w:r>
        <w:rPr>
          <w:rFonts w:hint="eastAsia" w:ascii="宋体" w:hAnsi="宋体" w:eastAsia="宋体" w:cs="宋体"/>
          <w:sz w:val="28"/>
          <w:szCs w:val="28"/>
          <w:lang w:eastAsia="zh-CN"/>
        </w:rPr>
        <w:t>辆、特种专业技术用车</w:t>
      </w:r>
      <w:r>
        <w:rPr>
          <w:rFonts w:hint="eastAsia"/>
          <w:highlight w:val="none"/>
          <w:lang w:val="en-US" w:eastAsia="zh-CN"/>
        </w:rPr>
        <w:t>0</w:t>
      </w:r>
      <w:r>
        <w:rPr>
          <w:rFonts w:hint="eastAsia" w:ascii="宋体" w:hAnsi="宋体" w:eastAsia="宋体" w:cs="宋体"/>
          <w:sz w:val="28"/>
          <w:szCs w:val="28"/>
          <w:lang w:eastAsia="zh-CN"/>
        </w:rPr>
        <w:t>辆、其他用车</w:t>
      </w:r>
      <w:r>
        <w:rPr>
          <w:rFonts w:hint="eastAsia"/>
          <w:highlight w:val="none"/>
          <w:lang w:val="en-US" w:eastAsia="zh-CN"/>
        </w:rPr>
        <w:t>1</w:t>
      </w:r>
      <w:r>
        <w:rPr>
          <w:rFonts w:hint="eastAsia" w:ascii="宋体" w:hAnsi="宋体" w:eastAsia="宋体" w:cs="宋体"/>
          <w:sz w:val="28"/>
          <w:szCs w:val="28"/>
          <w:lang w:eastAsia="zh-CN"/>
        </w:rPr>
        <w:t>辆，单位价值200万元以上大型设备</w:t>
      </w:r>
      <w:r>
        <w:rPr>
          <w:rFonts w:hint="eastAsia"/>
          <w:highlight w:val="none"/>
          <w:lang w:val="en-US" w:eastAsia="zh-CN"/>
        </w:rPr>
        <w:t>0</w:t>
      </w:r>
      <w:r>
        <w:rPr>
          <w:rFonts w:hint="eastAsia" w:ascii="宋体" w:hAnsi="宋体" w:eastAsia="宋体" w:cs="宋体"/>
          <w:sz w:val="28"/>
          <w:szCs w:val="28"/>
          <w:lang w:eastAsia="zh-CN"/>
        </w:rPr>
        <w:t>台（套）。</w:t>
      </w:r>
    </w:p>
    <w:p>
      <w:pPr>
        <w:pStyle w:val="7"/>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（四）预算绩效目标情况说明</w:t>
      </w:r>
    </w:p>
    <w:p>
      <w:pPr>
        <w:pStyle w:val="7"/>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1.我部门2024年所有项目支出全面实施绩效目标管理，涉及项目</w:t>
      </w:r>
      <w:r>
        <w:rPr>
          <w:rFonts w:hint="eastAsia"/>
          <w:highlight w:val="none"/>
          <w:lang w:val="en-US" w:eastAsia="zh-CN"/>
        </w:rPr>
        <w:t>0</w:t>
      </w:r>
      <w:r>
        <w:rPr>
          <w:rFonts w:hint="eastAsia" w:ascii="宋体" w:hAnsi="宋体" w:eastAsia="宋体" w:cs="宋体"/>
          <w:sz w:val="28"/>
          <w:szCs w:val="28"/>
          <w:lang w:eastAsia="zh-CN"/>
        </w:rPr>
        <w:t>个，预算资金</w:t>
      </w:r>
      <w:r>
        <w:rPr>
          <w:rFonts w:hint="eastAsia"/>
          <w:highlight w:val="none"/>
          <w:lang w:val="en-US" w:eastAsia="zh-CN"/>
        </w:rPr>
        <w:t>0</w:t>
      </w:r>
      <w:r>
        <w:rPr>
          <w:rFonts w:hint="eastAsia" w:ascii="宋体" w:hAnsi="宋体" w:eastAsia="宋体" w:cs="宋体"/>
          <w:sz w:val="28"/>
          <w:szCs w:val="28"/>
          <w:lang w:eastAsia="zh-CN"/>
        </w:rPr>
        <w:t>万元。绩效目标情况详见报表（日常运转类项目、工资类人员经费项目和涉密项目等除外）。</w:t>
      </w:r>
    </w:p>
    <w:p>
      <w:pPr>
        <w:pStyle w:val="7"/>
        <w:spacing w:line="624" w:lineRule="exact"/>
        <w:ind w:firstLine="600"/>
        <w:jc w:val="left"/>
        <w:rPr>
          <w:rFonts w:hint="eastAsia"/>
          <w:highlight w:val="none"/>
          <w:lang w:val="en-US" w:eastAsia="zh-CN"/>
        </w:rPr>
      </w:pPr>
      <w:r>
        <w:rPr>
          <w:rFonts w:hint="eastAsia" w:ascii="宋体" w:hAnsi="宋体" w:eastAsia="宋体" w:cs="宋体"/>
          <w:sz w:val="28"/>
          <w:szCs w:val="28"/>
          <w:lang w:eastAsia="zh-CN"/>
        </w:rPr>
        <w:t>2.重点项目预算绩效目标说明</w:t>
      </w:r>
      <w:r>
        <w:rPr>
          <w:rFonts w:hint="eastAsia" w:cs="宋体"/>
          <w:sz w:val="28"/>
          <w:szCs w:val="28"/>
          <w:lang w:eastAsia="zh-CN"/>
        </w:rPr>
        <w:t>。</w:t>
      </w:r>
    </w:p>
    <w:p>
      <w:pPr>
        <w:pStyle w:val="7"/>
        <w:spacing w:line="624" w:lineRule="exact"/>
        <w:ind w:left="0" w:leftChars="0" w:firstLine="560" w:firstLineChars="200"/>
        <w:jc w:val="left"/>
        <w:rPr>
          <w:rFonts w:hint="eastAsia" w:ascii="宋体" w:hAnsi="宋体" w:eastAsia="宋体" w:cs="宋体"/>
          <w:color w:val="auto"/>
          <w:sz w:val="28"/>
          <w:szCs w:val="28"/>
          <w:highlight w:val="none"/>
          <w:lang w:val="en-US" w:eastAsia="zh-CN"/>
        </w:rPr>
        <w:sectPr>
          <w:headerReference r:id="rId4" w:type="default"/>
          <w:footerReference r:id="rId5" w:type="default"/>
          <w:pgSz w:w="11900" w:h="16840"/>
          <w:pgMar w:top="1440" w:right="1800" w:bottom="1440" w:left="1800" w:header="0" w:footer="3" w:gutter="0"/>
          <w:pgBorders>
            <w:top w:val="none" w:sz="0" w:space="0"/>
            <w:left w:val="none" w:sz="0" w:space="0"/>
            <w:bottom w:val="none" w:sz="0" w:space="0"/>
            <w:right w:val="none" w:sz="0" w:space="0"/>
          </w:pgBorders>
          <w:cols w:space="720" w:num="1"/>
          <w:docGrid w:linePitch="360" w:charSpace="0"/>
        </w:sectPr>
      </w:pPr>
      <w:r>
        <w:rPr>
          <w:rFonts w:hint="eastAsia" w:ascii="宋体" w:hAnsi="宋体" w:eastAsia="宋体" w:cs="宋体"/>
          <w:i w:val="0"/>
          <w:iCs w:val="0"/>
          <w:caps w:val="0"/>
          <w:color w:val="auto"/>
          <w:spacing w:val="0"/>
          <w:sz w:val="28"/>
          <w:szCs w:val="28"/>
          <w:shd w:val="clear" w:fill="FFFFFF"/>
        </w:rPr>
        <w:t>我部门202</w:t>
      </w:r>
      <w:r>
        <w:rPr>
          <w:rFonts w:hint="eastAsia" w:ascii="宋体" w:hAnsi="宋体" w:eastAsia="宋体" w:cs="宋体"/>
          <w:i w:val="0"/>
          <w:iCs w:val="0"/>
          <w:caps w:val="0"/>
          <w:color w:val="auto"/>
          <w:spacing w:val="0"/>
          <w:sz w:val="28"/>
          <w:szCs w:val="28"/>
          <w:shd w:val="clear" w:fill="FFFFFF"/>
          <w:lang w:val="en-US" w:eastAsia="zh-CN"/>
        </w:rPr>
        <w:t>4</w:t>
      </w:r>
      <w:r>
        <w:rPr>
          <w:rFonts w:hint="eastAsia" w:ascii="宋体" w:hAnsi="宋体" w:eastAsia="宋体" w:cs="宋体"/>
          <w:i w:val="0"/>
          <w:iCs w:val="0"/>
          <w:caps w:val="0"/>
          <w:color w:val="auto"/>
          <w:spacing w:val="0"/>
          <w:sz w:val="28"/>
          <w:szCs w:val="28"/>
          <w:shd w:val="clear" w:fill="FFFFFF"/>
        </w:rPr>
        <w:t>年无重点项目预算相关情况。</w:t>
      </w:r>
    </w:p>
    <w:bookmarkEnd w:id="10"/>
    <w:bookmarkEnd w:id="11"/>
    <w:bookmarkEnd w:id="12"/>
    <w:p>
      <w:pPr>
        <w:pStyle w:val="5"/>
        <w:keepNext/>
        <w:keepLines/>
        <w:spacing w:after="980"/>
        <w:jc w:val="center"/>
      </w:pPr>
      <w:r>
        <w:t>第</w:t>
      </w:r>
      <w:r>
        <w:rPr>
          <w:rFonts w:hint="eastAsia"/>
          <w:lang w:val="en-US" w:eastAsia="zh-CN"/>
        </w:rPr>
        <w:t>三</w:t>
      </w:r>
      <w:r>
        <w:t>部分</w:t>
      </w:r>
      <w:r>
        <w:rPr>
          <w:rFonts w:hint="eastAsia"/>
          <w:lang w:eastAsia="zh-CN"/>
        </w:rPr>
        <w:t>环江毛南族自治县川山镇计生所</w:t>
      </w:r>
      <w:r>
        <w:rPr>
          <w:rFonts w:hint="eastAsia" w:ascii="Times New Roman" w:hAnsi="Times New Roman" w:cs="Times New Roman"/>
          <w:sz w:val="42"/>
          <w:szCs w:val="42"/>
          <w:lang w:eastAsia="zh-CN"/>
        </w:rPr>
        <w:t>2024</w:t>
      </w:r>
      <w:r>
        <w:rPr>
          <w:rFonts w:ascii="Times New Roman" w:hAnsi="Times New Roman" w:cs="Times New Roman"/>
          <w:sz w:val="42"/>
          <w:u w:color="auto"/>
        </w:rPr>
        <w:t>年</w:t>
      </w:r>
      <w:r>
        <w:t>部门预算表</w:t>
      </w:r>
    </w:p>
    <w:p>
      <w:pPr>
        <w:pStyle w:val="9"/>
        <w:keepNext/>
        <w:keepLines/>
        <w:spacing w:after="240"/>
        <w:jc w:val="center"/>
      </w:pPr>
      <w:bookmarkStart w:id="16" w:name="bookmark30"/>
      <w:bookmarkStart w:id="17" w:name="bookmark29"/>
      <w:bookmarkStart w:id="18" w:name="bookmark31"/>
      <w:r>
        <w:t>收支总体情况表</w:t>
      </w:r>
      <w:bookmarkEnd w:id="16"/>
      <w:bookmarkEnd w:id="17"/>
      <w:bookmarkEnd w:id="18"/>
    </w:p>
    <w:tbl>
      <w:tblPr>
        <w:tblStyle w:val="2"/>
        <w:tblW w:w="0" w:type="auto"/>
        <w:tblInd w:w="0" w:type="dxa"/>
        <w:tblLayout w:type="fixed"/>
        <w:tblCellMar>
          <w:top w:w="0" w:type="dxa"/>
          <w:left w:w="10" w:type="dxa"/>
          <w:bottom w:w="0" w:type="dxa"/>
          <w:right w:w="10" w:type="dxa"/>
        </w:tblCellMar>
      </w:tblPr>
      <w:tblGrid>
        <w:gridCol w:w="3339"/>
        <w:gridCol w:w="3760"/>
        <w:gridCol w:w="3542"/>
        <w:gridCol w:w="3571"/>
      </w:tblGrid>
      <w:tr>
        <w:tblPrEx>
          <w:tblCellMar>
            <w:top w:w="0" w:type="dxa"/>
            <w:left w:w="10" w:type="dxa"/>
            <w:bottom w:w="0" w:type="dxa"/>
            <w:right w:w="10" w:type="dxa"/>
          </w:tblCellMar>
        </w:tblPrEx>
        <w:trPr>
          <w:trHeight w:val="331" w:hRule="exact"/>
        </w:trPr>
        <w:tc>
          <w:tcPr>
            <w:tcW w:w="10641" w:type="dxa"/>
            <w:gridSpan w:val="3"/>
            <w:tcBorders>
              <w:bottom w:val="single" w:color="auto" w:sz="4" w:space="0"/>
            </w:tcBorders>
            <w:shd w:val="clear" w:color="auto" w:fill="FFFFFF"/>
          </w:tcPr>
          <w:p>
            <w:pPr>
              <w:pStyle w:val="10"/>
              <w:spacing w:line="240" w:lineRule="auto"/>
              <w:ind w:firstLine="0"/>
              <w:jc w:val="left"/>
              <w:rPr>
                <w:sz w:val="17"/>
                <w:szCs w:val="17"/>
              </w:rPr>
            </w:pPr>
            <w:r>
              <w:rPr>
                <w:sz w:val="17"/>
                <w:szCs w:val="17"/>
              </w:rPr>
              <w:t>单位名称：</w:t>
            </w:r>
            <w:r>
              <w:rPr>
                <w:rFonts w:hint="eastAsia"/>
                <w:sz w:val="17"/>
                <w:szCs w:val="17"/>
                <w:lang w:eastAsia="zh-CN"/>
              </w:rPr>
              <w:t>环江毛南族自治县川山镇计生所</w:t>
            </w:r>
          </w:p>
        </w:tc>
        <w:tc>
          <w:tcPr>
            <w:tcW w:w="3571" w:type="dxa"/>
            <w:tcBorders>
              <w:bottom w:val="single" w:color="auto" w:sz="4" w:space="0"/>
            </w:tcBorders>
            <w:shd w:val="clear" w:color="auto" w:fill="FFFFFF"/>
          </w:tcPr>
          <w:p>
            <w:pPr>
              <w:pStyle w:val="10"/>
              <w:spacing w:line="240" w:lineRule="auto"/>
              <w:ind w:firstLine="2380" w:firstLineChars="1400"/>
              <w:jc w:val="left"/>
              <w:rPr>
                <w:sz w:val="17"/>
                <w:szCs w:val="17"/>
              </w:rPr>
            </w:pPr>
            <w:r>
              <w:rPr>
                <w:sz w:val="17"/>
                <w:szCs w:val="17"/>
              </w:rPr>
              <w:t>单位：万元</w:t>
            </w:r>
          </w:p>
        </w:tc>
      </w:tr>
      <w:tr>
        <w:tblPrEx>
          <w:tblCellMar>
            <w:top w:w="0" w:type="dxa"/>
            <w:left w:w="10" w:type="dxa"/>
            <w:bottom w:w="0" w:type="dxa"/>
            <w:right w:w="10" w:type="dxa"/>
          </w:tblCellMar>
        </w:tblPrEx>
        <w:trPr>
          <w:trHeight w:val="456" w:hRule="exact"/>
        </w:trPr>
        <w:tc>
          <w:tcPr>
            <w:tcW w:w="70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10"/>
              <w:spacing w:line="240" w:lineRule="auto"/>
              <w:ind w:firstLine="2890" w:firstLineChars="1700"/>
              <w:jc w:val="both"/>
              <w:rPr>
                <w:sz w:val="17"/>
                <w:szCs w:val="17"/>
              </w:rPr>
            </w:pPr>
            <w:r>
              <w:rPr>
                <w:sz w:val="17"/>
                <w:szCs w:val="17"/>
              </w:rPr>
              <w:t>收入</w:t>
            </w:r>
          </w:p>
        </w:tc>
        <w:tc>
          <w:tcPr>
            <w:tcW w:w="71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10"/>
              <w:spacing w:line="240" w:lineRule="auto"/>
              <w:ind w:right="340" w:firstLine="2890" w:firstLineChars="1700"/>
              <w:jc w:val="both"/>
              <w:rPr>
                <w:sz w:val="17"/>
                <w:szCs w:val="17"/>
              </w:rPr>
            </w:pPr>
            <w:r>
              <w:rPr>
                <w:sz w:val="17"/>
                <w:szCs w:val="17"/>
              </w:rPr>
              <w:t>支出</w:t>
            </w:r>
          </w:p>
        </w:tc>
      </w:tr>
      <w:tr>
        <w:tblPrEx>
          <w:tblCellMar>
            <w:top w:w="0" w:type="dxa"/>
            <w:left w:w="10" w:type="dxa"/>
            <w:bottom w:w="0" w:type="dxa"/>
            <w:right w:w="10" w:type="dxa"/>
          </w:tblCellMar>
        </w:tblPrEx>
        <w:trPr>
          <w:trHeight w:val="432"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spacing w:line="240" w:lineRule="auto"/>
              <w:ind w:firstLine="0"/>
              <w:jc w:val="left"/>
              <w:rPr>
                <w:sz w:val="17"/>
                <w:szCs w:val="17"/>
              </w:rPr>
            </w:pPr>
            <w:r>
              <w:rPr>
                <w:sz w:val="17"/>
                <w:szCs w:val="17"/>
              </w:rPr>
              <w:t>项目</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spacing w:line="240" w:lineRule="auto"/>
              <w:ind w:firstLine="0"/>
              <w:jc w:val="left"/>
              <w:rPr>
                <w:sz w:val="17"/>
                <w:szCs w:val="17"/>
              </w:rPr>
            </w:pPr>
            <w:r>
              <w:rPr>
                <w:sz w:val="17"/>
                <w:szCs w:val="17"/>
              </w:rPr>
              <w:t>预算数</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tabs>
                <w:tab w:val="left" w:pos="894"/>
              </w:tabs>
              <w:spacing w:line="240" w:lineRule="auto"/>
              <w:jc w:val="left"/>
              <w:rPr>
                <w:sz w:val="17"/>
                <w:szCs w:val="17"/>
              </w:rPr>
            </w:pPr>
            <w:r>
              <w:rPr>
                <w:sz w:val="17"/>
                <w:szCs w:val="17"/>
              </w:rPr>
              <w:t>项</w:t>
            </w:r>
            <w:r>
              <w:rPr>
                <w:sz w:val="17"/>
                <w:szCs w:val="17"/>
              </w:rPr>
              <w:tab/>
            </w:r>
            <w:r>
              <w:rPr>
                <w:sz w:val="17"/>
                <w:szCs w:val="17"/>
              </w:rPr>
              <w:t>目（按支出功能科目分类）</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spacing w:line="240" w:lineRule="auto"/>
              <w:ind w:firstLine="0"/>
              <w:jc w:val="left"/>
              <w:rPr>
                <w:sz w:val="17"/>
                <w:szCs w:val="17"/>
              </w:rPr>
            </w:pPr>
            <w:r>
              <w:rPr>
                <w:sz w:val="17"/>
                <w:szCs w:val="17"/>
              </w:rPr>
              <w:t>预算数</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spacing w:line="240" w:lineRule="auto"/>
              <w:ind w:firstLine="0"/>
              <w:jc w:val="left"/>
              <w:rPr>
                <w:rFonts w:hint="default" w:eastAsia="宋体"/>
                <w:sz w:val="17"/>
                <w:szCs w:val="17"/>
                <w:lang w:val="en-US" w:eastAsia="zh-CN"/>
              </w:rPr>
            </w:pPr>
            <w:r>
              <w:rPr>
                <w:rFonts w:hint="eastAsia"/>
                <w:sz w:val="17"/>
                <w:szCs w:val="17"/>
                <w:lang w:val="en-US" w:eastAsia="zh-CN"/>
              </w:rPr>
              <w:t>一、一般公共预算拨款</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spacing w:line="240" w:lineRule="auto"/>
              <w:ind w:firstLine="0"/>
              <w:jc w:val="left"/>
              <w:rPr>
                <w:rFonts w:hint="default" w:eastAsia="宋体"/>
                <w:sz w:val="17"/>
                <w:szCs w:val="17"/>
                <w:lang w:val="en-US" w:eastAsia="zh-CN"/>
              </w:rPr>
            </w:pPr>
            <w:r>
              <w:rPr>
                <w:rFonts w:hint="eastAsia"/>
                <w:sz w:val="17"/>
                <w:szCs w:val="17"/>
                <w:lang w:val="en-US" w:eastAsia="zh-CN"/>
              </w:rPr>
              <w:t>147.10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spacing w:line="240" w:lineRule="auto"/>
              <w:ind w:firstLine="180"/>
              <w:jc w:val="left"/>
              <w:rPr>
                <w:rFonts w:hint="default" w:eastAsia="宋体"/>
                <w:sz w:val="17"/>
                <w:szCs w:val="17"/>
                <w:lang w:val="en-US" w:eastAsia="zh-CN"/>
              </w:rPr>
            </w:pPr>
            <w:r>
              <w:rPr>
                <w:rFonts w:hint="eastAsia"/>
                <w:sz w:val="17"/>
                <w:szCs w:val="17"/>
                <w:lang w:val="en-US" w:eastAsia="zh-CN"/>
              </w:rPr>
              <w:t>一、一般公共服务支出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spacing w:line="240" w:lineRule="auto"/>
              <w:ind w:firstLine="0"/>
              <w:jc w:val="left"/>
              <w:rPr>
                <w:rFonts w:hint="default" w:eastAsia="宋体"/>
                <w:sz w:val="17"/>
                <w:szCs w:val="17"/>
                <w:lang w:val="en-US" w:eastAsia="zh-CN"/>
              </w:rPr>
            </w:pPr>
            <w:r>
              <w:rPr>
                <w:rFonts w:hint="eastAsia"/>
                <w:sz w:val="17"/>
                <w:szCs w:val="17"/>
                <w:lang w:val="en-US" w:eastAsia="zh-CN"/>
              </w:rPr>
              <w:t>1.40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spacing w:line="240" w:lineRule="auto"/>
              <w:ind w:firstLine="0"/>
              <w:jc w:val="left"/>
              <w:rPr>
                <w:rFonts w:hint="default" w:eastAsia="宋体"/>
                <w:sz w:val="17"/>
                <w:szCs w:val="17"/>
                <w:lang w:val="en-US" w:eastAsia="zh-CN"/>
              </w:rPr>
            </w:pPr>
            <w:r>
              <w:rPr>
                <w:rFonts w:hint="eastAsia"/>
                <w:sz w:val="17"/>
                <w:szCs w:val="17"/>
                <w:lang w:val="en-US" w:eastAsia="zh-CN"/>
              </w:rPr>
              <w:t xml:space="preserve">     1、上级补助</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spacing w:line="240" w:lineRule="auto"/>
              <w:ind w:firstLine="180"/>
              <w:jc w:val="left"/>
              <w:rPr>
                <w:rFonts w:hint="default" w:eastAsia="宋体"/>
                <w:sz w:val="17"/>
                <w:szCs w:val="17"/>
                <w:lang w:val="en-US" w:eastAsia="zh-CN"/>
              </w:rPr>
            </w:pPr>
            <w:r>
              <w:rPr>
                <w:rFonts w:hint="eastAsia"/>
                <w:sz w:val="17"/>
                <w:szCs w:val="17"/>
                <w:lang w:val="en-US" w:eastAsia="zh-CN"/>
              </w:rPr>
              <w:t>二、外交支出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spacing w:line="240" w:lineRule="auto"/>
              <w:ind w:firstLine="0"/>
              <w:jc w:val="left"/>
              <w:rPr>
                <w:rFonts w:hint="default" w:eastAsia="宋体"/>
                <w:sz w:val="17"/>
                <w:szCs w:val="17"/>
                <w:lang w:val="en-US" w:eastAsia="zh-CN"/>
              </w:rPr>
            </w:pPr>
            <w:r>
              <w:rPr>
                <w:rFonts w:hint="eastAsia"/>
                <w:sz w:val="17"/>
                <w:szCs w:val="17"/>
                <w:lang w:val="en-US" w:eastAsia="zh-CN"/>
              </w:rPr>
              <w:t xml:space="preserve">     2、本级</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spacing w:line="240" w:lineRule="auto"/>
              <w:ind w:firstLine="0"/>
              <w:jc w:val="left"/>
              <w:rPr>
                <w:rFonts w:hint="default" w:eastAsia="宋体"/>
                <w:sz w:val="17"/>
                <w:szCs w:val="17"/>
                <w:lang w:val="en-US" w:eastAsia="zh-CN"/>
              </w:rPr>
            </w:pPr>
            <w:r>
              <w:rPr>
                <w:rFonts w:hint="eastAsia"/>
                <w:sz w:val="17"/>
                <w:szCs w:val="17"/>
                <w:lang w:val="en-US" w:eastAsia="zh-CN"/>
              </w:rPr>
              <w:t>147.10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spacing w:line="240" w:lineRule="auto"/>
              <w:ind w:firstLine="180"/>
              <w:jc w:val="left"/>
              <w:rPr>
                <w:rFonts w:hint="default" w:eastAsia="宋体"/>
                <w:sz w:val="17"/>
                <w:szCs w:val="17"/>
                <w:lang w:val="en-US" w:eastAsia="zh-CN"/>
              </w:rPr>
            </w:pPr>
            <w:r>
              <w:rPr>
                <w:rFonts w:hint="eastAsia"/>
                <w:sz w:val="17"/>
                <w:szCs w:val="17"/>
                <w:lang w:val="en-US" w:eastAsia="zh-CN"/>
              </w:rPr>
              <w:t>三、国防支出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spacing w:line="240" w:lineRule="auto"/>
              <w:ind w:firstLine="0"/>
              <w:jc w:val="left"/>
              <w:rPr>
                <w:rFonts w:hint="default" w:eastAsia="宋体"/>
                <w:sz w:val="17"/>
                <w:szCs w:val="17"/>
                <w:lang w:val="en-US" w:eastAsia="zh-CN"/>
              </w:rPr>
            </w:pPr>
            <w:r>
              <w:rPr>
                <w:rFonts w:hint="eastAsia"/>
                <w:sz w:val="17"/>
                <w:szCs w:val="17"/>
                <w:lang w:val="en-US" w:eastAsia="zh-CN"/>
              </w:rPr>
              <w:t>二、政府性基金预算拨款</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spacing w:line="240" w:lineRule="auto"/>
              <w:ind w:firstLine="180"/>
              <w:jc w:val="left"/>
              <w:rPr>
                <w:rFonts w:hint="default" w:eastAsia="宋体"/>
                <w:sz w:val="17"/>
                <w:szCs w:val="17"/>
                <w:lang w:val="en-US" w:eastAsia="zh-CN"/>
              </w:rPr>
            </w:pPr>
            <w:r>
              <w:rPr>
                <w:rFonts w:hint="eastAsia"/>
                <w:sz w:val="17"/>
                <w:szCs w:val="17"/>
                <w:lang w:val="en-US" w:eastAsia="zh-CN"/>
              </w:rPr>
              <w:t>四、公共安全支出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spacing w:line="240" w:lineRule="auto"/>
              <w:ind w:firstLine="0"/>
              <w:jc w:val="left"/>
              <w:rPr>
                <w:rFonts w:hint="default" w:eastAsia="宋体"/>
                <w:sz w:val="17"/>
                <w:szCs w:val="17"/>
                <w:lang w:val="en-US" w:eastAsia="zh-CN"/>
              </w:rPr>
            </w:pPr>
            <w:r>
              <w:rPr>
                <w:rFonts w:hint="eastAsia"/>
                <w:sz w:val="17"/>
                <w:szCs w:val="17"/>
                <w:lang w:val="en-US" w:eastAsia="zh-CN"/>
              </w:rPr>
              <w:t xml:space="preserve">     1、上级补助</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spacing w:line="240" w:lineRule="auto"/>
              <w:ind w:firstLine="180"/>
              <w:jc w:val="left"/>
              <w:rPr>
                <w:rFonts w:hint="default" w:eastAsia="宋体"/>
                <w:sz w:val="17"/>
                <w:szCs w:val="17"/>
                <w:lang w:val="en-US" w:eastAsia="zh-CN"/>
              </w:rPr>
            </w:pPr>
            <w:r>
              <w:rPr>
                <w:rFonts w:hint="eastAsia"/>
                <w:sz w:val="17"/>
                <w:szCs w:val="17"/>
                <w:lang w:val="en-US" w:eastAsia="zh-CN"/>
              </w:rPr>
              <w:t>五、教育支出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spacing w:line="240" w:lineRule="auto"/>
              <w:ind w:firstLine="0"/>
              <w:jc w:val="left"/>
              <w:rPr>
                <w:rFonts w:hint="default" w:eastAsia="宋体"/>
                <w:sz w:val="17"/>
                <w:szCs w:val="17"/>
                <w:lang w:val="en-US" w:eastAsia="zh-CN"/>
              </w:rPr>
            </w:pPr>
            <w:r>
              <w:rPr>
                <w:rFonts w:hint="eastAsia"/>
                <w:sz w:val="17"/>
                <w:szCs w:val="17"/>
                <w:lang w:val="en-US" w:eastAsia="zh-CN"/>
              </w:rPr>
              <w:t xml:space="preserve">     2、本级</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spacing w:line="240" w:lineRule="auto"/>
              <w:ind w:firstLine="180"/>
              <w:jc w:val="left"/>
              <w:rPr>
                <w:rFonts w:hint="default" w:eastAsia="宋体"/>
                <w:sz w:val="17"/>
                <w:szCs w:val="17"/>
                <w:lang w:val="en-US" w:eastAsia="zh-CN"/>
              </w:rPr>
            </w:pPr>
            <w:r>
              <w:rPr>
                <w:rFonts w:hint="eastAsia"/>
                <w:sz w:val="17"/>
                <w:szCs w:val="17"/>
                <w:lang w:val="en-US" w:eastAsia="zh-CN"/>
              </w:rPr>
              <w:t>六、科学技术支出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spacing w:line="240" w:lineRule="auto"/>
              <w:ind w:firstLine="0"/>
              <w:jc w:val="left"/>
              <w:rPr>
                <w:rFonts w:hint="default" w:eastAsia="宋体"/>
                <w:sz w:val="17"/>
                <w:szCs w:val="17"/>
                <w:lang w:val="en-US" w:eastAsia="zh-CN"/>
              </w:rPr>
            </w:pPr>
            <w:r>
              <w:rPr>
                <w:rFonts w:hint="eastAsia"/>
                <w:sz w:val="17"/>
                <w:szCs w:val="17"/>
                <w:lang w:val="en-US" w:eastAsia="zh-CN"/>
              </w:rPr>
              <w:t>三、国有资本经营预算拨款</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spacing w:line="240" w:lineRule="auto"/>
              <w:ind w:firstLine="180"/>
              <w:jc w:val="left"/>
              <w:rPr>
                <w:rFonts w:hint="default" w:eastAsia="宋体"/>
                <w:sz w:val="17"/>
                <w:szCs w:val="17"/>
                <w:lang w:val="en-US" w:eastAsia="zh-CN"/>
              </w:rPr>
            </w:pPr>
            <w:r>
              <w:rPr>
                <w:rFonts w:hint="eastAsia"/>
                <w:sz w:val="17"/>
                <w:szCs w:val="17"/>
                <w:lang w:val="en-US" w:eastAsia="zh-CN"/>
              </w:rPr>
              <w:t>七、文化旅游体育与传媒支出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spacing w:line="240" w:lineRule="auto"/>
              <w:ind w:firstLine="0"/>
              <w:jc w:val="left"/>
              <w:rPr>
                <w:rFonts w:hint="default" w:eastAsia="宋体"/>
                <w:sz w:val="17"/>
                <w:szCs w:val="17"/>
                <w:lang w:val="en-US" w:eastAsia="zh-CN"/>
              </w:rPr>
            </w:pPr>
            <w:r>
              <w:rPr>
                <w:rFonts w:hint="eastAsia"/>
                <w:sz w:val="17"/>
                <w:szCs w:val="17"/>
                <w:lang w:val="en-US" w:eastAsia="zh-CN"/>
              </w:rPr>
              <w:t>1、上级补助</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spacing w:line="240" w:lineRule="auto"/>
              <w:ind w:firstLine="180"/>
              <w:jc w:val="left"/>
              <w:rPr>
                <w:rFonts w:hint="default" w:eastAsia="宋体"/>
                <w:sz w:val="17"/>
                <w:szCs w:val="17"/>
                <w:lang w:val="en-US" w:eastAsia="zh-CN"/>
              </w:rPr>
            </w:pPr>
            <w:r>
              <w:rPr>
                <w:rFonts w:hint="eastAsia"/>
                <w:sz w:val="17"/>
                <w:szCs w:val="17"/>
                <w:lang w:val="en-US" w:eastAsia="zh-CN"/>
              </w:rPr>
              <w:t>八、社会保障和就业支出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spacing w:line="240" w:lineRule="auto"/>
              <w:ind w:firstLine="0"/>
              <w:jc w:val="left"/>
              <w:rPr>
                <w:rFonts w:hint="default" w:eastAsia="宋体"/>
                <w:sz w:val="17"/>
                <w:szCs w:val="17"/>
                <w:lang w:val="en-US" w:eastAsia="zh-CN"/>
              </w:rPr>
            </w:pPr>
            <w:r>
              <w:rPr>
                <w:rFonts w:hint="eastAsia"/>
                <w:sz w:val="17"/>
                <w:szCs w:val="17"/>
                <w:lang w:val="en-US" w:eastAsia="zh-CN"/>
              </w:rPr>
              <w:t>17.01</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spacing w:line="240" w:lineRule="auto"/>
              <w:ind w:firstLine="0"/>
              <w:jc w:val="left"/>
              <w:rPr>
                <w:rFonts w:hint="default" w:eastAsia="宋体"/>
                <w:sz w:val="17"/>
                <w:szCs w:val="17"/>
                <w:lang w:val="en-US" w:eastAsia="zh-CN"/>
              </w:rPr>
            </w:pPr>
            <w:r>
              <w:rPr>
                <w:rFonts w:hint="eastAsia"/>
                <w:sz w:val="17"/>
                <w:szCs w:val="17"/>
                <w:lang w:val="en-US" w:eastAsia="zh-CN"/>
              </w:rPr>
              <w:t>2、本级</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spacing w:line="240" w:lineRule="auto"/>
              <w:ind w:firstLine="180"/>
              <w:jc w:val="left"/>
              <w:rPr>
                <w:rFonts w:hint="default" w:eastAsia="宋体"/>
                <w:sz w:val="17"/>
                <w:szCs w:val="17"/>
                <w:lang w:val="en-US" w:eastAsia="zh-CN"/>
              </w:rPr>
            </w:pPr>
            <w:r>
              <w:rPr>
                <w:rFonts w:hint="eastAsia"/>
                <w:sz w:val="17"/>
                <w:szCs w:val="17"/>
                <w:lang w:val="en-US" w:eastAsia="zh-CN"/>
              </w:rPr>
              <w:t>九、卫生健康支出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spacing w:line="240" w:lineRule="auto"/>
              <w:ind w:firstLine="0"/>
              <w:jc w:val="left"/>
              <w:rPr>
                <w:rFonts w:hint="default" w:eastAsia="宋体"/>
                <w:sz w:val="17"/>
                <w:szCs w:val="17"/>
                <w:lang w:val="en-US" w:eastAsia="zh-CN"/>
              </w:rPr>
            </w:pPr>
            <w:r>
              <w:rPr>
                <w:rFonts w:hint="eastAsia"/>
                <w:sz w:val="17"/>
                <w:szCs w:val="17"/>
                <w:lang w:val="en-US" w:eastAsia="zh-CN"/>
              </w:rPr>
              <w:t>113.86</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spacing w:line="240" w:lineRule="auto"/>
              <w:ind w:firstLine="0"/>
              <w:jc w:val="left"/>
              <w:rPr>
                <w:rFonts w:hint="default" w:eastAsia="宋体"/>
                <w:sz w:val="17"/>
                <w:szCs w:val="17"/>
                <w:lang w:val="en-US" w:eastAsia="zh-CN"/>
              </w:rPr>
            </w:pPr>
            <w:r>
              <w:rPr>
                <w:rFonts w:hint="eastAsia"/>
                <w:sz w:val="17"/>
                <w:szCs w:val="17"/>
                <w:lang w:val="en-US" w:eastAsia="zh-CN"/>
              </w:rPr>
              <w:t>四、财政专户管理资金收入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spacing w:line="240" w:lineRule="auto"/>
              <w:ind w:firstLine="180"/>
              <w:jc w:val="left"/>
              <w:rPr>
                <w:rFonts w:hint="default" w:eastAsia="宋体"/>
                <w:sz w:val="17"/>
                <w:szCs w:val="17"/>
                <w:lang w:val="en-US" w:eastAsia="zh-CN"/>
              </w:rPr>
            </w:pPr>
            <w:r>
              <w:rPr>
                <w:rFonts w:hint="eastAsia"/>
                <w:sz w:val="17"/>
                <w:szCs w:val="17"/>
                <w:lang w:val="en-US" w:eastAsia="zh-CN"/>
              </w:rPr>
              <w:t>十、节能环保支出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spacing w:line="240" w:lineRule="auto"/>
              <w:ind w:firstLine="0"/>
              <w:jc w:val="left"/>
              <w:rPr>
                <w:rFonts w:hint="default" w:eastAsia="宋体"/>
                <w:sz w:val="17"/>
                <w:szCs w:val="17"/>
                <w:lang w:val="en-US" w:eastAsia="zh-CN"/>
              </w:rPr>
            </w:pPr>
            <w:r>
              <w:rPr>
                <w:rFonts w:hint="eastAsia"/>
                <w:sz w:val="17"/>
                <w:szCs w:val="17"/>
                <w:lang w:val="en-US" w:eastAsia="zh-CN"/>
              </w:rPr>
              <w:t>五、事业收入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spacing w:line="240" w:lineRule="auto"/>
              <w:ind w:firstLine="180"/>
              <w:jc w:val="left"/>
              <w:rPr>
                <w:rFonts w:hint="default" w:eastAsia="宋体"/>
                <w:sz w:val="17"/>
                <w:szCs w:val="17"/>
                <w:lang w:val="en-US" w:eastAsia="zh-CN"/>
              </w:rPr>
            </w:pPr>
            <w:r>
              <w:rPr>
                <w:rFonts w:hint="eastAsia"/>
                <w:sz w:val="17"/>
                <w:szCs w:val="17"/>
                <w:lang w:val="en-US" w:eastAsia="zh-CN"/>
              </w:rPr>
              <w:t>十一、城乡社区支出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spacing w:line="240" w:lineRule="auto"/>
              <w:ind w:firstLine="0"/>
              <w:jc w:val="left"/>
              <w:rPr>
                <w:rFonts w:hint="default" w:eastAsia="宋体"/>
                <w:sz w:val="17"/>
                <w:szCs w:val="17"/>
                <w:lang w:val="en-US" w:eastAsia="zh-CN"/>
              </w:rPr>
            </w:pPr>
            <w:r>
              <w:rPr>
                <w:rFonts w:hint="eastAsia"/>
                <w:sz w:val="17"/>
                <w:szCs w:val="17"/>
                <w:lang w:val="en-US" w:eastAsia="zh-CN"/>
              </w:rPr>
              <w:t>六、事业单位经营收入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spacing w:line="240" w:lineRule="auto"/>
              <w:ind w:firstLine="180"/>
              <w:jc w:val="left"/>
              <w:rPr>
                <w:rFonts w:hint="default" w:eastAsia="宋体"/>
                <w:sz w:val="17"/>
                <w:szCs w:val="17"/>
                <w:lang w:val="en-US" w:eastAsia="zh-CN"/>
              </w:rPr>
            </w:pPr>
            <w:r>
              <w:rPr>
                <w:rFonts w:hint="eastAsia"/>
                <w:sz w:val="17"/>
                <w:szCs w:val="17"/>
                <w:lang w:val="en-US" w:eastAsia="zh-CN"/>
              </w:rPr>
              <w:t>十二、农林水支出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spacing w:line="240" w:lineRule="auto"/>
              <w:ind w:firstLine="0"/>
              <w:jc w:val="left"/>
              <w:rPr>
                <w:rFonts w:hint="default" w:eastAsia="宋体"/>
                <w:sz w:val="17"/>
                <w:szCs w:val="17"/>
                <w:lang w:val="en-US" w:eastAsia="zh-CN"/>
              </w:rPr>
            </w:pPr>
            <w:r>
              <w:rPr>
                <w:rFonts w:hint="eastAsia"/>
                <w:sz w:val="17"/>
                <w:szCs w:val="17"/>
                <w:lang w:val="en-US" w:eastAsia="zh-CN"/>
              </w:rPr>
              <w:t>七、上级补助收入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spacing w:line="240" w:lineRule="auto"/>
              <w:ind w:firstLine="180"/>
              <w:jc w:val="left"/>
              <w:rPr>
                <w:rFonts w:hint="default" w:eastAsia="宋体"/>
                <w:sz w:val="17"/>
                <w:szCs w:val="17"/>
                <w:lang w:val="en-US" w:eastAsia="zh-CN"/>
              </w:rPr>
            </w:pPr>
            <w:r>
              <w:rPr>
                <w:rFonts w:hint="eastAsia"/>
                <w:sz w:val="17"/>
                <w:szCs w:val="17"/>
                <w:lang w:val="en-US" w:eastAsia="zh-CN"/>
              </w:rPr>
              <w:t>十三、交通运输支出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spacing w:line="240" w:lineRule="auto"/>
              <w:ind w:firstLine="0"/>
              <w:jc w:val="left"/>
              <w:rPr>
                <w:rFonts w:hint="default" w:eastAsia="宋体"/>
                <w:sz w:val="17"/>
                <w:szCs w:val="17"/>
                <w:lang w:val="en-US" w:eastAsia="zh-CN"/>
              </w:rPr>
            </w:pPr>
            <w:r>
              <w:rPr>
                <w:rFonts w:hint="eastAsia"/>
                <w:sz w:val="17"/>
                <w:szCs w:val="17"/>
                <w:lang w:val="en-US" w:eastAsia="zh-CN"/>
              </w:rPr>
              <w:t>八、附属单位上缴收入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spacing w:line="240" w:lineRule="auto"/>
              <w:ind w:firstLine="180"/>
              <w:jc w:val="left"/>
              <w:rPr>
                <w:rFonts w:hint="default" w:eastAsia="宋体"/>
                <w:sz w:val="17"/>
                <w:szCs w:val="17"/>
                <w:lang w:val="en-US" w:eastAsia="zh-CN"/>
              </w:rPr>
            </w:pPr>
            <w:r>
              <w:rPr>
                <w:rFonts w:hint="eastAsia"/>
                <w:sz w:val="17"/>
                <w:szCs w:val="17"/>
                <w:lang w:val="en-US" w:eastAsia="zh-CN"/>
              </w:rPr>
              <w:t>十四、资源勘探工业信息等支出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spacing w:line="240" w:lineRule="auto"/>
              <w:ind w:firstLine="0"/>
              <w:jc w:val="left"/>
              <w:rPr>
                <w:rFonts w:hint="default" w:eastAsia="宋体"/>
                <w:sz w:val="17"/>
                <w:szCs w:val="17"/>
                <w:lang w:val="en-US" w:eastAsia="zh-CN"/>
              </w:rPr>
            </w:pPr>
            <w:r>
              <w:rPr>
                <w:rFonts w:hint="eastAsia"/>
                <w:sz w:val="17"/>
                <w:szCs w:val="17"/>
                <w:lang w:val="en-US" w:eastAsia="zh-CN"/>
              </w:rPr>
              <w:t>九、其他收入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spacing w:line="240" w:lineRule="auto"/>
              <w:ind w:firstLine="180"/>
              <w:jc w:val="left"/>
              <w:rPr>
                <w:rFonts w:hint="default" w:eastAsia="宋体"/>
                <w:sz w:val="17"/>
                <w:szCs w:val="17"/>
                <w:lang w:val="en-US" w:eastAsia="zh-CN"/>
              </w:rPr>
            </w:pPr>
            <w:r>
              <w:rPr>
                <w:rFonts w:hint="eastAsia"/>
                <w:sz w:val="17"/>
                <w:szCs w:val="17"/>
                <w:lang w:val="en-US" w:eastAsia="zh-CN"/>
              </w:rPr>
              <w:t>十五、商业服务业等支出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spacing w:line="240" w:lineRule="auto"/>
              <w:ind w:firstLine="180"/>
              <w:jc w:val="left"/>
              <w:rPr>
                <w:rFonts w:hint="default" w:eastAsia="宋体"/>
                <w:sz w:val="17"/>
                <w:szCs w:val="17"/>
                <w:lang w:val="en-US" w:eastAsia="zh-CN"/>
              </w:rPr>
            </w:pPr>
            <w:r>
              <w:rPr>
                <w:rFonts w:hint="eastAsia"/>
                <w:sz w:val="17"/>
                <w:szCs w:val="17"/>
                <w:lang w:val="en-US" w:eastAsia="zh-CN"/>
              </w:rPr>
              <w:t>十六、金融支出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spacing w:line="240" w:lineRule="auto"/>
              <w:ind w:firstLine="180"/>
              <w:jc w:val="left"/>
              <w:rPr>
                <w:rFonts w:hint="default" w:eastAsia="宋体"/>
                <w:sz w:val="17"/>
                <w:szCs w:val="17"/>
                <w:lang w:val="en-US" w:eastAsia="zh-CN"/>
              </w:rPr>
            </w:pPr>
            <w:r>
              <w:rPr>
                <w:rFonts w:hint="eastAsia"/>
                <w:sz w:val="17"/>
                <w:szCs w:val="17"/>
                <w:lang w:val="en-US" w:eastAsia="zh-CN"/>
              </w:rPr>
              <w:t>十七、援助其他地区支出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spacing w:line="240" w:lineRule="auto"/>
              <w:ind w:firstLine="180"/>
              <w:jc w:val="left"/>
              <w:rPr>
                <w:rFonts w:hint="default" w:eastAsia="宋体"/>
                <w:sz w:val="17"/>
                <w:szCs w:val="17"/>
                <w:lang w:val="en-US" w:eastAsia="zh-CN"/>
              </w:rPr>
            </w:pPr>
            <w:r>
              <w:rPr>
                <w:rFonts w:hint="eastAsia"/>
                <w:sz w:val="17"/>
                <w:szCs w:val="17"/>
                <w:lang w:val="en-US" w:eastAsia="zh-CN"/>
              </w:rPr>
              <w:t>十八、自然资源海洋气象等支出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spacing w:line="240" w:lineRule="auto"/>
              <w:ind w:firstLine="180"/>
              <w:jc w:val="left"/>
              <w:rPr>
                <w:rFonts w:hint="default" w:eastAsia="宋体"/>
                <w:sz w:val="17"/>
                <w:szCs w:val="17"/>
                <w:lang w:val="en-US" w:eastAsia="zh-CN"/>
              </w:rPr>
            </w:pPr>
            <w:r>
              <w:rPr>
                <w:rFonts w:hint="eastAsia"/>
                <w:sz w:val="17"/>
                <w:szCs w:val="17"/>
                <w:lang w:val="en-US" w:eastAsia="zh-CN"/>
              </w:rPr>
              <w:t>十九、住房保障支出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spacing w:line="240" w:lineRule="auto"/>
              <w:ind w:firstLine="0"/>
              <w:jc w:val="left"/>
              <w:rPr>
                <w:rFonts w:hint="default" w:eastAsia="宋体"/>
                <w:sz w:val="17"/>
                <w:szCs w:val="17"/>
                <w:lang w:val="en-US" w:eastAsia="zh-CN"/>
              </w:rPr>
            </w:pPr>
            <w:r>
              <w:rPr>
                <w:rFonts w:hint="eastAsia"/>
                <w:sz w:val="17"/>
                <w:szCs w:val="17"/>
                <w:lang w:val="en-US" w:eastAsia="zh-CN"/>
              </w:rPr>
              <w:t>14.83</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spacing w:line="240" w:lineRule="auto"/>
              <w:ind w:firstLine="180"/>
              <w:jc w:val="left"/>
              <w:rPr>
                <w:rFonts w:hint="default" w:eastAsia="宋体"/>
                <w:sz w:val="17"/>
                <w:szCs w:val="17"/>
                <w:lang w:val="en-US" w:eastAsia="zh-CN"/>
              </w:rPr>
            </w:pPr>
            <w:r>
              <w:rPr>
                <w:rFonts w:hint="eastAsia"/>
                <w:sz w:val="17"/>
                <w:szCs w:val="17"/>
                <w:lang w:val="en-US" w:eastAsia="zh-CN"/>
              </w:rPr>
              <w:t>二十、粮油物资储备支出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spacing w:line="240" w:lineRule="auto"/>
              <w:ind w:firstLine="180"/>
              <w:jc w:val="left"/>
              <w:rPr>
                <w:rFonts w:hint="default" w:eastAsia="宋体"/>
                <w:sz w:val="17"/>
                <w:szCs w:val="17"/>
                <w:lang w:val="en-US" w:eastAsia="zh-CN"/>
              </w:rPr>
            </w:pPr>
            <w:r>
              <w:rPr>
                <w:rFonts w:hint="eastAsia"/>
                <w:sz w:val="17"/>
                <w:szCs w:val="17"/>
                <w:lang w:val="en-US" w:eastAsia="zh-CN"/>
              </w:rPr>
              <w:t>二十一、国有资本经营预算支出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spacing w:line="240" w:lineRule="auto"/>
              <w:ind w:firstLine="180"/>
              <w:jc w:val="left"/>
              <w:rPr>
                <w:rFonts w:hint="default" w:eastAsia="宋体"/>
                <w:sz w:val="17"/>
                <w:szCs w:val="17"/>
                <w:lang w:val="en-US" w:eastAsia="zh-CN"/>
              </w:rPr>
            </w:pPr>
            <w:r>
              <w:rPr>
                <w:rFonts w:hint="eastAsia"/>
                <w:sz w:val="17"/>
                <w:szCs w:val="17"/>
                <w:lang w:val="en-US" w:eastAsia="zh-CN"/>
              </w:rPr>
              <w:t>二十二、灾害防治及应急管理支出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spacing w:line="240" w:lineRule="auto"/>
              <w:ind w:firstLine="180"/>
              <w:jc w:val="left"/>
              <w:rPr>
                <w:rFonts w:hint="default" w:eastAsia="宋体"/>
                <w:sz w:val="17"/>
                <w:szCs w:val="17"/>
                <w:lang w:val="en-US" w:eastAsia="zh-CN"/>
              </w:rPr>
            </w:pPr>
            <w:r>
              <w:rPr>
                <w:rFonts w:hint="eastAsia"/>
                <w:sz w:val="17"/>
                <w:szCs w:val="17"/>
                <w:lang w:val="en-US" w:eastAsia="zh-CN"/>
              </w:rPr>
              <w:t>二十三、其他支出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spacing w:line="240" w:lineRule="auto"/>
              <w:ind w:firstLine="180"/>
              <w:jc w:val="left"/>
              <w:rPr>
                <w:rFonts w:hint="default" w:eastAsia="宋体"/>
                <w:sz w:val="17"/>
                <w:szCs w:val="17"/>
                <w:lang w:val="en-US" w:eastAsia="zh-CN"/>
              </w:rPr>
            </w:pPr>
            <w:r>
              <w:rPr>
                <w:rFonts w:hint="eastAsia"/>
                <w:sz w:val="17"/>
                <w:szCs w:val="17"/>
                <w:lang w:val="en-US" w:eastAsia="zh-CN"/>
              </w:rPr>
              <w:t>二十四、债务还本支出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spacing w:line="240" w:lineRule="auto"/>
              <w:ind w:firstLine="180"/>
              <w:jc w:val="left"/>
              <w:rPr>
                <w:rFonts w:hint="default" w:eastAsia="宋体"/>
                <w:sz w:val="17"/>
                <w:szCs w:val="17"/>
                <w:lang w:val="en-US" w:eastAsia="zh-CN"/>
              </w:rPr>
            </w:pPr>
            <w:r>
              <w:rPr>
                <w:rFonts w:hint="eastAsia"/>
                <w:sz w:val="17"/>
                <w:szCs w:val="17"/>
                <w:lang w:val="en-US" w:eastAsia="zh-CN"/>
              </w:rPr>
              <w:t>二十五、债务付息支出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spacing w:line="240" w:lineRule="auto"/>
              <w:ind w:firstLine="180"/>
              <w:jc w:val="left"/>
              <w:rPr>
                <w:rFonts w:hint="default" w:eastAsia="宋体"/>
                <w:sz w:val="17"/>
                <w:szCs w:val="17"/>
                <w:lang w:val="en-US" w:eastAsia="zh-CN"/>
              </w:rPr>
            </w:pPr>
            <w:r>
              <w:rPr>
                <w:rFonts w:hint="eastAsia"/>
                <w:sz w:val="17"/>
                <w:szCs w:val="17"/>
                <w:lang w:val="en-US" w:eastAsia="zh-CN"/>
              </w:rPr>
              <w:t>二十六、债务发行费用支出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spacing w:line="240" w:lineRule="auto"/>
              <w:ind w:firstLine="0"/>
              <w:jc w:val="left"/>
              <w:rPr>
                <w:rFonts w:hint="default" w:eastAsia="宋体"/>
                <w:sz w:val="17"/>
                <w:szCs w:val="17"/>
                <w:lang w:val="en-US" w:eastAsia="zh-CN"/>
              </w:rPr>
            </w:pPr>
            <w:r>
              <w:rPr>
                <w:rFonts w:hint="eastAsia"/>
                <w:sz w:val="17"/>
                <w:szCs w:val="17"/>
                <w:lang w:val="en-US" w:eastAsia="zh-CN"/>
              </w:rPr>
              <w:t>本年收入合计</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spacing w:line="240" w:lineRule="auto"/>
              <w:ind w:firstLine="0"/>
              <w:jc w:val="left"/>
              <w:rPr>
                <w:rFonts w:hint="default" w:eastAsia="宋体"/>
                <w:sz w:val="17"/>
                <w:szCs w:val="17"/>
                <w:lang w:val="en-US" w:eastAsia="zh-CN"/>
              </w:rPr>
            </w:pPr>
            <w:r>
              <w:rPr>
                <w:rFonts w:hint="eastAsia"/>
                <w:sz w:val="17"/>
                <w:szCs w:val="17"/>
                <w:lang w:val="en-US" w:eastAsia="zh-CN"/>
              </w:rPr>
              <w:t>147.10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spacing w:line="240" w:lineRule="auto"/>
              <w:ind w:firstLine="180"/>
              <w:jc w:val="left"/>
              <w:rPr>
                <w:rFonts w:hint="default" w:eastAsia="宋体"/>
                <w:sz w:val="17"/>
                <w:szCs w:val="17"/>
                <w:lang w:val="en-US" w:eastAsia="zh-CN"/>
              </w:rPr>
            </w:pPr>
            <w:r>
              <w:rPr>
                <w:rFonts w:hint="eastAsia"/>
                <w:sz w:val="17"/>
                <w:szCs w:val="17"/>
                <w:lang w:val="en-US" w:eastAsia="zh-CN"/>
              </w:rPr>
              <w:t>本年支出合计</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spacing w:line="240" w:lineRule="auto"/>
              <w:ind w:firstLine="0"/>
              <w:jc w:val="left"/>
              <w:rPr>
                <w:rFonts w:hint="default" w:eastAsia="宋体"/>
                <w:sz w:val="17"/>
                <w:szCs w:val="17"/>
                <w:lang w:val="en-US" w:eastAsia="zh-CN"/>
              </w:rPr>
            </w:pPr>
            <w:r>
              <w:rPr>
                <w:rFonts w:hint="eastAsia"/>
                <w:sz w:val="17"/>
                <w:szCs w:val="17"/>
                <w:lang w:val="en-US" w:eastAsia="zh-CN"/>
              </w:rPr>
              <w:t>147.10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spacing w:line="240" w:lineRule="auto"/>
              <w:ind w:firstLine="0"/>
              <w:jc w:val="left"/>
              <w:rPr>
                <w:rFonts w:hint="default" w:eastAsia="宋体"/>
                <w:sz w:val="17"/>
                <w:szCs w:val="17"/>
                <w:lang w:val="en-US" w:eastAsia="zh-CN"/>
              </w:rPr>
            </w:pPr>
            <w:r>
              <w:rPr>
                <w:rFonts w:hint="eastAsia"/>
                <w:sz w:val="17"/>
                <w:szCs w:val="17"/>
                <w:lang w:val="en-US" w:eastAsia="zh-CN"/>
              </w:rPr>
              <w:t>上年结转结余</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spacing w:line="240" w:lineRule="auto"/>
              <w:ind w:firstLine="180"/>
              <w:jc w:val="left"/>
              <w:rPr>
                <w:rFonts w:hint="default" w:eastAsia="宋体"/>
                <w:sz w:val="17"/>
                <w:szCs w:val="17"/>
                <w:lang w:val="en-US" w:eastAsia="zh-CN"/>
              </w:rPr>
            </w:pPr>
            <w:r>
              <w:rPr>
                <w:rFonts w:hint="eastAsia"/>
                <w:sz w:val="17"/>
                <w:szCs w:val="17"/>
                <w:lang w:val="en-US" w:eastAsia="zh-CN"/>
              </w:rPr>
              <w:t>结转下年支出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spacing w:line="240" w:lineRule="auto"/>
              <w:ind w:firstLine="0"/>
              <w:jc w:val="left"/>
              <w:rPr>
                <w:rFonts w:hint="default" w:eastAsia="宋体"/>
                <w:sz w:val="17"/>
                <w:szCs w:val="17"/>
                <w:lang w:val="en-US" w:eastAsia="zh-CN"/>
              </w:rPr>
            </w:pPr>
            <w:r>
              <w:rPr>
                <w:rFonts w:hint="eastAsia"/>
                <w:sz w:val="17"/>
                <w:szCs w:val="17"/>
                <w:lang w:val="en-US" w:eastAsia="zh-CN"/>
              </w:rPr>
              <w:t>收入总计</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spacing w:line="240" w:lineRule="auto"/>
              <w:ind w:firstLine="0"/>
              <w:jc w:val="left"/>
              <w:rPr>
                <w:rFonts w:hint="default" w:eastAsia="宋体"/>
                <w:sz w:val="17"/>
                <w:szCs w:val="17"/>
                <w:lang w:val="en-US" w:eastAsia="zh-CN"/>
              </w:rPr>
            </w:pPr>
            <w:r>
              <w:rPr>
                <w:rFonts w:hint="eastAsia"/>
                <w:sz w:val="17"/>
                <w:szCs w:val="17"/>
                <w:lang w:val="en-US" w:eastAsia="zh-CN"/>
              </w:rPr>
              <w:t>147.10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spacing w:line="240" w:lineRule="auto"/>
              <w:ind w:firstLine="180"/>
              <w:jc w:val="left"/>
              <w:rPr>
                <w:rFonts w:hint="default" w:eastAsia="宋体"/>
                <w:sz w:val="17"/>
                <w:szCs w:val="17"/>
                <w:lang w:val="en-US" w:eastAsia="zh-CN"/>
              </w:rPr>
            </w:pPr>
            <w:r>
              <w:rPr>
                <w:rFonts w:hint="eastAsia"/>
                <w:sz w:val="17"/>
                <w:szCs w:val="17"/>
                <w:lang w:val="en-US" w:eastAsia="zh-CN"/>
              </w:rPr>
              <w:t>支出总计</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spacing w:line="240" w:lineRule="auto"/>
              <w:ind w:firstLine="0"/>
              <w:jc w:val="left"/>
              <w:rPr>
                <w:rFonts w:hint="default" w:eastAsia="宋体"/>
                <w:sz w:val="17"/>
                <w:szCs w:val="17"/>
                <w:lang w:val="en-US" w:eastAsia="zh-CN"/>
              </w:rPr>
            </w:pPr>
            <w:r>
              <w:rPr>
                <w:rFonts w:hint="eastAsia"/>
                <w:sz w:val="17"/>
                <w:szCs w:val="17"/>
                <w:lang w:val="en-US" w:eastAsia="zh-CN"/>
              </w:rPr>
              <w:t>147.10</w:t>
            </w:r>
          </w:p>
        </w:tc>
      </w:tr>
    </w:tbl>
    <w:p>
      <w:pPr>
        <w:pStyle w:val="11"/>
        <w:ind w:left="101"/>
        <w:jc w:val="left"/>
      </w:pPr>
      <w:r>
        <w:t>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r:id="rId6" w:type="default"/>
          <w:footerReference r:id="rId7" w:type="default"/>
          <w:pgSz w:w="16840" w:h="11900" w:orient="landscape"/>
          <w:pgMar w:top="2397" w:right="761" w:bottom="1966" w:left="739" w:header="0" w:footer="3" w:gutter="0"/>
          <w:pgBorders>
            <w:top w:val="none" w:sz="0" w:space="0"/>
            <w:left w:val="none" w:sz="0" w:space="0"/>
            <w:bottom w:val="none" w:sz="0" w:space="0"/>
            <w:right w:val="none" w:sz="0" w:space="0"/>
          </w:pgBorders>
          <w:cols w:space="720" w:num="1"/>
          <w:docGrid w:linePitch="360" w:charSpace="0"/>
        </w:sectPr>
      </w:pPr>
    </w:p>
    <w:p>
      <w:pPr>
        <w:tabs>
          <w:tab w:val="left" w:pos="859"/>
        </w:tabs>
        <w:jc w:val="left"/>
        <w:rPr>
          <w:rFonts w:eastAsia="宋体"/>
          <w:lang w:eastAsia="zh-CN"/>
        </w:rPr>
      </w:pPr>
    </w:p>
    <w:p>
      <w:pPr>
        <w:tabs>
          <w:tab w:val="left" w:pos="859"/>
        </w:tabs>
        <w:jc w:val="center"/>
        <w:rPr>
          <w:rFonts w:hint="eastAsia" w:eastAsia="宋体"/>
          <w:lang w:val="en-US" w:eastAsia="zh-CN"/>
        </w:rPr>
      </w:pPr>
    </w:p>
    <w:p>
      <w:pPr>
        <w:tabs>
          <w:tab w:val="left" w:pos="859"/>
        </w:tabs>
        <w:jc w:val="center"/>
        <w:rPr>
          <w:rFonts w:hint="eastAsia" w:eastAsia="宋体"/>
          <w:lang w:val="en-US" w:eastAsia="zh-CN"/>
        </w:rPr>
      </w:pPr>
      <w:r>
        <w:rPr>
          <w:rFonts w:hint="eastAsia" w:eastAsia="宋体"/>
          <w:lang w:val="en-US" w:eastAsia="zh-CN"/>
        </w:rPr>
        <w:t>收入总体情况表</w:t>
      </w:r>
    </w:p>
    <w:p>
      <w:pPr>
        <w:tabs>
          <w:tab w:val="left" w:pos="859"/>
        </w:tabs>
        <w:jc w:val="center"/>
        <w:rPr>
          <w:rFonts w:hint="eastAsia" w:eastAsia="宋体"/>
          <w:lang w:val="en-US" w:eastAsia="zh-CN"/>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6"/>
        <w:gridCol w:w="1279"/>
        <w:gridCol w:w="990"/>
        <w:gridCol w:w="926"/>
        <w:gridCol w:w="909"/>
        <w:gridCol w:w="1161"/>
        <w:gridCol w:w="1031"/>
        <w:gridCol w:w="844"/>
        <w:gridCol w:w="856"/>
        <w:gridCol w:w="1035"/>
        <w:gridCol w:w="1011"/>
        <w:gridCol w:w="859"/>
        <w:gridCol w:w="944"/>
        <w:gridCol w:w="150"/>
        <w:gridCol w:w="872"/>
        <w:gridCol w:w="1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481" w:type="dxa"/>
            <w:gridSpan w:val="13"/>
            <w:tcBorders>
              <w:top w:val="nil"/>
              <w:left w:val="nil"/>
              <w:right w:val="nil"/>
            </w:tcBorders>
          </w:tcPr>
          <w:p>
            <w:pPr>
              <w:pStyle w:val="11"/>
              <w:jc w:val="both"/>
              <w:rPr>
                <w:rFonts w:hint="eastAsia"/>
                <w:lang w:val="en-US" w:eastAsia="zh-CN"/>
              </w:rPr>
            </w:pPr>
            <w:r>
              <w:rPr>
                <w:sz w:val="17"/>
                <w:szCs w:val="17"/>
              </w:rPr>
              <w:t>单位名称：</w:t>
            </w:r>
            <w:r>
              <w:rPr>
                <w:rFonts w:hint="eastAsia"/>
                <w:sz w:val="17"/>
                <w:szCs w:val="17"/>
                <w:lang w:eastAsia="zh-CN"/>
              </w:rPr>
              <w:t>环江毛南族自治县川山镇计生所</w:t>
            </w:r>
            <w:r>
              <w:rPr>
                <w:rFonts w:hint="eastAsia"/>
                <w:lang w:val="en-US" w:eastAsia="zh-CN"/>
              </w:rPr>
              <w:t xml:space="preserve">                                                                                  </w:t>
            </w:r>
          </w:p>
        </w:tc>
        <w:tc>
          <w:tcPr>
            <w:tcW w:w="2076" w:type="dxa"/>
            <w:gridSpan w:val="3"/>
            <w:tcBorders>
              <w:top w:val="nil"/>
              <w:left w:val="nil"/>
              <w:right w:val="nil"/>
            </w:tcBorders>
          </w:tcPr>
          <w:p>
            <w:pPr>
              <w:pStyle w:val="11"/>
              <w:ind w:firstLine="340" w:firstLineChars="200"/>
              <w:jc w:val="left"/>
              <w:rPr>
                <w:rFonts w:hint="eastAsia"/>
                <w:lang w:val="en-US" w:eastAsia="zh-CN"/>
              </w:rPr>
            </w:pPr>
            <w:r>
              <w:rPr>
                <w:sz w:val="17"/>
                <w:szCs w:val="17"/>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vMerge w:val="restart"/>
          </w:tcPr>
          <w:p>
            <w:pPr>
              <w:tabs>
                <w:tab w:val="left" w:pos="859"/>
              </w:tabs>
              <w:jc w:val="both"/>
              <w:rPr>
                <w:rFonts w:hint="eastAsia" w:eastAsia="宋体"/>
                <w:vertAlign w:val="baseline"/>
                <w:lang w:val="en-US" w:eastAsia="zh-CN"/>
              </w:rPr>
            </w:pPr>
            <w:r>
              <w:rPr>
                <w:sz w:val="17"/>
                <w:szCs w:val="17"/>
              </w:rPr>
              <w:t>部门（单位）代码</w:t>
            </w:r>
          </w:p>
        </w:tc>
        <w:tc>
          <w:tcPr>
            <w:tcW w:w="1279" w:type="dxa"/>
            <w:vMerge w:val="restart"/>
          </w:tcPr>
          <w:p>
            <w:pPr>
              <w:tabs>
                <w:tab w:val="left" w:pos="859"/>
              </w:tabs>
              <w:jc w:val="both"/>
              <w:rPr>
                <w:rFonts w:hint="eastAsia" w:eastAsia="宋体"/>
                <w:vertAlign w:val="baseline"/>
                <w:lang w:val="en-US" w:eastAsia="zh-CN"/>
              </w:rPr>
            </w:pPr>
            <w:r>
              <w:rPr>
                <w:sz w:val="17"/>
                <w:szCs w:val="17"/>
              </w:rPr>
              <w:t>部门（单位）名称</w:t>
            </w:r>
          </w:p>
        </w:tc>
        <w:tc>
          <w:tcPr>
            <w:tcW w:w="990" w:type="dxa"/>
            <w:vMerge w:val="restart"/>
          </w:tcPr>
          <w:p>
            <w:pPr>
              <w:pStyle w:val="10"/>
              <w:spacing w:line="240" w:lineRule="auto"/>
              <w:ind w:firstLine="300" w:firstLineChars="0"/>
              <w:jc w:val="left"/>
              <w:rPr>
                <w:rFonts w:hint="eastAsia" w:eastAsia="宋体"/>
                <w:vertAlign w:val="baseline"/>
                <w:lang w:val="en-US" w:eastAsia="zh-CN"/>
              </w:rPr>
            </w:pPr>
            <w:r>
              <w:rPr>
                <w:rFonts w:hint="eastAsia"/>
                <w:sz w:val="17"/>
                <w:szCs w:val="17"/>
                <w:lang w:val="en-US" w:eastAsia="zh-CN"/>
              </w:rPr>
              <w:t>合</w:t>
            </w:r>
            <w:r>
              <w:rPr>
                <w:sz w:val="17"/>
                <w:szCs w:val="17"/>
              </w:rPr>
              <w:t>计</w:t>
            </w:r>
          </w:p>
        </w:tc>
        <w:tc>
          <w:tcPr>
            <w:tcW w:w="4871" w:type="dxa"/>
            <w:gridSpan w:val="5"/>
          </w:tcPr>
          <w:p>
            <w:pPr>
              <w:tabs>
                <w:tab w:val="left" w:pos="859"/>
              </w:tabs>
              <w:jc w:val="both"/>
              <w:rPr>
                <w:rFonts w:hint="eastAsia" w:eastAsia="宋体"/>
                <w:vertAlign w:val="baseline"/>
                <w:lang w:val="en-US" w:eastAsia="zh-CN"/>
              </w:rPr>
            </w:pPr>
            <w:r>
              <w:rPr>
                <w:sz w:val="17"/>
                <w:szCs w:val="17"/>
              </w:rPr>
              <w:t>本年收入</w:t>
            </w:r>
          </w:p>
        </w:tc>
        <w:tc>
          <w:tcPr>
            <w:tcW w:w="6781" w:type="dxa"/>
            <w:gridSpan w:val="8"/>
          </w:tcPr>
          <w:p>
            <w:pPr>
              <w:tabs>
                <w:tab w:val="left" w:pos="859"/>
              </w:tabs>
              <w:jc w:val="both"/>
              <w:rPr>
                <w:rFonts w:hint="eastAsia" w:eastAsia="宋体"/>
                <w:vertAlign w:val="baseline"/>
                <w:lang w:val="en-US" w:eastAsia="zh-CN"/>
              </w:rPr>
            </w:pPr>
            <w:r>
              <w:rPr>
                <w:sz w:val="17"/>
                <w:szCs w:val="17"/>
              </w:rPr>
              <w:t>上年结转结余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1636" w:type="dxa"/>
            <w:vMerge w:val="continue"/>
          </w:tcPr>
          <w:p>
            <w:pPr>
              <w:tabs>
                <w:tab w:val="left" w:pos="859"/>
              </w:tabs>
              <w:jc w:val="both"/>
              <w:rPr>
                <w:rFonts w:hint="eastAsia" w:eastAsia="宋体"/>
                <w:vertAlign w:val="baseline"/>
                <w:lang w:val="en-US" w:eastAsia="zh-CN"/>
              </w:rPr>
            </w:pPr>
          </w:p>
        </w:tc>
        <w:tc>
          <w:tcPr>
            <w:tcW w:w="1279" w:type="dxa"/>
            <w:vMerge w:val="continue"/>
          </w:tcPr>
          <w:p>
            <w:pPr>
              <w:tabs>
                <w:tab w:val="left" w:pos="859"/>
              </w:tabs>
              <w:jc w:val="both"/>
              <w:rPr>
                <w:rFonts w:hint="eastAsia" w:eastAsia="宋体"/>
                <w:vertAlign w:val="baseline"/>
                <w:lang w:val="en-US" w:eastAsia="zh-CN"/>
              </w:rPr>
            </w:pPr>
          </w:p>
        </w:tc>
        <w:tc>
          <w:tcPr>
            <w:tcW w:w="990" w:type="dxa"/>
            <w:vMerge w:val="continue"/>
            <w:vAlign w:val="center"/>
          </w:tcPr>
          <w:p>
            <w:pPr>
              <w:pStyle w:val="10"/>
              <w:spacing w:line="240" w:lineRule="auto"/>
              <w:ind w:firstLine="300" w:firstLineChars="0"/>
              <w:jc w:val="left"/>
              <w:rPr>
                <w:rFonts w:hint="eastAsia" w:eastAsia="宋体"/>
                <w:vertAlign w:val="baseline"/>
                <w:lang w:val="en-US" w:eastAsia="zh-CN"/>
              </w:rPr>
            </w:pPr>
          </w:p>
        </w:tc>
        <w:tc>
          <w:tcPr>
            <w:tcW w:w="926" w:type="dxa"/>
            <w:vAlign w:val="center"/>
          </w:tcPr>
          <w:p>
            <w:pPr>
              <w:pStyle w:val="10"/>
              <w:spacing w:line="240" w:lineRule="auto"/>
              <w:ind w:firstLine="300" w:firstLineChars="0"/>
              <w:jc w:val="left"/>
              <w:rPr>
                <w:rFonts w:hint="eastAsia" w:eastAsia="宋体"/>
                <w:vertAlign w:val="baseline"/>
                <w:lang w:val="en-US" w:eastAsia="zh-CN"/>
              </w:rPr>
            </w:pPr>
            <w:r>
              <w:rPr>
                <w:sz w:val="17"/>
                <w:szCs w:val="17"/>
              </w:rPr>
              <w:t>小计</w:t>
            </w:r>
          </w:p>
        </w:tc>
        <w:tc>
          <w:tcPr>
            <w:tcW w:w="909" w:type="dxa"/>
            <w:vAlign w:val="center"/>
          </w:tcPr>
          <w:p>
            <w:pPr>
              <w:pStyle w:val="10"/>
              <w:spacing w:line="317" w:lineRule="exact"/>
              <w:ind w:firstLine="0" w:firstLineChars="0"/>
              <w:jc w:val="left"/>
              <w:rPr>
                <w:rFonts w:hint="eastAsia" w:eastAsia="宋体"/>
                <w:vertAlign w:val="baseline"/>
                <w:lang w:val="en-US" w:eastAsia="zh-CN"/>
              </w:rPr>
            </w:pPr>
            <w:r>
              <w:rPr>
                <w:sz w:val="17"/>
                <w:szCs w:val="17"/>
              </w:rPr>
              <w:t>一般公共预算</w:t>
            </w:r>
          </w:p>
        </w:tc>
        <w:tc>
          <w:tcPr>
            <w:tcW w:w="1161" w:type="dxa"/>
            <w:vAlign w:val="center"/>
          </w:tcPr>
          <w:p>
            <w:pPr>
              <w:pStyle w:val="10"/>
              <w:spacing w:line="317" w:lineRule="exact"/>
              <w:ind w:firstLine="0" w:firstLineChars="0"/>
              <w:jc w:val="left"/>
              <w:rPr>
                <w:rFonts w:hint="eastAsia" w:eastAsia="宋体"/>
                <w:vertAlign w:val="baseline"/>
                <w:lang w:val="en-US" w:eastAsia="zh-CN"/>
              </w:rPr>
            </w:pPr>
            <w:r>
              <w:rPr>
                <w:sz w:val="17"/>
                <w:szCs w:val="17"/>
              </w:rPr>
              <w:t>政府性基金预算</w:t>
            </w:r>
          </w:p>
        </w:tc>
        <w:tc>
          <w:tcPr>
            <w:tcW w:w="1031" w:type="dxa"/>
            <w:vAlign w:val="center"/>
          </w:tcPr>
          <w:p>
            <w:pPr>
              <w:pStyle w:val="10"/>
              <w:spacing w:line="317" w:lineRule="exact"/>
              <w:ind w:firstLine="0" w:firstLineChars="0"/>
              <w:jc w:val="left"/>
              <w:rPr>
                <w:rFonts w:hint="eastAsia" w:eastAsia="宋体"/>
                <w:vertAlign w:val="baseline"/>
                <w:lang w:val="en-US" w:eastAsia="zh-CN"/>
              </w:rPr>
            </w:pPr>
            <w:r>
              <w:rPr>
                <w:sz w:val="17"/>
                <w:szCs w:val="17"/>
              </w:rPr>
              <w:t>国有资本经营预算</w:t>
            </w:r>
          </w:p>
        </w:tc>
        <w:tc>
          <w:tcPr>
            <w:tcW w:w="844" w:type="dxa"/>
          </w:tcPr>
          <w:p>
            <w:pPr>
              <w:pStyle w:val="10"/>
              <w:spacing w:line="312" w:lineRule="exact"/>
              <w:ind w:firstLine="0"/>
              <w:jc w:val="left"/>
              <w:rPr>
                <w:sz w:val="17"/>
                <w:szCs w:val="17"/>
              </w:rPr>
            </w:pPr>
            <w:r>
              <w:rPr>
                <w:sz w:val="17"/>
                <w:szCs w:val="17"/>
              </w:rPr>
              <w:t>财政专户管理资金</w:t>
            </w:r>
          </w:p>
          <w:p>
            <w:pPr>
              <w:pStyle w:val="10"/>
              <w:spacing w:line="312" w:lineRule="exact"/>
              <w:ind w:firstLine="0" w:firstLineChars="0"/>
              <w:jc w:val="left"/>
              <w:rPr>
                <w:rFonts w:hint="eastAsia" w:eastAsia="宋体"/>
                <w:vertAlign w:val="baseline"/>
                <w:lang w:val="en-US" w:eastAsia="zh-CN"/>
              </w:rPr>
            </w:pPr>
            <w:r>
              <w:rPr>
                <w:sz w:val="17"/>
                <w:szCs w:val="17"/>
              </w:rPr>
              <w:t>收入</w:t>
            </w:r>
          </w:p>
        </w:tc>
        <w:tc>
          <w:tcPr>
            <w:tcW w:w="856" w:type="dxa"/>
            <w:vAlign w:val="center"/>
          </w:tcPr>
          <w:p>
            <w:pPr>
              <w:pStyle w:val="10"/>
              <w:spacing w:line="240" w:lineRule="auto"/>
              <w:ind w:firstLine="0" w:firstLineChars="0"/>
              <w:jc w:val="left"/>
              <w:rPr>
                <w:rFonts w:hint="eastAsia" w:eastAsia="宋体"/>
                <w:vertAlign w:val="baseline"/>
                <w:lang w:val="en-US" w:eastAsia="zh-CN"/>
              </w:rPr>
            </w:pPr>
            <w:r>
              <w:rPr>
                <w:sz w:val="17"/>
                <w:szCs w:val="17"/>
              </w:rPr>
              <w:t>单位资金</w:t>
            </w:r>
          </w:p>
        </w:tc>
        <w:tc>
          <w:tcPr>
            <w:tcW w:w="1035" w:type="dxa"/>
            <w:vAlign w:val="center"/>
          </w:tcPr>
          <w:p>
            <w:pPr>
              <w:pStyle w:val="10"/>
              <w:spacing w:line="240" w:lineRule="auto"/>
              <w:ind w:firstLine="300" w:firstLineChars="0"/>
              <w:jc w:val="left"/>
              <w:rPr>
                <w:rFonts w:hint="eastAsia" w:eastAsia="宋体"/>
                <w:vertAlign w:val="baseline"/>
                <w:lang w:val="en-US" w:eastAsia="zh-CN"/>
              </w:rPr>
            </w:pPr>
            <w:r>
              <w:rPr>
                <w:sz w:val="17"/>
                <w:szCs w:val="17"/>
              </w:rPr>
              <w:t>小计</w:t>
            </w:r>
          </w:p>
        </w:tc>
        <w:tc>
          <w:tcPr>
            <w:tcW w:w="1011" w:type="dxa"/>
            <w:vAlign w:val="center"/>
          </w:tcPr>
          <w:p>
            <w:pPr>
              <w:pStyle w:val="10"/>
              <w:spacing w:line="317" w:lineRule="exact"/>
              <w:ind w:firstLine="0" w:firstLineChars="0"/>
              <w:jc w:val="left"/>
              <w:rPr>
                <w:rFonts w:hint="eastAsia" w:eastAsia="宋体"/>
                <w:vertAlign w:val="baseline"/>
                <w:lang w:val="en-US" w:eastAsia="zh-CN"/>
              </w:rPr>
            </w:pPr>
            <w:r>
              <w:rPr>
                <w:sz w:val="17"/>
                <w:szCs w:val="17"/>
              </w:rPr>
              <w:t>一般公共预算</w:t>
            </w:r>
          </w:p>
        </w:tc>
        <w:tc>
          <w:tcPr>
            <w:tcW w:w="859" w:type="dxa"/>
            <w:vAlign w:val="center"/>
          </w:tcPr>
          <w:p>
            <w:pPr>
              <w:pStyle w:val="10"/>
              <w:spacing w:line="317" w:lineRule="exact"/>
              <w:ind w:firstLine="0" w:firstLineChars="0"/>
              <w:jc w:val="left"/>
              <w:rPr>
                <w:rFonts w:hint="eastAsia" w:eastAsia="宋体"/>
                <w:vertAlign w:val="baseline"/>
                <w:lang w:val="en-US" w:eastAsia="zh-CN"/>
              </w:rPr>
            </w:pPr>
            <w:r>
              <w:rPr>
                <w:sz w:val="17"/>
                <w:szCs w:val="17"/>
              </w:rPr>
              <w:t>政府性基金预算</w:t>
            </w:r>
          </w:p>
        </w:tc>
        <w:tc>
          <w:tcPr>
            <w:tcW w:w="1094" w:type="dxa"/>
            <w:gridSpan w:val="2"/>
            <w:vAlign w:val="center"/>
          </w:tcPr>
          <w:p>
            <w:pPr>
              <w:pStyle w:val="10"/>
              <w:spacing w:line="317" w:lineRule="exact"/>
              <w:ind w:firstLine="0" w:firstLineChars="0"/>
              <w:jc w:val="left"/>
              <w:rPr>
                <w:rFonts w:hint="eastAsia" w:eastAsia="宋体"/>
                <w:vertAlign w:val="baseline"/>
                <w:lang w:val="en-US" w:eastAsia="zh-CN"/>
              </w:rPr>
            </w:pPr>
            <w:r>
              <w:rPr>
                <w:sz w:val="17"/>
                <w:szCs w:val="17"/>
              </w:rPr>
              <w:t>国有资本经营预算</w:t>
            </w:r>
          </w:p>
        </w:tc>
        <w:tc>
          <w:tcPr>
            <w:tcW w:w="872" w:type="dxa"/>
          </w:tcPr>
          <w:p>
            <w:pPr>
              <w:pStyle w:val="10"/>
              <w:spacing w:line="312" w:lineRule="exact"/>
              <w:ind w:firstLine="0"/>
              <w:jc w:val="left"/>
              <w:rPr>
                <w:sz w:val="17"/>
                <w:szCs w:val="17"/>
              </w:rPr>
            </w:pPr>
            <w:r>
              <w:rPr>
                <w:sz w:val="17"/>
                <w:szCs w:val="17"/>
              </w:rPr>
              <w:t>财政专户管理资金</w:t>
            </w:r>
          </w:p>
          <w:p>
            <w:pPr>
              <w:pStyle w:val="10"/>
              <w:spacing w:line="312" w:lineRule="exact"/>
              <w:ind w:right="280" w:rightChars="0" w:firstLine="0" w:firstLineChars="0"/>
              <w:jc w:val="left"/>
              <w:rPr>
                <w:rFonts w:hint="eastAsia" w:eastAsia="宋体"/>
                <w:vertAlign w:val="baseline"/>
                <w:lang w:val="en-US" w:eastAsia="zh-CN"/>
              </w:rPr>
            </w:pPr>
            <w:r>
              <w:rPr>
                <w:sz w:val="17"/>
                <w:szCs w:val="17"/>
              </w:rPr>
              <w:t>收入</w:t>
            </w:r>
          </w:p>
        </w:tc>
        <w:tc>
          <w:tcPr>
            <w:tcW w:w="1054" w:type="dxa"/>
            <w:vAlign w:val="center"/>
          </w:tcPr>
          <w:p>
            <w:pPr>
              <w:pStyle w:val="10"/>
              <w:spacing w:line="240" w:lineRule="auto"/>
              <w:ind w:firstLine="140" w:firstLineChars="0"/>
              <w:jc w:val="left"/>
              <w:rPr>
                <w:rFonts w:hint="eastAsia" w:eastAsia="宋体"/>
                <w:vertAlign w:val="baseline"/>
                <w:lang w:val="en-US" w:eastAsia="zh-CN"/>
              </w:rPr>
            </w:pPr>
            <w:r>
              <w:rPr>
                <w:sz w:val="17"/>
                <w:szCs w:val="17"/>
              </w:rPr>
              <w:t>单位资金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tcPr>
          <w:p>
            <w:pPr>
              <w:tabs>
                <w:tab w:val="left" w:pos="859"/>
              </w:tabs>
              <w:jc w:val="both"/>
              <w:rPr>
                <w:rFonts w:hint="eastAsia" w:eastAsia="宋体"/>
                <w:vertAlign w:val="baseline"/>
                <w:lang w:val="en-US" w:eastAsia="zh-CN"/>
              </w:rPr>
            </w:pPr>
          </w:p>
        </w:tc>
        <w:tc>
          <w:tcPr>
            <w:tcW w:w="1279" w:type="dxa"/>
          </w:tcPr>
          <w:p>
            <w:pPr>
              <w:tabs>
                <w:tab w:val="left" w:pos="859"/>
              </w:tabs>
              <w:jc w:val="both"/>
              <w:rPr>
                <w:rFonts w:hint="eastAsia" w:eastAsia="宋体"/>
                <w:vertAlign w:val="baseline"/>
                <w:lang w:val="en-US" w:eastAsia="zh-CN"/>
              </w:rPr>
            </w:pPr>
          </w:p>
        </w:tc>
        <w:tc>
          <w:tcPr>
            <w:tcW w:w="990" w:type="dxa"/>
            <w:vAlign w:val="center"/>
          </w:tcPr>
          <w:p>
            <w:pPr>
              <w:pStyle w:val="10"/>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1</w:t>
            </w:r>
          </w:p>
        </w:tc>
        <w:tc>
          <w:tcPr>
            <w:tcW w:w="926" w:type="dxa"/>
            <w:vAlign w:val="center"/>
          </w:tcPr>
          <w:p>
            <w:pPr>
              <w:pStyle w:val="10"/>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2</w:t>
            </w:r>
          </w:p>
        </w:tc>
        <w:tc>
          <w:tcPr>
            <w:tcW w:w="909" w:type="dxa"/>
            <w:vAlign w:val="center"/>
          </w:tcPr>
          <w:p>
            <w:pPr>
              <w:pStyle w:val="10"/>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3</w:t>
            </w:r>
          </w:p>
        </w:tc>
        <w:tc>
          <w:tcPr>
            <w:tcW w:w="1161" w:type="dxa"/>
            <w:vAlign w:val="center"/>
          </w:tcPr>
          <w:p>
            <w:pPr>
              <w:pStyle w:val="10"/>
              <w:spacing w:line="240" w:lineRule="auto"/>
              <w:ind w:firstLine="44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4</w:t>
            </w:r>
          </w:p>
        </w:tc>
        <w:tc>
          <w:tcPr>
            <w:tcW w:w="1031" w:type="dxa"/>
            <w:vAlign w:val="center"/>
          </w:tcPr>
          <w:p>
            <w:pPr>
              <w:pStyle w:val="10"/>
              <w:spacing w:line="240" w:lineRule="auto"/>
              <w:ind w:firstLine="42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5</w:t>
            </w:r>
          </w:p>
        </w:tc>
        <w:tc>
          <w:tcPr>
            <w:tcW w:w="844" w:type="dxa"/>
            <w:vAlign w:val="center"/>
          </w:tcPr>
          <w:p>
            <w:pPr>
              <w:pStyle w:val="10"/>
              <w:spacing w:line="240" w:lineRule="auto"/>
              <w:ind w:firstLine="42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6</w:t>
            </w:r>
          </w:p>
        </w:tc>
        <w:tc>
          <w:tcPr>
            <w:tcW w:w="856" w:type="dxa"/>
            <w:vAlign w:val="center"/>
          </w:tcPr>
          <w:p>
            <w:pPr>
              <w:pStyle w:val="10"/>
              <w:spacing w:line="240" w:lineRule="auto"/>
              <w:ind w:firstLine="44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7</w:t>
            </w:r>
          </w:p>
        </w:tc>
        <w:tc>
          <w:tcPr>
            <w:tcW w:w="1035" w:type="dxa"/>
            <w:vAlign w:val="center"/>
          </w:tcPr>
          <w:p>
            <w:pPr>
              <w:pStyle w:val="10"/>
              <w:spacing w:line="240" w:lineRule="auto"/>
              <w:ind w:firstLine="44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8</w:t>
            </w:r>
          </w:p>
        </w:tc>
        <w:tc>
          <w:tcPr>
            <w:tcW w:w="1011" w:type="dxa"/>
            <w:vAlign w:val="center"/>
          </w:tcPr>
          <w:p>
            <w:pPr>
              <w:pStyle w:val="10"/>
              <w:spacing w:line="240" w:lineRule="auto"/>
              <w:ind w:firstLine="42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9</w:t>
            </w:r>
          </w:p>
        </w:tc>
        <w:tc>
          <w:tcPr>
            <w:tcW w:w="859" w:type="dxa"/>
            <w:vAlign w:val="center"/>
          </w:tcPr>
          <w:p>
            <w:pPr>
              <w:pStyle w:val="10"/>
              <w:spacing w:line="240" w:lineRule="auto"/>
              <w:ind w:right="360" w:rightChars="0"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10</w:t>
            </w:r>
          </w:p>
        </w:tc>
        <w:tc>
          <w:tcPr>
            <w:tcW w:w="1094" w:type="dxa"/>
            <w:gridSpan w:val="2"/>
            <w:vAlign w:val="center"/>
          </w:tcPr>
          <w:p>
            <w:pPr>
              <w:pStyle w:val="10"/>
              <w:spacing w:line="240" w:lineRule="auto"/>
              <w:ind w:firstLine="44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11</w:t>
            </w:r>
          </w:p>
        </w:tc>
        <w:tc>
          <w:tcPr>
            <w:tcW w:w="872" w:type="dxa"/>
            <w:vAlign w:val="center"/>
          </w:tcPr>
          <w:p>
            <w:pPr>
              <w:pStyle w:val="10"/>
              <w:spacing w:line="240" w:lineRule="auto"/>
              <w:ind w:right="380" w:rightChars="0"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12</w:t>
            </w:r>
          </w:p>
        </w:tc>
        <w:tc>
          <w:tcPr>
            <w:tcW w:w="1054" w:type="dxa"/>
            <w:vAlign w:val="center"/>
          </w:tcPr>
          <w:p>
            <w:pPr>
              <w:pStyle w:val="10"/>
              <w:spacing w:line="240" w:lineRule="auto"/>
              <w:ind w:right="420" w:rightChars="0"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vAlign w:val="center"/>
          </w:tcPr>
          <w:p>
            <w:pPr>
              <w:pStyle w:val="10"/>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rPr>
              <w:t xml:space="preserve"> </w:t>
            </w:r>
          </w:p>
        </w:tc>
        <w:tc>
          <w:tcPr>
            <w:tcW w:w="1279" w:type="dxa"/>
          </w:tcPr>
          <w:p>
            <w:pPr>
              <w:pStyle w:val="10"/>
              <w:spacing w:line="326" w:lineRule="exact"/>
              <w:ind w:firstLine="0" w:firstLineChars="0"/>
              <w:jc w:val="left"/>
              <w:rPr>
                <w:rFonts w:hint="eastAsia" w:eastAsia="宋体"/>
                <w:vertAlign w:val="baseline"/>
                <w:lang w:val="en-US" w:eastAsia="zh-CN"/>
              </w:rPr>
            </w:pPr>
            <w:r>
              <w:rPr>
                <w:rFonts w:hint="eastAsia"/>
                <w:sz w:val="17"/>
                <w:szCs w:val="17"/>
                <w:lang w:val="en-US" w:eastAsia="zh-CN"/>
              </w:rPr>
              <w:t>合计</w:t>
            </w:r>
          </w:p>
        </w:tc>
        <w:tc>
          <w:tcPr>
            <w:tcW w:w="990" w:type="dxa"/>
            <w:vAlign w:val="center"/>
          </w:tcPr>
          <w:p>
            <w:pPr>
              <w:pStyle w:val="10"/>
              <w:spacing w:line="240" w:lineRule="auto"/>
              <w:ind w:firstLine="4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147.10</w:t>
            </w:r>
          </w:p>
        </w:tc>
        <w:tc>
          <w:tcPr>
            <w:tcW w:w="926" w:type="dxa"/>
            <w:vAlign w:val="center"/>
          </w:tcPr>
          <w:p>
            <w:pPr>
              <w:pStyle w:val="10"/>
              <w:spacing w:line="240" w:lineRule="auto"/>
              <w:ind w:firstLine="300" w:firstLineChars="0"/>
              <w:jc w:val="left"/>
              <w:rPr>
                <w:rFonts w:hint="eastAsia" w:eastAsia="宋体"/>
                <w:vertAlign w:val="baseline"/>
                <w:lang w:val="en-US" w:eastAsia="zh-CN"/>
              </w:rPr>
            </w:pPr>
            <w:r>
              <w:rPr>
                <w:rFonts w:hint="eastAsia"/>
                <w:sz w:val="17"/>
                <w:szCs w:val="17"/>
                <w:lang w:val="en-US" w:eastAsia="zh-CN"/>
              </w:rPr>
              <w:t>147.10</w:t>
            </w:r>
          </w:p>
        </w:tc>
        <w:tc>
          <w:tcPr>
            <w:tcW w:w="909" w:type="dxa"/>
            <w:vAlign w:val="center"/>
          </w:tcPr>
          <w:p>
            <w:pPr>
              <w:pStyle w:val="10"/>
              <w:spacing w:line="240" w:lineRule="auto"/>
              <w:ind w:firstLine="2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147.10</w:t>
            </w:r>
          </w:p>
        </w:tc>
        <w:tc>
          <w:tcPr>
            <w:tcW w:w="1161" w:type="dxa"/>
            <w:vAlign w:val="center"/>
          </w:tcPr>
          <w:p>
            <w:pPr>
              <w:pStyle w:val="10"/>
              <w:spacing w:line="240" w:lineRule="auto"/>
              <w:ind w:firstLine="520" w:firstLineChars="0"/>
              <w:jc w:val="left"/>
              <w:rPr>
                <w:rFonts w:hint="eastAsia" w:eastAsia="宋体"/>
                <w:vertAlign w:val="baseline"/>
                <w:lang w:val="en-US" w:eastAsia="zh-CN"/>
              </w:rPr>
            </w:pPr>
            <w:r>
              <w:rPr>
                <w:rFonts w:hint="eastAsia"/>
                <w:sz w:val="17"/>
                <w:szCs w:val="17"/>
                <w:lang w:val="en-US" w:eastAsia="zh-CN"/>
              </w:rPr>
              <w:t>0.00</w:t>
            </w:r>
          </w:p>
        </w:tc>
        <w:tc>
          <w:tcPr>
            <w:tcW w:w="1031" w:type="dxa"/>
            <w:vAlign w:val="center"/>
          </w:tcPr>
          <w:p>
            <w:pPr>
              <w:pStyle w:val="10"/>
              <w:spacing w:line="240" w:lineRule="auto"/>
              <w:ind w:firstLine="4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844" w:type="dxa"/>
            <w:vAlign w:val="center"/>
          </w:tcPr>
          <w:p>
            <w:pPr>
              <w:pStyle w:val="10"/>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856" w:type="dxa"/>
            <w:vAlign w:val="center"/>
          </w:tcPr>
          <w:p>
            <w:pPr>
              <w:pStyle w:val="10"/>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1035" w:type="dxa"/>
            <w:vAlign w:val="center"/>
          </w:tcPr>
          <w:p>
            <w:pPr>
              <w:pStyle w:val="10"/>
              <w:spacing w:line="240" w:lineRule="auto"/>
              <w:ind w:firstLine="52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11" w:type="dxa"/>
            <w:vAlign w:val="center"/>
          </w:tcPr>
          <w:p>
            <w:pPr>
              <w:pStyle w:val="10"/>
              <w:spacing w:line="240" w:lineRule="auto"/>
              <w:ind w:firstLine="48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859" w:type="dxa"/>
            <w:vAlign w:val="center"/>
          </w:tcPr>
          <w:p>
            <w:pPr>
              <w:pStyle w:val="10"/>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94" w:type="dxa"/>
            <w:gridSpan w:val="2"/>
            <w:vAlign w:val="center"/>
          </w:tcPr>
          <w:p>
            <w:pPr>
              <w:pStyle w:val="10"/>
              <w:spacing w:line="240" w:lineRule="auto"/>
              <w:ind w:firstLine="58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872" w:type="dxa"/>
            <w:vAlign w:val="center"/>
          </w:tcPr>
          <w:p>
            <w:pPr>
              <w:pStyle w:val="10"/>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54" w:type="dxa"/>
            <w:vAlign w:val="center"/>
          </w:tcPr>
          <w:p>
            <w:pPr>
              <w:pStyle w:val="10"/>
              <w:spacing w:line="240" w:lineRule="auto"/>
              <w:ind w:firstLine="54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vAlign w:val="center"/>
          </w:tcPr>
          <w:p>
            <w:pPr>
              <w:pStyle w:val="10"/>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rPr>
              <w:t>705003</w:t>
            </w:r>
          </w:p>
        </w:tc>
        <w:tc>
          <w:tcPr>
            <w:tcW w:w="1279" w:type="dxa"/>
          </w:tcPr>
          <w:p>
            <w:pPr>
              <w:pStyle w:val="10"/>
              <w:spacing w:line="326" w:lineRule="exact"/>
              <w:ind w:firstLine="0" w:firstLineChars="0"/>
              <w:jc w:val="left"/>
              <w:rPr>
                <w:rFonts w:hint="eastAsia" w:eastAsia="宋体"/>
                <w:vertAlign w:val="baseline"/>
                <w:lang w:val="en-US" w:eastAsia="zh-CN"/>
              </w:rPr>
            </w:pPr>
          </w:p>
        </w:tc>
        <w:tc>
          <w:tcPr>
            <w:tcW w:w="990" w:type="dxa"/>
            <w:vAlign w:val="center"/>
          </w:tcPr>
          <w:p>
            <w:pPr>
              <w:pStyle w:val="10"/>
              <w:spacing w:line="240" w:lineRule="auto"/>
              <w:ind w:firstLine="4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147.10</w:t>
            </w:r>
          </w:p>
        </w:tc>
        <w:tc>
          <w:tcPr>
            <w:tcW w:w="926" w:type="dxa"/>
            <w:vAlign w:val="center"/>
          </w:tcPr>
          <w:p>
            <w:pPr>
              <w:pStyle w:val="10"/>
              <w:spacing w:line="240" w:lineRule="auto"/>
              <w:ind w:firstLine="300" w:firstLineChars="0"/>
              <w:jc w:val="left"/>
              <w:rPr>
                <w:rFonts w:hint="eastAsia" w:eastAsia="宋体"/>
                <w:vertAlign w:val="baseline"/>
                <w:lang w:val="en-US" w:eastAsia="zh-CN"/>
              </w:rPr>
            </w:pPr>
            <w:r>
              <w:rPr>
                <w:rFonts w:hint="eastAsia"/>
                <w:sz w:val="17"/>
                <w:szCs w:val="17"/>
                <w:lang w:val="en-US" w:eastAsia="zh-CN"/>
              </w:rPr>
              <w:t>147.10</w:t>
            </w:r>
          </w:p>
        </w:tc>
        <w:tc>
          <w:tcPr>
            <w:tcW w:w="909" w:type="dxa"/>
            <w:vAlign w:val="center"/>
          </w:tcPr>
          <w:p>
            <w:pPr>
              <w:pStyle w:val="10"/>
              <w:spacing w:line="240" w:lineRule="auto"/>
              <w:ind w:firstLine="2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147.10</w:t>
            </w:r>
          </w:p>
        </w:tc>
        <w:tc>
          <w:tcPr>
            <w:tcW w:w="1161" w:type="dxa"/>
            <w:vAlign w:val="center"/>
          </w:tcPr>
          <w:p>
            <w:pPr>
              <w:pStyle w:val="10"/>
              <w:spacing w:line="240" w:lineRule="auto"/>
              <w:ind w:firstLine="520" w:firstLineChars="0"/>
              <w:jc w:val="left"/>
              <w:rPr>
                <w:rFonts w:hint="eastAsia" w:eastAsia="宋体"/>
                <w:vertAlign w:val="baseline"/>
                <w:lang w:val="en-US" w:eastAsia="zh-CN"/>
              </w:rPr>
            </w:pPr>
            <w:r>
              <w:rPr>
                <w:rFonts w:hint="eastAsia"/>
                <w:sz w:val="17"/>
                <w:szCs w:val="17"/>
                <w:lang w:val="en-US" w:eastAsia="zh-CN"/>
              </w:rPr>
              <w:t>0.00</w:t>
            </w:r>
          </w:p>
        </w:tc>
        <w:tc>
          <w:tcPr>
            <w:tcW w:w="1031" w:type="dxa"/>
            <w:vAlign w:val="center"/>
          </w:tcPr>
          <w:p>
            <w:pPr>
              <w:pStyle w:val="10"/>
              <w:spacing w:line="240" w:lineRule="auto"/>
              <w:ind w:firstLine="4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844" w:type="dxa"/>
            <w:vAlign w:val="center"/>
          </w:tcPr>
          <w:p>
            <w:pPr>
              <w:pStyle w:val="10"/>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856" w:type="dxa"/>
            <w:vAlign w:val="center"/>
          </w:tcPr>
          <w:p>
            <w:pPr>
              <w:pStyle w:val="10"/>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1035" w:type="dxa"/>
            <w:vAlign w:val="center"/>
          </w:tcPr>
          <w:p>
            <w:pPr>
              <w:pStyle w:val="10"/>
              <w:spacing w:line="240" w:lineRule="auto"/>
              <w:ind w:firstLine="52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11" w:type="dxa"/>
            <w:vAlign w:val="center"/>
          </w:tcPr>
          <w:p>
            <w:pPr>
              <w:pStyle w:val="10"/>
              <w:spacing w:line="240" w:lineRule="auto"/>
              <w:ind w:firstLine="48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859" w:type="dxa"/>
            <w:vAlign w:val="center"/>
          </w:tcPr>
          <w:p>
            <w:pPr>
              <w:pStyle w:val="10"/>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94" w:type="dxa"/>
            <w:gridSpan w:val="2"/>
            <w:vAlign w:val="center"/>
          </w:tcPr>
          <w:p>
            <w:pPr>
              <w:pStyle w:val="10"/>
              <w:spacing w:line="240" w:lineRule="auto"/>
              <w:ind w:firstLine="58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872" w:type="dxa"/>
            <w:vAlign w:val="center"/>
          </w:tcPr>
          <w:p>
            <w:pPr>
              <w:pStyle w:val="10"/>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54" w:type="dxa"/>
            <w:vAlign w:val="center"/>
          </w:tcPr>
          <w:p>
            <w:pPr>
              <w:pStyle w:val="10"/>
              <w:spacing w:line="240" w:lineRule="auto"/>
              <w:ind w:firstLine="54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16"/>
            <w:tcBorders>
              <w:left w:val="nil"/>
              <w:bottom w:val="nil"/>
              <w:right w:val="nil"/>
            </w:tcBorders>
          </w:tcPr>
          <w:p>
            <w:pPr>
              <w:pStyle w:val="11"/>
              <w:jc w:val="left"/>
              <w:rPr>
                <w:rFonts w:hint="eastAsia" w:eastAsia="宋体"/>
                <w:vertAlign w:val="baseline"/>
                <w:lang w:val="en-US" w:eastAsia="zh-CN"/>
              </w:rPr>
            </w:pPr>
            <w:r>
              <w:t>注：本报表金额单位转换时可能存在四舍五入尾数误差。</w:t>
            </w:r>
          </w:p>
        </w:tc>
      </w:tr>
    </w:tbl>
    <w:p>
      <w:pPr>
        <w:tabs>
          <w:tab w:val="left" w:pos="859"/>
        </w:tabs>
        <w:jc w:val="both"/>
        <w:rPr>
          <w:rFonts w:hint="eastAsia" w:eastAsia="宋体"/>
          <w:lang w:val="en-US" w:eastAsia="zh-CN"/>
        </w:rPr>
      </w:pPr>
    </w:p>
    <w:p>
      <w:pPr>
        <w:tabs>
          <w:tab w:val="left" w:pos="859"/>
        </w:tabs>
        <w:jc w:val="center"/>
        <w:rPr>
          <w:rFonts w:hint="eastAsia" w:eastAsia="宋体"/>
          <w:lang w:val="en-US" w:eastAsia="zh-CN"/>
        </w:rPr>
      </w:pPr>
    </w:p>
    <w:p>
      <w:pPr>
        <w:tabs>
          <w:tab w:val="left" w:pos="859"/>
        </w:tabs>
        <w:jc w:val="both"/>
        <w:rPr>
          <w:rFonts w:hint="eastAsia" w:eastAsia="宋体"/>
          <w:lang w:val="en-US" w:eastAsia="zh-CN"/>
        </w:rPr>
      </w:pPr>
    </w:p>
    <w:p>
      <w:pPr>
        <w:spacing w:line="1" w:lineRule="exact"/>
        <w:jc w:val="left"/>
        <w:rPr>
          <w:lang w:eastAsia="zh-CN"/>
        </w:rPr>
        <w:sectPr>
          <w:headerReference r:id="rId8" w:type="default"/>
          <w:footerReference r:id="rId9" w:type="default"/>
          <w:pgSz w:w="16840" w:h="11900" w:orient="landscape"/>
          <w:pgMar w:top="2709" w:right="764" w:bottom="2709" w:left="735" w:header="2281" w:footer="3" w:gutter="0"/>
          <w:pgBorders>
            <w:top w:val="none" w:sz="0" w:space="0"/>
            <w:left w:val="none" w:sz="0" w:space="0"/>
            <w:bottom w:val="none" w:sz="0" w:space="0"/>
            <w:right w:val="none" w:sz="0" w:space="0"/>
          </w:pgBorders>
          <w:cols w:space="720" w:num="1"/>
          <w:docGrid w:linePitch="360" w:charSpace="0"/>
        </w:sectPr>
      </w:pPr>
    </w:p>
    <w:p>
      <w:pPr>
        <w:pStyle w:val="9"/>
        <w:keepNext/>
        <w:keepLines/>
        <w:spacing w:after="240"/>
        <w:jc w:val="center"/>
      </w:pPr>
      <w:bookmarkStart w:id="19" w:name="bookmark42"/>
      <w:bookmarkStart w:id="20" w:name="bookmark41"/>
      <w:bookmarkStart w:id="21" w:name="bookmark43"/>
      <w:r>
        <w:t>支出总体情况表</w:t>
      </w:r>
      <w:bookmarkEnd w:id="19"/>
      <w:bookmarkEnd w:id="20"/>
      <w:bookmarkEnd w:id="21"/>
    </w:p>
    <w:tbl>
      <w:tblPr>
        <w:tblStyle w:val="2"/>
        <w:tblW w:w="0" w:type="auto"/>
        <w:tblInd w:w="0" w:type="dxa"/>
        <w:tblLayout w:type="fixed"/>
        <w:tblCellMar>
          <w:top w:w="0" w:type="dxa"/>
          <w:left w:w="10" w:type="dxa"/>
          <w:bottom w:w="0" w:type="dxa"/>
          <w:right w:w="10" w:type="dxa"/>
        </w:tblCellMar>
      </w:tblPr>
      <w:tblGrid>
        <w:gridCol w:w="1843"/>
        <w:gridCol w:w="1934"/>
        <w:gridCol w:w="2390"/>
        <w:gridCol w:w="2280"/>
        <w:gridCol w:w="2299"/>
        <w:gridCol w:w="2222"/>
        <w:gridCol w:w="2371"/>
      </w:tblGrid>
      <w:tr>
        <w:tblPrEx>
          <w:tblCellMar>
            <w:top w:w="0" w:type="dxa"/>
            <w:left w:w="10" w:type="dxa"/>
            <w:bottom w:w="0" w:type="dxa"/>
            <w:right w:w="10" w:type="dxa"/>
          </w:tblCellMar>
        </w:tblPrEx>
        <w:trPr>
          <w:trHeight w:val="346" w:hRule="exact"/>
        </w:trPr>
        <w:tc>
          <w:tcPr>
            <w:tcW w:w="12968" w:type="dxa"/>
            <w:gridSpan w:val="6"/>
            <w:shd w:val="clear" w:color="auto" w:fill="FFFFFF"/>
          </w:tcPr>
          <w:p>
            <w:pPr>
              <w:pStyle w:val="10"/>
              <w:spacing w:line="240" w:lineRule="auto"/>
              <w:ind w:firstLine="0"/>
              <w:jc w:val="left"/>
              <w:rPr>
                <w:sz w:val="17"/>
                <w:szCs w:val="17"/>
              </w:rPr>
            </w:pPr>
            <w:r>
              <w:rPr>
                <w:sz w:val="17"/>
                <w:szCs w:val="17"/>
              </w:rPr>
              <w:t>单位名称：</w:t>
            </w:r>
            <w:r>
              <w:rPr>
                <w:rFonts w:hint="eastAsia"/>
                <w:sz w:val="17"/>
                <w:szCs w:val="17"/>
                <w:lang w:eastAsia="zh-CN"/>
              </w:rPr>
              <w:t>环江毛南族自治县川山镇计生所</w:t>
            </w:r>
          </w:p>
        </w:tc>
        <w:tc>
          <w:tcPr>
            <w:tcW w:w="2371" w:type="dxa"/>
            <w:shd w:val="clear" w:color="auto" w:fill="FFFFFF"/>
          </w:tcPr>
          <w:p>
            <w:pPr>
              <w:pStyle w:val="10"/>
              <w:spacing w:line="240" w:lineRule="auto"/>
              <w:ind w:firstLine="1190" w:firstLineChars="700"/>
              <w:jc w:val="left"/>
              <w:rPr>
                <w:sz w:val="17"/>
                <w:szCs w:val="17"/>
              </w:rPr>
            </w:pPr>
            <w:r>
              <w:rPr>
                <w:sz w:val="17"/>
                <w:szCs w:val="17"/>
              </w:rPr>
              <w:t>单位：万元</w:t>
            </w:r>
          </w:p>
        </w:tc>
      </w:tr>
      <w:tr>
        <w:tblPrEx>
          <w:tblCellMar>
            <w:top w:w="0" w:type="dxa"/>
            <w:left w:w="10" w:type="dxa"/>
            <w:bottom w:w="0" w:type="dxa"/>
            <w:right w:w="10" w:type="dxa"/>
          </w:tblCellMar>
        </w:tblPrEx>
        <w:trPr>
          <w:trHeight w:val="854" w:hRule="exact"/>
        </w:trPr>
        <w:tc>
          <w:tcPr>
            <w:tcW w:w="1843" w:type="dxa"/>
            <w:tcBorders>
              <w:top w:val="single" w:color="auto" w:sz="4" w:space="0"/>
              <w:left w:val="single" w:color="auto" w:sz="4" w:space="0"/>
              <w:bottom w:val="single" w:color="auto" w:sz="4" w:space="0"/>
            </w:tcBorders>
            <w:shd w:val="clear" w:color="auto" w:fill="FFFFFF"/>
            <w:vAlign w:val="center"/>
          </w:tcPr>
          <w:p>
            <w:pPr>
              <w:pStyle w:val="10"/>
              <w:spacing w:line="240" w:lineRule="auto"/>
              <w:ind w:firstLine="0"/>
              <w:jc w:val="left"/>
              <w:rPr>
                <w:sz w:val="17"/>
                <w:szCs w:val="17"/>
              </w:rPr>
            </w:pPr>
            <w:r>
              <w:rPr>
                <w:sz w:val="17"/>
                <w:szCs w:val="17"/>
              </w:rPr>
              <w:t>科目编码</w:t>
            </w:r>
          </w:p>
        </w:tc>
        <w:tc>
          <w:tcPr>
            <w:tcW w:w="1934" w:type="dxa"/>
            <w:tcBorders>
              <w:top w:val="single" w:color="auto" w:sz="4" w:space="0"/>
              <w:left w:val="single" w:color="auto" w:sz="4" w:space="0"/>
              <w:bottom w:val="single" w:color="auto" w:sz="4" w:space="0"/>
            </w:tcBorders>
            <w:shd w:val="clear" w:color="auto" w:fill="FFFFFF"/>
            <w:vAlign w:val="center"/>
          </w:tcPr>
          <w:p>
            <w:pPr>
              <w:pStyle w:val="10"/>
              <w:spacing w:line="240" w:lineRule="auto"/>
              <w:ind w:firstLine="240"/>
              <w:jc w:val="left"/>
              <w:rPr>
                <w:sz w:val="17"/>
                <w:szCs w:val="17"/>
              </w:rPr>
            </w:pPr>
            <w:r>
              <w:rPr>
                <w:sz w:val="17"/>
                <w:szCs w:val="17"/>
              </w:rPr>
              <w:t>部门（单位）代码</w:t>
            </w:r>
          </w:p>
        </w:tc>
        <w:tc>
          <w:tcPr>
            <w:tcW w:w="2390" w:type="dxa"/>
            <w:tcBorders>
              <w:top w:val="single" w:color="auto" w:sz="4" w:space="0"/>
              <w:left w:val="single" w:color="auto" w:sz="4" w:space="0"/>
              <w:bottom w:val="single" w:color="auto" w:sz="4" w:space="0"/>
            </w:tcBorders>
            <w:shd w:val="clear" w:color="auto" w:fill="FFFFFF"/>
            <w:vAlign w:val="center"/>
          </w:tcPr>
          <w:p>
            <w:pPr>
              <w:pStyle w:val="10"/>
              <w:spacing w:after="120" w:line="240" w:lineRule="auto"/>
              <w:ind w:firstLine="0"/>
              <w:jc w:val="left"/>
              <w:rPr>
                <w:sz w:val="17"/>
                <w:szCs w:val="17"/>
              </w:rPr>
            </w:pPr>
            <w:r>
              <w:rPr>
                <w:sz w:val="17"/>
                <w:szCs w:val="17"/>
              </w:rPr>
              <w:t>部门（单位）名称</w:t>
            </w:r>
          </w:p>
          <w:p>
            <w:pPr>
              <w:pStyle w:val="10"/>
              <w:spacing w:line="240" w:lineRule="auto"/>
              <w:ind w:firstLine="0"/>
              <w:jc w:val="left"/>
              <w:rPr>
                <w:sz w:val="17"/>
                <w:szCs w:val="17"/>
              </w:rPr>
            </w:pPr>
            <w:r>
              <w:rPr>
                <w:sz w:val="17"/>
                <w:szCs w:val="17"/>
              </w:rPr>
              <w:t>（功能分类科目名称）</w:t>
            </w:r>
          </w:p>
        </w:tc>
        <w:tc>
          <w:tcPr>
            <w:tcW w:w="2280" w:type="dxa"/>
            <w:tcBorders>
              <w:top w:val="single" w:color="auto" w:sz="4" w:space="0"/>
              <w:left w:val="single" w:color="auto" w:sz="4" w:space="0"/>
              <w:bottom w:val="single" w:color="auto" w:sz="4" w:space="0"/>
            </w:tcBorders>
            <w:shd w:val="clear" w:color="auto" w:fill="FFFFFF"/>
            <w:vAlign w:val="center"/>
          </w:tcPr>
          <w:p>
            <w:pPr>
              <w:pStyle w:val="10"/>
              <w:spacing w:line="240" w:lineRule="auto"/>
              <w:ind w:firstLine="0"/>
              <w:jc w:val="left"/>
              <w:rPr>
                <w:sz w:val="17"/>
                <w:szCs w:val="17"/>
              </w:rPr>
            </w:pPr>
            <w:r>
              <w:rPr>
                <w:sz w:val="17"/>
                <w:szCs w:val="17"/>
              </w:rPr>
              <w:t>合计</w:t>
            </w:r>
          </w:p>
        </w:tc>
        <w:tc>
          <w:tcPr>
            <w:tcW w:w="2299" w:type="dxa"/>
            <w:tcBorders>
              <w:top w:val="single" w:color="auto" w:sz="4" w:space="0"/>
              <w:left w:val="single" w:color="auto" w:sz="4" w:space="0"/>
              <w:bottom w:val="single" w:color="auto" w:sz="4" w:space="0"/>
            </w:tcBorders>
            <w:shd w:val="clear" w:color="auto" w:fill="FFFFFF"/>
            <w:vAlign w:val="center"/>
          </w:tcPr>
          <w:p>
            <w:pPr>
              <w:pStyle w:val="10"/>
              <w:spacing w:line="240" w:lineRule="auto"/>
              <w:ind w:firstLine="0"/>
              <w:jc w:val="left"/>
              <w:rPr>
                <w:sz w:val="17"/>
                <w:szCs w:val="17"/>
              </w:rPr>
            </w:pPr>
            <w:r>
              <w:rPr>
                <w:sz w:val="17"/>
                <w:szCs w:val="17"/>
              </w:rPr>
              <w:t>基本支出</w:t>
            </w:r>
          </w:p>
        </w:tc>
        <w:tc>
          <w:tcPr>
            <w:tcW w:w="2222" w:type="dxa"/>
            <w:tcBorders>
              <w:top w:val="single" w:color="auto" w:sz="4" w:space="0"/>
              <w:left w:val="single" w:color="auto" w:sz="4" w:space="0"/>
              <w:bottom w:val="single" w:color="auto" w:sz="4" w:space="0"/>
            </w:tcBorders>
            <w:shd w:val="clear" w:color="auto" w:fill="FFFFFF"/>
            <w:vAlign w:val="center"/>
          </w:tcPr>
          <w:p>
            <w:pPr>
              <w:pStyle w:val="10"/>
              <w:spacing w:line="240" w:lineRule="auto"/>
              <w:ind w:firstLine="0"/>
              <w:jc w:val="left"/>
              <w:rPr>
                <w:sz w:val="17"/>
                <w:szCs w:val="17"/>
              </w:rPr>
            </w:pPr>
            <w:r>
              <w:rPr>
                <w:sz w:val="17"/>
                <w:szCs w:val="17"/>
              </w:rPr>
              <w:t>项目支出</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
              <w:spacing w:line="240" w:lineRule="auto"/>
              <w:ind w:firstLine="0"/>
              <w:jc w:val="left"/>
              <w:rPr>
                <w:sz w:val="17"/>
                <w:szCs w:val="17"/>
              </w:rPr>
            </w:pPr>
            <w:r>
              <w:rPr>
                <w:sz w:val="17"/>
                <w:szCs w:val="17"/>
              </w:rPr>
              <w:t>结转下年支出</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0"/>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 xml:space="preserve"> </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10"/>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 xml:space="preserve"> </w:t>
            </w: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合计</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147.10</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147.10</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0"/>
              <w:spacing w:line="240" w:lineRule="auto"/>
              <w:ind w:firstLine="0"/>
              <w:jc w:val="left"/>
              <w:rPr>
                <w:rFonts w:hint="default" w:ascii="Times New Roman" w:hAnsi="Times New Roman" w:eastAsia="Times New Roman" w:cs="Times New Roman"/>
                <w:b/>
                <w:bCs/>
                <w:sz w:val="17"/>
                <w:szCs w:val="17"/>
                <w:lang w:val="en-US" w:eastAsia="zh-CN"/>
              </w:rPr>
            </w:pP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10"/>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705003</w:t>
            </w: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
              <w:spacing w:line="240" w:lineRule="auto"/>
              <w:ind w:firstLine="0"/>
              <w:jc w:val="left"/>
              <w:rPr>
                <w:rFonts w:hint="default" w:ascii="Times New Roman" w:hAnsi="Times New Roman" w:eastAsia="Times New Roman" w:cs="Times New Roman"/>
                <w:b/>
                <w:bCs/>
                <w:sz w:val="17"/>
                <w:szCs w:val="17"/>
                <w:lang w:val="en-US" w:eastAsia="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147.10</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147.10</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0"/>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2012999</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10"/>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其他群众团体事务支出</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1.40</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1.40</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0"/>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2080505</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10"/>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机关事业单位基本养老保险缴费支出</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17.01</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17.01</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0"/>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2100716</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10"/>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计划生育机构</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113.86</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113.86</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0"/>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2210201</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10"/>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住房公积金</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14.83</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14.83</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bl>
    <w:p>
      <w:pPr>
        <w:pStyle w:val="11"/>
        <w:ind w:left="672"/>
        <w:jc w:val="left"/>
      </w:pPr>
      <w:r>
        <w:t>注：本报表金额单位转换时可能存在四舍五入尾数误差。</w:t>
      </w:r>
      <w:r>
        <w:br w:type="page"/>
      </w:r>
    </w:p>
    <w:p>
      <w:pPr>
        <w:pStyle w:val="9"/>
        <w:keepNext/>
        <w:keepLines/>
        <w:spacing w:after="240"/>
        <w:jc w:val="center"/>
      </w:pPr>
      <w:bookmarkStart w:id="22" w:name="bookmark46"/>
      <w:bookmarkStart w:id="23" w:name="bookmark45"/>
      <w:bookmarkStart w:id="24" w:name="bookmark44"/>
      <w:r>
        <w:t>财政拨款收支总体情况表</w:t>
      </w:r>
      <w:bookmarkEnd w:id="22"/>
      <w:bookmarkEnd w:id="23"/>
      <w:bookmarkEnd w:id="24"/>
    </w:p>
    <w:tbl>
      <w:tblPr>
        <w:tblStyle w:val="2"/>
        <w:tblW w:w="0" w:type="auto"/>
        <w:tblInd w:w="0" w:type="dxa"/>
        <w:tblLayout w:type="fixed"/>
        <w:tblCellMar>
          <w:top w:w="0" w:type="dxa"/>
          <w:left w:w="10" w:type="dxa"/>
          <w:bottom w:w="0" w:type="dxa"/>
          <w:right w:w="10" w:type="dxa"/>
        </w:tblCellMar>
      </w:tblPr>
      <w:tblGrid>
        <w:gridCol w:w="2885"/>
        <w:gridCol w:w="955"/>
        <w:gridCol w:w="3830"/>
        <w:gridCol w:w="3826"/>
        <w:gridCol w:w="3845"/>
        <w:gridCol w:w="1"/>
      </w:tblGrid>
      <w:tr>
        <w:tblPrEx>
          <w:tblCellMar>
            <w:top w:w="0" w:type="dxa"/>
            <w:left w:w="10" w:type="dxa"/>
            <w:bottom w:w="0" w:type="dxa"/>
            <w:right w:w="10" w:type="dxa"/>
          </w:tblCellMar>
        </w:tblPrEx>
        <w:trPr>
          <w:gridAfter w:val="1"/>
          <w:wAfter w:w="1" w:type="dxa"/>
          <w:trHeight w:val="346" w:hRule="exact"/>
        </w:trPr>
        <w:tc>
          <w:tcPr>
            <w:tcW w:w="11496" w:type="dxa"/>
            <w:gridSpan w:val="4"/>
            <w:shd w:val="clear" w:color="auto" w:fill="FFFFFF"/>
          </w:tcPr>
          <w:p>
            <w:pPr>
              <w:pStyle w:val="10"/>
              <w:spacing w:line="240" w:lineRule="auto"/>
              <w:ind w:firstLine="0"/>
              <w:jc w:val="left"/>
              <w:rPr>
                <w:rFonts w:hint="default"/>
                <w:sz w:val="17"/>
                <w:szCs w:val="17"/>
                <w:lang w:val="en-US"/>
              </w:rPr>
            </w:pPr>
            <w:r>
              <w:rPr>
                <w:sz w:val="17"/>
                <w:szCs w:val="17"/>
              </w:rPr>
              <w:t>单位名称：</w:t>
            </w:r>
            <w:r>
              <w:rPr>
                <w:rFonts w:hint="eastAsia"/>
                <w:sz w:val="17"/>
                <w:szCs w:val="17"/>
                <w:lang w:eastAsia="zh-CN"/>
              </w:rPr>
              <w:t>环江毛南族自治县川山镇计生所</w:t>
            </w:r>
            <w:r>
              <w:rPr>
                <w:rFonts w:hint="eastAsia"/>
                <w:sz w:val="17"/>
                <w:szCs w:val="17"/>
                <w:lang w:val="en-US" w:eastAsia="zh-CN"/>
              </w:rPr>
              <w:t xml:space="preserve">                         </w:t>
            </w:r>
          </w:p>
        </w:tc>
        <w:tc>
          <w:tcPr>
            <w:tcW w:w="3845" w:type="dxa"/>
            <w:shd w:val="clear" w:color="auto" w:fill="FFFFFF"/>
          </w:tcPr>
          <w:p>
            <w:pPr>
              <w:pStyle w:val="10"/>
              <w:spacing w:line="240" w:lineRule="auto"/>
              <w:jc w:val="left"/>
              <w:rPr>
                <w:sz w:val="17"/>
                <w:szCs w:val="17"/>
              </w:rPr>
            </w:pPr>
            <w:r>
              <w:rPr>
                <w:sz w:val="17"/>
                <w:szCs w:val="17"/>
              </w:rPr>
              <w:t>单位：万元</w:t>
            </w:r>
          </w:p>
        </w:tc>
      </w:tr>
      <w:tr>
        <w:tblPrEx>
          <w:tblCellMar>
            <w:top w:w="0" w:type="dxa"/>
            <w:left w:w="10" w:type="dxa"/>
            <w:bottom w:w="0" w:type="dxa"/>
            <w:right w:w="10" w:type="dxa"/>
          </w:tblCellMar>
        </w:tblPrEx>
        <w:trPr>
          <w:gridAfter w:val="1"/>
          <w:wAfter w:w="1" w:type="dxa"/>
          <w:trHeight w:val="437" w:hRule="exact"/>
        </w:trPr>
        <w:tc>
          <w:tcPr>
            <w:tcW w:w="2885" w:type="dxa"/>
            <w:tcBorders>
              <w:top w:val="single" w:color="auto" w:sz="4" w:space="0"/>
              <w:left w:val="single" w:color="auto" w:sz="4" w:space="0"/>
            </w:tcBorders>
            <w:shd w:val="clear" w:color="auto" w:fill="FFFFFF"/>
          </w:tcPr>
          <w:p>
            <w:pPr>
              <w:jc w:val="left"/>
              <w:rPr>
                <w:sz w:val="10"/>
                <w:szCs w:val="10"/>
              </w:rPr>
            </w:pPr>
          </w:p>
        </w:tc>
        <w:tc>
          <w:tcPr>
            <w:tcW w:w="955" w:type="dxa"/>
            <w:tcBorders>
              <w:top w:val="single" w:color="auto" w:sz="4" w:space="0"/>
            </w:tcBorders>
            <w:shd w:val="clear" w:color="auto" w:fill="FFFFFF"/>
            <w:vAlign w:val="center"/>
          </w:tcPr>
          <w:p>
            <w:pPr>
              <w:pStyle w:val="10"/>
              <w:spacing w:line="240" w:lineRule="auto"/>
              <w:ind w:firstLine="0"/>
              <w:jc w:val="left"/>
              <w:rPr>
                <w:sz w:val="17"/>
                <w:szCs w:val="17"/>
              </w:rPr>
            </w:pPr>
            <w:r>
              <w:rPr>
                <w:sz w:val="17"/>
                <w:szCs w:val="17"/>
              </w:rPr>
              <w:t>收</w:t>
            </w:r>
          </w:p>
        </w:tc>
        <w:tc>
          <w:tcPr>
            <w:tcW w:w="3830" w:type="dxa"/>
            <w:tcBorders>
              <w:top w:val="single" w:color="auto" w:sz="4" w:space="0"/>
            </w:tcBorders>
            <w:shd w:val="clear" w:color="auto" w:fill="FFFFFF"/>
            <w:vAlign w:val="center"/>
          </w:tcPr>
          <w:p>
            <w:pPr>
              <w:pStyle w:val="10"/>
              <w:spacing w:line="240" w:lineRule="auto"/>
              <w:ind w:firstLine="340"/>
              <w:jc w:val="left"/>
              <w:rPr>
                <w:sz w:val="17"/>
                <w:szCs w:val="17"/>
              </w:rPr>
            </w:pPr>
            <w:r>
              <w:rPr>
                <w:sz w:val="17"/>
                <w:szCs w:val="17"/>
              </w:rPr>
              <w:t>入</w:t>
            </w:r>
          </w:p>
        </w:tc>
        <w:tc>
          <w:tcPr>
            <w:tcW w:w="3826" w:type="dxa"/>
            <w:tcBorders>
              <w:top w:val="single" w:color="auto" w:sz="4" w:space="0"/>
              <w:left w:val="single" w:color="auto" w:sz="4" w:space="0"/>
            </w:tcBorders>
            <w:shd w:val="clear" w:color="auto" w:fill="FFFFFF"/>
            <w:vAlign w:val="center"/>
          </w:tcPr>
          <w:p>
            <w:pPr>
              <w:pStyle w:val="10"/>
              <w:spacing w:line="240" w:lineRule="auto"/>
              <w:ind w:right="340" w:firstLine="2720" w:firstLineChars="1600"/>
              <w:jc w:val="left"/>
              <w:rPr>
                <w:sz w:val="17"/>
                <w:szCs w:val="17"/>
              </w:rPr>
            </w:pPr>
            <w:r>
              <w:rPr>
                <w:sz w:val="17"/>
                <w:szCs w:val="17"/>
              </w:rPr>
              <w:t>支</w:t>
            </w:r>
          </w:p>
        </w:tc>
        <w:tc>
          <w:tcPr>
            <w:tcW w:w="3845" w:type="dxa"/>
            <w:tcBorders>
              <w:top w:val="single" w:color="auto" w:sz="4" w:space="0"/>
              <w:right w:val="single" w:color="auto" w:sz="4" w:space="0"/>
            </w:tcBorders>
            <w:shd w:val="clear" w:color="auto" w:fill="FFFFFF"/>
            <w:vAlign w:val="center"/>
          </w:tcPr>
          <w:p>
            <w:pPr>
              <w:pStyle w:val="10"/>
              <w:spacing w:line="240" w:lineRule="auto"/>
              <w:ind w:firstLine="935" w:firstLineChars="550"/>
              <w:jc w:val="left"/>
              <w:rPr>
                <w:sz w:val="17"/>
                <w:szCs w:val="17"/>
              </w:rPr>
            </w:pPr>
            <w:r>
              <w:rPr>
                <w:sz w:val="17"/>
                <w:szCs w:val="17"/>
              </w:rPr>
              <w:t>出</w:t>
            </w:r>
          </w:p>
        </w:tc>
      </w:tr>
      <w:tr>
        <w:tblPrEx>
          <w:tblCellMar>
            <w:top w:w="0" w:type="dxa"/>
            <w:left w:w="10" w:type="dxa"/>
            <w:bottom w:w="0" w:type="dxa"/>
            <w:right w:w="10" w:type="dxa"/>
          </w:tblCellMar>
        </w:tblPrEx>
        <w:trPr>
          <w:gridAfter w:val="1"/>
          <w:wAfter w:w="1" w:type="dxa"/>
          <w:trHeight w:val="451" w:hRule="exact"/>
        </w:trPr>
        <w:tc>
          <w:tcPr>
            <w:tcW w:w="3840" w:type="dxa"/>
            <w:gridSpan w:val="2"/>
            <w:tcBorders>
              <w:top w:val="single" w:color="auto" w:sz="4" w:space="0"/>
              <w:left w:val="single" w:color="auto" w:sz="4" w:space="0"/>
            </w:tcBorders>
            <w:shd w:val="clear" w:color="auto" w:fill="FFFFFF"/>
            <w:vAlign w:val="center"/>
          </w:tcPr>
          <w:p>
            <w:pPr>
              <w:pStyle w:val="10"/>
              <w:spacing w:line="240" w:lineRule="auto"/>
              <w:ind w:firstLine="0"/>
              <w:jc w:val="center"/>
              <w:rPr>
                <w:sz w:val="17"/>
                <w:szCs w:val="17"/>
              </w:rPr>
            </w:pPr>
            <w:r>
              <w:rPr>
                <w:sz w:val="17"/>
                <w:szCs w:val="17"/>
              </w:rPr>
              <w:t>项目</w:t>
            </w:r>
          </w:p>
        </w:tc>
        <w:tc>
          <w:tcPr>
            <w:tcW w:w="3830" w:type="dxa"/>
            <w:tcBorders>
              <w:top w:val="single" w:color="auto" w:sz="4" w:space="0"/>
              <w:left w:val="single" w:color="auto" w:sz="4" w:space="0"/>
            </w:tcBorders>
            <w:shd w:val="clear" w:color="auto" w:fill="FFFFFF"/>
            <w:vAlign w:val="center"/>
          </w:tcPr>
          <w:p>
            <w:pPr>
              <w:pStyle w:val="10"/>
              <w:spacing w:line="240" w:lineRule="auto"/>
              <w:ind w:firstLine="0"/>
              <w:jc w:val="center"/>
              <w:rPr>
                <w:sz w:val="17"/>
                <w:szCs w:val="17"/>
              </w:rPr>
            </w:pPr>
            <w:r>
              <w:rPr>
                <w:sz w:val="17"/>
                <w:szCs w:val="17"/>
              </w:rPr>
              <w:t>预算数</w:t>
            </w:r>
          </w:p>
        </w:tc>
        <w:tc>
          <w:tcPr>
            <w:tcW w:w="3826" w:type="dxa"/>
            <w:tcBorders>
              <w:top w:val="single" w:color="auto" w:sz="4" w:space="0"/>
              <w:left w:val="single" w:color="auto" w:sz="4" w:space="0"/>
            </w:tcBorders>
            <w:shd w:val="clear" w:color="auto" w:fill="FFFFFF"/>
            <w:vAlign w:val="center"/>
          </w:tcPr>
          <w:p>
            <w:pPr>
              <w:pStyle w:val="10"/>
              <w:tabs>
                <w:tab w:val="left" w:pos="1034"/>
              </w:tabs>
              <w:spacing w:line="240" w:lineRule="auto"/>
              <w:ind w:firstLine="540"/>
              <w:jc w:val="center"/>
              <w:rPr>
                <w:sz w:val="17"/>
                <w:szCs w:val="17"/>
              </w:rPr>
            </w:pPr>
            <w:r>
              <w:rPr>
                <w:sz w:val="17"/>
                <w:szCs w:val="17"/>
              </w:rPr>
              <w:t>项</w:t>
            </w:r>
            <w:r>
              <w:rPr>
                <w:sz w:val="17"/>
                <w:szCs w:val="17"/>
              </w:rPr>
              <w:tab/>
            </w:r>
            <w:r>
              <w:rPr>
                <w:sz w:val="17"/>
                <w:szCs w:val="17"/>
              </w:rPr>
              <w:t>目（按支出功能科目分类）</w:t>
            </w:r>
          </w:p>
        </w:tc>
        <w:tc>
          <w:tcPr>
            <w:tcW w:w="3845" w:type="dxa"/>
            <w:tcBorders>
              <w:top w:val="single" w:color="auto" w:sz="4" w:space="0"/>
              <w:left w:val="single" w:color="auto" w:sz="4" w:space="0"/>
              <w:right w:val="single" w:color="auto" w:sz="4" w:space="0"/>
            </w:tcBorders>
            <w:shd w:val="clear" w:color="auto" w:fill="FFFFFF"/>
            <w:vAlign w:val="center"/>
          </w:tcPr>
          <w:p>
            <w:pPr>
              <w:pStyle w:val="10"/>
              <w:spacing w:line="240" w:lineRule="auto"/>
              <w:ind w:firstLine="0"/>
              <w:jc w:val="center"/>
              <w:rPr>
                <w:sz w:val="17"/>
                <w:szCs w:val="17"/>
              </w:rPr>
            </w:pPr>
            <w:r>
              <w:rPr>
                <w:sz w:val="17"/>
                <w:szCs w:val="17"/>
              </w:rPr>
              <w:t>预算数</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0"/>
              <w:spacing w:line="240" w:lineRule="auto"/>
              <w:ind w:firstLine="200"/>
              <w:jc w:val="left"/>
              <w:rPr>
                <w:rFonts w:hint="default"/>
                <w:sz w:val="17"/>
                <w:szCs w:val="17"/>
                <w:lang w:val="en-US" w:eastAsia="zh-CN"/>
              </w:rPr>
            </w:pPr>
            <w:r>
              <w:rPr>
                <w:rFonts w:hint="eastAsia"/>
                <w:sz w:val="17"/>
                <w:szCs w:val="17"/>
                <w:lang w:val="en-US" w:eastAsia="zh-CN"/>
              </w:rPr>
              <w:t>一、一般公共预算拨款</w:t>
            </w:r>
          </w:p>
        </w:tc>
        <w:tc>
          <w:tcPr>
            <w:tcW w:w="3830" w:type="dxa"/>
            <w:tcBorders>
              <w:top w:val="single" w:color="auto" w:sz="4" w:space="0"/>
              <w:left w:val="single" w:color="auto" w:sz="4" w:space="0"/>
              <w:bottom w:val="single" w:color="auto" w:sz="4" w:space="0"/>
            </w:tcBorders>
            <w:shd w:val="clear" w:color="auto" w:fill="FFFFFF"/>
            <w:vAlign w:val="center"/>
          </w:tcPr>
          <w:p>
            <w:pPr>
              <w:pStyle w:val="10"/>
              <w:spacing w:line="240" w:lineRule="auto"/>
              <w:ind w:firstLine="200"/>
              <w:jc w:val="right"/>
              <w:rPr>
                <w:rFonts w:hint="default"/>
                <w:sz w:val="17"/>
                <w:szCs w:val="17"/>
                <w:lang w:val="en-US" w:eastAsia="zh-CN"/>
              </w:rPr>
            </w:pPr>
            <w:r>
              <w:rPr>
                <w:rFonts w:hint="eastAsia"/>
                <w:sz w:val="17"/>
                <w:szCs w:val="17"/>
                <w:lang w:val="en-US" w:eastAsia="zh-CN"/>
              </w:rPr>
              <w:t>147.10</w:t>
            </w:r>
          </w:p>
        </w:tc>
        <w:tc>
          <w:tcPr>
            <w:tcW w:w="3826" w:type="dxa"/>
            <w:tcBorders>
              <w:top w:val="single" w:color="auto" w:sz="4" w:space="0"/>
              <w:left w:val="single" w:color="auto" w:sz="4" w:space="0"/>
              <w:bottom w:val="single" w:color="auto" w:sz="4" w:space="0"/>
            </w:tcBorders>
            <w:shd w:val="clear" w:color="auto" w:fill="FFFFFF"/>
            <w:vAlign w:val="center"/>
          </w:tcPr>
          <w:p>
            <w:pPr>
              <w:pStyle w:val="10"/>
              <w:spacing w:line="240" w:lineRule="auto"/>
              <w:ind w:firstLine="200"/>
              <w:jc w:val="left"/>
              <w:rPr>
                <w:rFonts w:hint="default"/>
                <w:sz w:val="17"/>
                <w:szCs w:val="17"/>
                <w:lang w:val="en-US" w:eastAsia="zh-CN"/>
              </w:rPr>
            </w:pPr>
            <w:r>
              <w:rPr>
                <w:rFonts w:hint="eastAsia"/>
                <w:sz w:val="17"/>
                <w:szCs w:val="17"/>
                <w:lang w:val="en-US" w:eastAsia="zh-CN"/>
              </w:rPr>
              <w:t>一、一般公共服务支出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
              <w:spacing w:line="240" w:lineRule="auto"/>
              <w:ind w:firstLine="200"/>
              <w:jc w:val="right"/>
              <w:rPr>
                <w:rFonts w:hint="default"/>
                <w:sz w:val="17"/>
                <w:szCs w:val="17"/>
                <w:lang w:val="en-US" w:eastAsia="zh-CN"/>
              </w:rPr>
            </w:pPr>
            <w:r>
              <w:rPr>
                <w:rFonts w:hint="eastAsia"/>
                <w:sz w:val="17"/>
                <w:szCs w:val="17"/>
                <w:lang w:val="en-US" w:eastAsia="zh-CN"/>
              </w:rPr>
              <w:t>1.40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0"/>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color="auto" w:sz="4" w:space="0"/>
              <w:left w:val="single" w:color="auto" w:sz="4" w:space="0"/>
              <w:bottom w:val="single" w:color="auto" w:sz="4" w:space="0"/>
            </w:tcBorders>
            <w:shd w:val="clear" w:color="auto" w:fill="FFFFFF"/>
            <w:vAlign w:val="center"/>
          </w:tcPr>
          <w:p>
            <w:pPr>
              <w:pStyle w:val="10"/>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10"/>
              <w:spacing w:line="240" w:lineRule="auto"/>
              <w:ind w:firstLine="200"/>
              <w:jc w:val="left"/>
              <w:rPr>
                <w:rFonts w:hint="default"/>
                <w:sz w:val="17"/>
                <w:szCs w:val="17"/>
                <w:lang w:val="en-US" w:eastAsia="zh-CN"/>
              </w:rPr>
            </w:pPr>
            <w:r>
              <w:rPr>
                <w:rFonts w:hint="eastAsia"/>
                <w:sz w:val="17"/>
                <w:szCs w:val="17"/>
                <w:lang w:val="en-US" w:eastAsia="zh-CN"/>
              </w:rPr>
              <w:t>二、外交支出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0"/>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color="auto" w:sz="4" w:space="0"/>
              <w:left w:val="single" w:color="auto" w:sz="4" w:space="0"/>
              <w:bottom w:val="single" w:color="auto" w:sz="4" w:space="0"/>
            </w:tcBorders>
            <w:shd w:val="clear" w:color="auto" w:fill="FFFFFF"/>
            <w:vAlign w:val="center"/>
          </w:tcPr>
          <w:p>
            <w:pPr>
              <w:pStyle w:val="10"/>
              <w:spacing w:line="240" w:lineRule="auto"/>
              <w:ind w:firstLine="200"/>
              <w:jc w:val="right"/>
              <w:rPr>
                <w:rFonts w:hint="default"/>
                <w:sz w:val="17"/>
                <w:szCs w:val="17"/>
                <w:lang w:val="en-US" w:eastAsia="zh-CN"/>
              </w:rPr>
            </w:pPr>
            <w:r>
              <w:rPr>
                <w:rFonts w:hint="eastAsia"/>
                <w:sz w:val="17"/>
                <w:szCs w:val="17"/>
                <w:lang w:val="en-US" w:eastAsia="zh-CN"/>
              </w:rPr>
              <w:t>147.10</w:t>
            </w:r>
          </w:p>
        </w:tc>
        <w:tc>
          <w:tcPr>
            <w:tcW w:w="3826" w:type="dxa"/>
            <w:tcBorders>
              <w:top w:val="single" w:color="auto" w:sz="4" w:space="0"/>
              <w:left w:val="single" w:color="auto" w:sz="4" w:space="0"/>
              <w:bottom w:val="single" w:color="auto" w:sz="4" w:space="0"/>
            </w:tcBorders>
            <w:shd w:val="clear" w:color="auto" w:fill="FFFFFF"/>
            <w:vAlign w:val="center"/>
          </w:tcPr>
          <w:p>
            <w:pPr>
              <w:pStyle w:val="10"/>
              <w:spacing w:line="240" w:lineRule="auto"/>
              <w:ind w:firstLine="200"/>
              <w:jc w:val="left"/>
              <w:rPr>
                <w:rFonts w:hint="default"/>
                <w:sz w:val="17"/>
                <w:szCs w:val="17"/>
                <w:lang w:val="en-US" w:eastAsia="zh-CN"/>
              </w:rPr>
            </w:pPr>
            <w:r>
              <w:rPr>
                <w:rFonts w:hint="eastAsia"/>
                <w:sz w:val="17"/>
                <w:szCs w:val="17"/>
                <w:lang w:val="en-US" w:eastAsia="zh-CN"/>
              </w:rPr>
              <w:t>三、国防支出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0"/>
              <w:spacing w:line="240" w:lineRule="auto"/>
              <w:ind w:firstLine="200"/>
              <w:jc w:val="left"/>
              <w:rPr>
                <w:rFonts w:hint="default"/>
                <w:sz w:val="17"/>
                <w:szCs w:val="17"/>
                <w:lang w:val="en-US" w:eastAsia="zh-CN"/>
              </w:rPr>
            </w:pPr>
            <w:r>
              <w:rPr>
                <w:rFonts w:hint="eastAsia"/>
                <w:sz w:val="17"/>
                <w:szCs w:val="17"/>
                <w:lang w:val="en-US" w:eastAsia="zh-CN"/>
              </w:rPr>
              <w:t>二、政府性基金预算拨款</w:t>
            </w:r>
          </w:p>
        </w:tc>
        <w:tc>
          <w:tcPr>
            <w:tcW w:w="3830" w:type="dxa"/>
            <w:tcBorders>
              <w:top w:val="single" w:color="auto" w:sz="4" w:space="0"/>
              <w:left w:val="single" w:color="auto" w:sz="4" w:space="0"/>
              <w:bottom w:val="single" w:color="auto" w:sz="4" w:space="0"/>
            </w:tcBorders>
            <w:shd w:val="clear" w:color="auto" w:fill="FFFFFF"/>
            <w:vAlign w:val="center"/>
          </w:tcPr>
          <w:p>
            <w:pPr>
              <w:pStyle w:val="10"/>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10"/>
              <w:spacing w:line="240" w:lineRule="auto"/>
              <w:ind w:firstLine="200"/>
              <w:jc w:val="left"/>
              <w:rPr>
                <w:rFonts w:hint="default"/>
                <w:sz w:val="17"/>
                <w:szCs w:val="17"/>
                <w:lang w:val="en-US" w:eastAsia="zh-CN"/>
              </w:rPr>
            </w:pPr>
            <w:r>
              <w:rPr>
                <w:rFonts w:hint="eastAsia"/>
                <w:sz w:val="17"/>
                <w:szCs w:val="17"/>
                <w:lang w:val="en-US" w:eastAsia="zh-CN"/>
              </w:rPr>
              <w:t>四、公共安全支出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0"/>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color="auto" w:sz="4" w:space="0"/>
              <w:left w:val="single" w:color="auto" w:sz="4" w:space="0"/>
              <w:bottom w:val="single" w:color="auto" w:sz="4" w:space="0"/>
            </w:tcBorders>
            <w:shd w:val="clear" w:color="auto" w:fill="FFFFFF"/>
            <w:vAlign w:val="center"/>
          </w:tcPr>
          <w:p>
            <w:pPr>
              <w:pStyle w:val="10"/>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10"/>
              <w:spacing w:line="240" w:lineRule="auto"/>
              <w:ind w:firstLine="200"/>
              <w:jc w:val="left"/>
              <w:rPr>
                <w:rFonts w:hint="default"/>
                <w:sz w:val="17"/>
                <w:szCs w:val="17"/>
                <w:lang w:val="en-US" w:eastAsia="zh-CN"/>
              </w:rPr>
            </w:pPr>
            <w:r>
              <w:rPr>
                <w:rFonts w:hint="eastAsia"/>
                <w:sz w:val="17"/>
                <w:szCs w:val="17"/>
                <w:lang w:val="en-US" w:eastAsia="zh-CN"/>
              </w:rPr>
              <w:t>五、教育支出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0"/>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color="auto" w:sz="4" w:space="0"/>
              <w:left w:val="single" w:color="auto" w:sz="4" w:space="0"/>
              <w:bottom w:val="single" w:color="auto" w:sz="4" w:space="0"/>
            </w:tcBorders>
            <w:shd w:val="clear" w:color="auto" w:fill="FFFFFF"/>
            <w:vAlign w:val="center"/>
          </w:tcPr>
          <w:p>
            <w:pPr>
              <w:pStyle w:val="10"/>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10"/>
              <w:spacing w:line="240" w:lineRule="auto"/>
              <w:ind w:firstLine="200"/>
              <w:jc w:val="left"/>
              <w:rPr>
                <w:rFonts w:hint="default"/>
                <w:sz w:val="17"/>
                <w:szCs w:val="17"/>
                <w:lang w:val="en-US" w:eastAsia="zh-CN"/>
              </w:rPr>
            </w:pPr>
            <w:r>
              <w:rPr>
                <w:rFonts w:hint="eastAsia"/>
                <w:sz w:val="17"/>
                <w:szCs w:val="17"/>
                <w:lang w:val="en-US" w:eastAsia="zh-CN"/>
              </w:rPr>
              <w:t>六、科学技术支出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0"/>
              <w:spacing w:line="240" w:lineRule="auto"/>
              <w:ind w:firstLine="200"/>
              <w:jc w:val="left"/>
              <w:rPr>
                <w:rFonts w:hint="default"/>
                <w:sz w:val="17"/>
                <w:szCs w:val="17"/>
                <w:lang w:val="en-US" w:eastAsia="zh-CN"/>
              </w:rPr>
            </w:pPr>
            <w:r>
              <w:rPr>
                <w:rFonts w:hint="eastAsia"/>
                <w:sz w:val="17"/>
                <w:szCs w:val="17"/>
                <w:lang w:val="en-US" w:eastAsia="zh-CN"/>
              </w:rPr>
              <w:t>三、国有资本经营预算拨款</w:t>
            </w:r>
          </w:p>
        </w:tc>
        <w:tc>
          <w:tcPr>
            <w:tcW w:w="3830" w:type="dxa"/>
            <w:tcBorders>
              <w:top w:val="single" w:color="auto" w:sz="4" w:space="0"/>
              <w:left w:val="single" w:color="auto" w:sz="4" w:space="0"/>
              <w:bottom w:val="single" w:color="auto" w:sz="4" w:space="0"/>
            </w:tcBorders>
            <w:shd w:val="clear" w:color="auto" w:fill="FFFFFF"/>
            <w:vAlign w:val="center"/>
          </w:tcPr>
          <w:p>
            <w:pPr>
              <w:pStyle w:val="10"/>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10"/>
              <w:spacing w:line="240" w:lineRule="auto"/>
              <w:ind w:firstLine="200"/>
              <w:jc w:val="left"/>
              <w:rPr>
                <w:rFonts w:hint="default"/>
                <w:sz w:val="17"/>
                <w:szCs w:val="17"/>
                <w:lang w:val="en-US" w:eastAsia="zh-CN"/>
              </w:rPr>
            </w:pPr>
            <w:r>
              <w:rPr>
                <w:rFonts w:hint="eastAsia"/>
                <w:sz w:val="17"/>
                <w:szCs w:val="17"/>
                <w:lang w:val="en-US" w:eastAsia="zh-CN"/>
              </w:rPr>
              <w:t>七、文化旅游体育与传媒支出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0"/>
              <w:spacing w:line="240" w:lineRule="auto"/>
              <w:ind w:firstLine="200"/>
              <w:jc w:val="left"/>
              <w:rPr>
                <w:rFonts w:hint="default"/>
                <w:sz w:val="17"/>
                <w:szCs w:val="17"/>
                <w:lang w:val="en-US" w:eastAsia="zh-CN"/>
              </w:rPr>
            </w:pPr>
            <w:r>
              <w:rPr>
                <w:rFonts w:hint="eastAsia"/>
                <w:sz w:val="17"/>
                <w:szCs w:val="17"/>
                <w:lang w:val="en-US" w:eastAsia="zh-CN"/>
              </w:rPr>
              <w:t>1、上级补助</w:t>
            </w:r>
          </w:p>
        </w:tc>
        <w:tc>
          <w:tcPr>
            <w:tcW w:w="3830" w:type="dxa"/>
            <w:tcBorders>
              <w:top w:val="single" w:color="auto" w:sz="4" w:space="0"/>
              <w:left w:val="single" w:color="auto" w:sz="4" w:space="0"/>
              <w:bottom w:val="single" w:color="auto" w:sz="4" w:space="0"/>
            </w:tcBorders>
            <w:shd w:val="clear" w:color="auto" w:fill="FFFFFF"/>
            <w:vAlign w:val="center"/>
          </w:tcPr>
          <w:p>
            <w:pPr>
              <w:pStyle w:val="10"/>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10"/>
              <w:spacing w:line="240" w:lineRule="auto"/>
              <w:ind w:firstLine="200"/>
              <w:jc w:val="left"/>
              <w:rPr>
                <w:rFonts w:hint="default"/>
                <w:sz w:val="17"/>
                <w:szCs w:val="17"/>
                <w:lang w:val="en-US" w:eastAsia="zh-CN"/>
              </w:rPr>
            </w:pPr>
            <w:r>
              <w:rPr>
                <w:rFonts w:hint="eastAsia"/>
                <w:sz w:val="17"/>
                <w:szCs w:val="17"/>
                <w:lang w:val="en-US" w:eastAsia="zh-CN"/>
              </w:rPr>
              <w:t>八、社会保障和就业支出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
              <w:spacing w:line="240" w:lineRule="auto"/>
              <w:ind w:firstLine="200"/>
              <w:jc w:val="right"/>
              <w:rPr>
                <w:rFonts w:hint="default"/>
                <w:sz w:val="17"/>
                <w:szCs w:val="17"/>
                <w:lang w:val="en-US" w:eastAsia="zh-CN"/>
              </w:rPr>
            </w:pPr>
            <w:r>
              <w:rPr>
                <w:rFonts w:hint="eastAsia"/>
                <w:sz w:val="17"/>
                <w:szCs w:val="17"/>
                <w:lang w:val="en-US" w:eastAsia="zh-CN"/>
              </w:rPr>
              <w:t>17.01</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0"/>
              <w:spacing w:line="240" w:lineRule="auto"/>
              <w:ind w:firstLine="200"/>
              <w:jc w:val="left"/>
              <w:rPr>
                <w:rFonts w:hint="default"/>
                <w:sz w:val="17"/>
                <w:szCs w:val="17"/>
                <w:lang w:val="en-US" w:eastAsia="zh-CN"/>
              </w:rPr>
            </w:pPr>
            <w:r>
              <w:rPr>
                <w:rFonts w:hint="eastAsia"/>
                <w:sz w:val="17"/>
                <w:szCs w:val="17"/>
                <w:lang w:val="en-US" w:eastAsia="zh-CN"/>
              </w:rPr>
              <w:t>2、本级</w:t>
            </w:r>
          </w:p>
        </w:tc>
        <w:tc>
          <w:tcPr>
            <w:tcW w:w="3830" w:type="dxa"/>
            <w:tcBorders>
              <w:top w:val="single" w:color="auto" w:sz="4" w:space="0"/>
              <w:left w:val="single" w:color="auto" w:sz="4" w:space="0"/>
              <w:bottom w:val="single" w:color="auto" w:sz="4" w:space="0"/>
            </w:tcBorders>
            <w:shd w:val="clear" w:color="auto" w:fill="FFFFFF"/>
            <w:vAlign w:val="center"/>
          </w:tcPr>
          <w:p>
            <w:pPr>
              <w:pStyle w:val="10"/>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10"/>
              <w:spacing w:line="240" w:lineRule="auto"/>
              <w:ind w:firstLine="200"/>
              <w:jc w:val="left"/>
              <w:rPr>
                <w:rFonts w:hint="default"/>
                <w:sz w:val="17"/>
                <w:szCs w:val="17"/>
                <w:lang w:val="en-US" w:eastAsia="zh-CN"/>
              </w:rPr>
            </w:pPr>
            <w:r>
              <w:rPr>
                <w:rFonts w:hint="eastAsia"/>
                <w:sz w:val="17"/>
                <w:szCs w:val="17"/>
                <w:lang w:val="en-US" w:eastAsia="zh-CN"/>
              </w:rPr>
              <w:t>九、卫生健康支出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
              <w:spacing w:line="240" w:lineRule="auto"/>
              <w:ind w:firstLine="200"/>
              <w:jc w:val="right"/>
              <w:rPr>
                <w:rFonts w:hint="default"/>
                <w:sz w:val="17"/>
                <w:szCs w:val="17"/>
                <w:lang w:val="en-US" w:eastAsia="zh-CN"/>
              </w:rPr>
            </w:pPr>
            <w:r>
              <w:rPr>
                <w:rFonts w:hint="eastAsia"/>
                <w:sz w:val="17"/>
                <w:szCs w:val="17"/>
                <w:lang w:val="en-US" w:eastAsia="zh-CN"/>
              </w:rPr>
              <w:t>113.86</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0"/>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0"/>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0"/>
              <w:spacing w:line="240" w:lineRule="auto"/>
              <w:ind w:firstLine="200"/>
              <w:jc w:val="left"/>
              <w:rPr>
                <w:rFonts w:hint="default"/>
                <w:sz w:val="17"/>
                <w:szCs w:val="17"/>
                <w:lang w:val="en-US" w:eastAsia="zh-CN"/>
              </w:rPr>
            </w:pPr>
            <w:r>
              <w:rPr>
                <w:rFonts w:hint="eastAsia"/>
                <w:sz w:val="17"/>
                <w:szCs w:val="17"/>
                <w:lang w:val="en-US" w:eastAsia="zh-CN"/>
              </w:rPr>
              <w:t>十、节能环保支出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0"/>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0"/>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0"/>
              <w:spacing w:line="240" w:lineRule="auto"/>
              <w:ind w:firstLine="200"/>
              <w:jc w:val="left"/>
              <w:rPr>
                <w:rFonts w:hint="default"/>
                <w:sz w:val="17"/>
                <w:szCs w:val="17"/>
                <w:lang w:val="en-US" w:eastAsia="zh-CN"/>
              </w:rPr>
            </w:pPr>
            <w:r>
              <w:rPr>
                <w:rFonts w:hint="eastAsia"/>
                <w:sz w:val="17"/>
                <w:szCs w:val="17"/>
                <w:lang w:val="en-US" w:eastAsia="zh-CN"/>
              </w:rPr>
              <w:t>十一、城乡社区支出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0"/>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0"/>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0"/>
              <w:spacing w:line="240" w:lineRule="auto"/>
              <w:ind w:firstLine="200"/>
              <w:jc w:val="left"/>
              <w:rPr>
                <w:rFonts w:hint="default"/>
                <w:sz w:val="17"/>
                <w:szCs w:val="17"/>
                <w:lang w:val="en-US" w:eastAsia="zh-CN"/>
              </w:rPr>
            </w:pPr>
            <w:r>
              <w:rPr>
                <w:rFonts w:hint="eastAsia"/>
                <w:sz w:val="17"/>
                <w:szCs w:val="17"/>
                <w:lang w:val="en-US" w:eastAsia="zh-CN"/>
              </w:rPr>
              <w:t>十二、农林水支出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0"/>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0"/>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0"/>
              <w:spacing w:line="240" w:lineRule="auto"/>
              <w:ind w:firstLine="200"/>
              <w:jc w:val="left"/>
              <w:rPr>
                <w:rFonts w:hint="default"/>
                <w:sz w:val="17"/>
                <w:szCs w:val="17"/>
                <w:lang w:val="en-US" w:eastAsia="zh-CN"/>
              </w:rPr>
            </w:pPr>
            <w:r>
              <w:rPr>
                <w:rFonts w:hint="eastAsia"/>
                <w:sz w:val="17"/>
                <w:szCs w:val="17"/>
                <w:lang w:val="en-US" w:eastAsia="zh-CN"/>
              </w:rPr>
              <w:t>十三、交通运输支出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0"/>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0"/>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0"/>
              <w:spacing w:line="240" w:lineRule="auto"/>
              <w:ind w:firstLine="200"/>
              <w:jc w:val="left"/>
              <w:rPr>
                <w:rFonts w:hint="default"/>
                <w:sz w:val="17"/>
                <w:szCs w:val="17"/>
                <w:lang w:val="en-US" w:eastAsia="zh-CN"/>
              </w:rPr>
            </w:pPr>
            <w:r>
              <w:rPr>
                <w:rFonts w:hint="eastAsia"/>
                <w:sz w:val="17"/>
                <w:szCs w:val="17"/>
                <w:lang w:val="en-US" w:eastAsia="zh-CN"/>
              </w:rPr>
              <w:t>十四、资源勘探工业信息等支出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0"/>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0"/>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0"/>
              <w:spacing w:line="240" w:lineRule="auto"/>
              <w:ind w:firstLine="200"/>
              <w:jc w:val="left"/>
              <w:rPr>
                <w:rFonts w:hint="default"/>
                <w:sz w:val="17"/>
                <w:szCs w:val="17"/>
                <w:lang w:val="en-US" w:eastAsia="zh-CN"/>
              </w:rPr>
            </w:pPr>
            <w:r>
              <w:rPr>
                <w:rFonts w:hint="eastAsia"/>
                <w:sz w:val="17"/>
                <w:szCs w:val="17"/>
                <w:lang w:val="en-US" w:eastAsia="zh-CN"/>
              </w:rPr>
              <w:t>十五、商业服务业等支出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0"/>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0"/>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0"/>
              <w:spacing w:line="240" w:lineRule="auto"/>
              <w:ind w:firstLine="200"/>
              <w:jc w:val="left"/>
              <w:rPr>
                <w:rFonts w:hint="default"/>
                <w:sz w:val="17"/>
                <w:szCs w:val="17"/>
                <w:lang w:val="en-US" w:eastAsia="zh-CN"/>
              </w:rPr>
            </w:pPr>
            <w:r>
              <w:rPr>
                <w:rFonts w:hint="eastAsia"/>
                <w:sz w:val="17"/>
                <w:szCs w:val="17"/>
                <w:lang w:val="en-US" w:eastAsia="zh-CN"/>
              </w:rPr>
              <w:t>十六、金融支出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0"/>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0"/>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0"/>
              <w:spacing w:line="240" w:lineRule="auto"/>
              <w:ind w:firstLine="200"/>
              <w:jc w:val="left"/>
              <w:rPr>
                <w:rFonts w:hint="default"/>
                <w:sz w:val="17"/>
                <w:szCs w:val="17"/>
                <w:lang w:val="en-US" w:eastAsia="zh-CN"/>
              </w:rPr>
            </w:pPr>
            <w:r>
              <w:rPr>
                <w:rFonts w:hint="eastAsia"/>
                <w:sz w:val="17"/>
                <w:szCs w:val="17"/>
                <w:lang w:val="en-US" w:eastAsia="zh-CN"/>
              </w:rPr>
              <w:t>十七、援助其他地区支出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0"/>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0"/>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0"/>
              <w:spacing w:line="240" w:lineRule="auto"/>
              <w:ind w:firstLine="200"/>
              <w:jc w:val="left"/>
              <w:rPr>
                <w:rFonts w:hint="default"/>
                <w:sz w:val="17"/>
                <w:szCs w:val="17"/>
                <w:lang w:val="en-US" w:eastAsia="zh-CN"/>
              </w:rPr>
            </w:pPr>
            <w:r>
              <w:rPr>
                <w:rFonts w:hint="eastAsia"/>
                <w:sz w:val="17"/>
                <w:szCs w:val="17"/>
                <w:lang w:val="en-US" w:eastAsia="zh-CN"/>
              </w:rPr>
              <w:t>十八、自然资源海洋气象等支出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0"/>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0"/>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0"/>
              <w:spacing w:line="240" w:lineRule="auto"/>
              <w:ind w:firstLine="200"/>
              <w:jc w:val="left"/>
              <w:rPr>
                <w:rFonts w:hint="default"/>
                <w:sz w:val="17"/>
                <w:szCs w:val="17"/>
                <w:lang w:val="en-US" w:eastAsia="zh-CN"/>
              </w:rPr>
            </w:pPr>
            <w:r>
              <w:rPr>
                <w:rFonts w:hint="eastAsia"/>
                <w:sz w:val="17"/>
                <w:szCs w:val="17"/>
                <w:lang w:val="en-US" w:eastAsia="zh-CN"/>
              </w:rPr>
              <w:t>十九、住房保障支出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
              <w:spacing w:line="240" w:lineRule="auto"/>
              <w:ind w:firstLine="200"/>
              <w:jc w:val="right"/>
              <w:rPr>
                <w:rFonts w:hint="default"/>
                <w:sz w:val="17"/>
                <w:szCs w:val="17"/>
                <w:lang w:val="en-US" w:eastAsia="zh-CN"/>
              </w:rPr>
            </w:pPr>
            <w:r>
              <w:rPr>
                <w:rFonts w:hint="eastAsia"/>
                <w:sz w:val="17"/>
                <w:szCs w:val="17"/>
                <w:lang w:val="en-US" w:eastAsia="zh-CN"/>
              </w:rPr>
              <w:t>14.83</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0"/>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0"/>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0"/>
              <w:spacing w:line="240" w:lineRule="auto"/>
              <w:ind w:firstLine="200"/>
              <w:jc w:val="left"/>
              <w:rPr>
                <w:rFonts w:hint="default"/>
                <w:sz w:val="17"/>
                <w:szCs w:val="17"/>
                <w:lang w:val="en-US" w:eastAsia="zh-CN"/>
              </w:rPr>
            </w:pPr>
            <w:r>
              <w:rPr>
                <w:rFonts w:hint="eastAsia"/>
                <w:sz w:val="17"/>
                <w:szCs w:val="17"/>
                <w:lang w:val="en-US" w:eastAsia="zh-CN"/>
              </w:rPr>
              <w:t>二十、粮油物资储备支出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0"/>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0"/>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0"/>
              <w:spacing w:line="240" w:lineRule="auto"/>
              <w:ind w:firstLine="200"/>
              <w:jc w:val="left"/>
              <w:rPr>
                <w:rFonts w:hint="default"/>
                <w:sz w:val="17"/>
                <w:szCs w:val="17"/>
                <w:lang w:val="en-US" w:eastAsia="zh-CN"/>
              </w:rPr>
            </w:pPr>
            <w:r>
              <w:rPr>
                <w:rFonts w:hint="eastAsia"/>
                <w:sz w:val="17"/>
                <w:szCs w:val="17"/>
                <w:lang w:val="en-US" w:eastAsia="zh-CN"/>
              </w:rPr>
              <w:t>二十一、国有资本经营预算支出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0"/>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0"/>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0"/>
              <w:spacing w:line="240" w:lineRule="auto"/>
              <w:ind w:firstLine="200"/>
              <w:jc w:val="left"/>
              <w:rPr>
                <w:rFonts w:hint="default"/>
                <w:sz w:val="17"/>
                <w:szCs w:val="17"/>
                <w:lang w:val="en-US" w:eastAsia="zh-CN"/>
              </w:rPr>
            </w:pPr>
            <w:r>
              <w:rPr>
                <w:rFonts w:hint="eastAsia"/>
                <w:sz w:val="17"/>
                <w:szCs w:val="17"/>
                <w:lang w:val="en-US" w:eastAsia="zh-CN"/>
              </w:rPr>
              <w:t>二十二、灾害防治及应急管理支出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0"/>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0"/>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0"/>
              <w:spacing w:line="240" w:lineRule="auto"/>
              <w:ind w:firstLine="200"/>
              <w:jc w:val="left"/>
              <w:rPr>
                <w:rFonts w:hint="default"/>
                <w:sz w:val="17"/>
                <w:szCs w:val="17"/>
                <w:lang w:val="en-US" w:eastAsia="zh-CN"/>
              </w:rPr>
            </w:pPr>
            <w:r>
              <w:rPr>
                <w:rFonts w:hint="eastAsia"/>
                <w:sz w:val="17"/>
                <w:szCs w:val="17"/>
                <w:lang w:val="en-US" w:eastAsia="zh-CN"/>
              </w:rPr>
              <w:t>二十三、其他支出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0"/>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0"/>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0"/>
              <w:spacing w:line="240" w:lineRule="auto"/>
              <w:ind w:firstLine="200"/>
              <w:jc w:val="left"/>
              <w:rPr>
                <w:rFonts w:hint="default"/>
                <w:sz w:val="17"/>
                <w:szCs w:val="17"/>
                <w:lang w:val="en-US" w:eastAsia="zh-CN"/>
              </w:rPr>
            </w:pPr>
            <w:r>
              <w:rPr>
                <w:rFonts w:hint="eastAsia"/>
                <w:sz w:val="17"/>
                <w:szCs w:val="17"/>
                <w:lang w:val="en-US" w:eastAsia="zh-CN"/>
              </w:rPr>
              <w:t>二十四、债务还本支出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0"/>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0"/>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0"/>
              <w:spacing w:line="240" w:lineRule="auto"/>
              <w:ind w:firstLine="200"/>
              <w:jc w:val="left"/>
              <w:rPr>
                <w:rFonts w:hint="default"/>
                <w:sz w:val="17"/>
                <w:szCs w:val="17"/>
                <w:lang w:val="en-US" w:eastAsia="zh-CN"/>
              </w:rPr>
            </w:pPr>
            <w:r>
              <w:rPr>
                <w:rFonts w:hint="eastAsia"/>
                <w:sz w:val="17"/>
                <w:szCs w:val="17"/>
                <w:lang w:val="en-US" w:eastAsia="zh-CN"/>
              </w:rPr>
              <w:t>二十五、债务付息支出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0"/>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0"/>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0"/>
              <w:spacing w:line="240" w:lineRule="auto"/>
              <w:ind w:firstLine="200"/>
              <w:jc w:val="left"/>
              <w:rPr>
                <w:rFonts w:hint="default"/>
                <w:sz w:val="17"/>
                <w:szCs w:val="17"/>
                <w:lang w:val="en-US" w:eastAsia="zh-CN"/>
              </w:rPr>
            </w:pPr>
            <w:r>
              <w:rPr>
                <w:rFonts w:hint="eastAsia"/>
                <w:sz w:val="17"/>
                <w:szCs w:val="17"/>
                <w:lang w:val="en-US" w:eastAsia="zh-CN"/>
              </w:rPr>
              <w:t>二十六、债务发行费用支出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0"/>
              <w:spacing w:line="240" w:lineRule="auto"/>
              <w:ind w:firstLine="200"/>
              <w:jc w:val="left"/>
              <w:rPr>
                <w:rFonts w:hint="default"/>
                <w:sz w:val="17"/>
                <w:szCs w:val="17"/>
                <w:lang w:val="en-US" w:eastAsia="zh-CN"/>
              </w:rPr>
            </w:pPr>
            <w:r>
              <w:rPr>
                <w:rFonts w:hint="eastAsia"/>
                <w:sz w:val="17"/>
                <w:szCs w:val="17"/>
                <w:lang w:val="en-US" w:eastAsia="zh-CN"/>
              </w:rPr>
              <w:t>本年收入合计</w:t>
            </w:r>
          </w:p>
        </w:tc>
        <w:tc>
          <w:tcPr>
            <w:tcW w:w="3830" w:type="dxa"/>
            <w:tcBorders>
              <w:top w:val="single" w:color="auto" w:sz="4" w:space="0"/>
              <w:left w:val="single" w:color="auto" w:sz="4" w:space="0"/>
              <w:bottom w:val="single" w:color="auto" w:sz="4" w:space="0"/>
            </w:tcBorders>
            <w:shd w:val="clear" w:color="auto" w:fill="FFFFFF"/>
            <w:vAlign w:val="center"/>
          </w:tcPr>
          <w:p>
            <w:pPr>
              <w:pStyle w:val="10"/>
              <w:spacing w:line="240" w:lineRule="auto"/>
              <w:ind w:firstLine="200"/>
              <w:jc w:val="right"/>
              <w:rPr>
                <w:rFonts w:hint="default"/>
                <w:sz w:val="17"/>
                <w:szCs w:val="17"/>
                <w:lang w:val="en-US" w:eastAsia="zh-CN"/>
              </w:rPr>
            </w:pPr>
            <w:r>
              <w:rPr>
                <w:rFonts w:hint="eastAsia"/>
                <w:sz w:val="17"/>
                <w:szCs w:val="17"/>
                <w:lang w:val="en-US" w:eastAsia="zh-CN"/>
              </w:rPr>
              <w:t>147.10</w:t>
            </w:r>
          </w:p>
        </w:tc>
        <w:tc>
          <w:tcPr>
            <w:tcW w:w="3826" w:type="dxa"/>
            <w:tcBorders>
              <w:top w:val="single" w:color="auto" w:sz="4" w:space="0"/>
              <w:left w:val="single" w:color="auto" w:sz="4" w:space="0"/>
              <w:bottom w:val="single" w:color="auto" w:sz="4" w:space="0"/>
            </w:tcBorders>
            <w:shd w:val="clear" w:color="auto" w:fill="FFFFFF"/>
            <w:vAlign w:val="center"/>
          </w:tcPr>
          <w:p>
            <w:pPr>
              <w:pStyle w:val="10"/>
              <w:spacing w:line="240" w:lineRule="auto"/>
              <w:ind w:firstLine="200"/>
              <w:jc w:val="left"/>
              <w:rPr>
                <w:rFonts w:hint="default"/>
                <w:sz w:val="17"/>
                <w:szCs w:val="17"/>
                <w:lang w:val="en-US" w:eastAsia="zh-CN"/>
              </w:rPr>
            </w:pPr>
            <w:r>
              <w:rPr>
                <w:rFonts w:hint="eastAsia"/>
                <w:sz w:val="17"/>
                <w:szCs w:val="17"/>
                <w:lang w:val="en-US" w:eastAsia="zh-CN"/>
              </w:rPr>
              <w:t>本年支出合计</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
              <w:spacing w:line="240" w:lineRule="auto"/>
              <w:ind w:firstLine="200"/>
              <w:jc w:val="right"/>
              <w:rPr>
                <w:rFonts w:hint="default"/>
                <w:sz w:val="17"/>
                <w:szCs w:val="17"/>
                <w:lang w:val="en-US" w:eastAsia="zh-CN"/>
              </w:rPr>
            </w:pPr>
            <w:r>
              <w:rPr>
                <w:rFonts w:hint="eastAsia"/>
                <w:sz w:val="17"/>
                <w:szCs w:val="17"/>
                <w:lang w:val="en-US" w:eastAsia="zh-CN"/>
              </w:rPr>
              <w:t>147.10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0"/>
              <w:spacing w:line="240" w:lineRule="auto"/>
              <w:ind w:firstLine="200"/>
              <w:jc w:val="left"/>
              <w:rPr>
                <w:rFonts w:hint="default"/>
                <w:sz w:val="17"/>
                <w:szCs w:val="17"/>
                <w:lang w:val="en-US" w:eastAsia="zh-CN"/>
              </w:rPr>
            </w:pPr>
            <w:r>
              <w:rPr>
                <w:rFonts w:hint="eastAsia"/>
                <w:sz w:val="17"/>
                <w:szCs w:val="17"/>
                <w:lang w:val="en-US" w:eastAsia="zh-CN"/>
              </w:rPr>
              <w:t>上年结转结余</w:t>
            </w:r>
          </w:p>
        </w:tc>
        <w:tc>
          <w:tcPr>
            <w:tcW w:w="3830" w:type="dxa"/>
            <w:tcBorders>
              <w:top w:val="single" w:color="auto" w:sz="4" w:space="0"/>
              <w:left w:val="single" w:color="auto" w:sz="4" w:space="0"/>
              <w:bottom w:val="single" w:color="auto" w:sz="4" w:space="0"/>
            </w:tcBorders>
            <w:shd w:val="clear" w:color="auto" w:fill="FFFFFF"/>
            <w:vAlign w:val="center"/>
          </w:tcPr>
          <w:p>
            <w:pPr>
              <w:pStyle w:val="10"/>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10"/>
              <w:spacing w:line="240" w:lineRule="auto"/>
              <w:ind w:firstLine="200"/>
              <w:jc w:val="left"/>
              <w:rPr>
                <w:rFonts w:hint="default"/>
                <w:sz w:val="17"/>
                <w:szCs w:val="17"/>
                <w:lang w:val="en-US" w:eastAsia="zh-CN"/>
              </w:rPr>
            </w:pPr>
            <w:r>
              <w:rPr>
                <w:rFonts w:hint="eastAsia"/>
                <w:sz w:val="17"/>
                <w:szCs w:val="17"/>
                <w:lang w:val="en-US" w:eastAsia="zh-CN"/>
              </w:rPr>
              <w:t>结转下年支出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0"/>
              <w:spacing w:line="240" w:lineRule="auto"/>
              <w:ind w:firstLine="200"/>
              <w:jc w:val="left"/>
              <w:rPr>
                <w:rFonts w:hint="default"/>
                <w:sz w:val="17"/>
                <w:szCs w:val="17"/>
                <w:lang w:val="en-US" w:eastAsia="zh-CN"/>
              </w:rPr>
            </w:pPr>
            <w:r>
              <w:rPr>
                <w:rFonts w:hint="eastAsia"/>
                <w:sz w:val="17"/>
                <w:szCs w:val="17"/>
                <w:lang w:val="en-US" w:eastAsia="zh-CN"/>
              </w:rPr>
              <w:t>收入总计</w:t>
            </w:r>
          </w:p>
        </w:tc>
        <w:tc>
          <w:tcPr>
            <w:tcW w:w="3830" w:type="dxa"/>
            <w:tcBorders>
              <w:top w:val="single" w:color="auto" w:sz="4" w:space="0"/>
              <w:left w:val="single" w:color="auto" w:sz="4" w:space="0"/>
              <w:bottom w:val="single" w:color="auto" w:sz="4" w:space="0"/>
            </w:tcBorders>
            <w:shd w:val="clear" w:color="auto" w:fill="FFFFFF"/>
            <w:vAlign w:val="center"/>
          </w:tcPr>
          <w:p>
            <w:pPr>
              <w:pStyle w:val="10"/>
              <w:spacing w:line="240" w:lineRule="auto"/>
              <w:ind w:firstLine="200"/>
              <w:jc w:val="right"/>
              <w:rPr>
                <w:rFonts w:hint="default"/>
                <w:sz w:val="17"/>
                <w:szCs w:val="17"/>
                <w:lang w:val="en-US" w:eastAsia="zh-CN"/>
              </w:rPr>
            </w:pPr>
            <w:r>
              <w:rPr>
                <w:rFonts w:hint="eastAsia"/>
                <w:sz w:val="17"/>
                <w:szCs w:val="17"/>
                <w:lang w:val="en-US" w:eastAsia="zh-CN"/>
              </w:rPr>
              <w:t>147.10</w:t>
            </w:r>
          </w:p>
        </w:tc>
        <w:tc>
          <w:tcPr>
            <w:tcW w:w="3826" w:type="dxa"/>
            <w:tcBorders>
              <w:top w:val="single" w:color="auto" w:sz="4" w:space="0"/>
              <w:left w:val="single" w:color="auto" w:sz="4" w:space="0"/>
              <w:bottom w:val="single" w:color="auto" w:sz="4" w:space="0"/>
            </w:tcBorders>
            <w:shd w:val="clear" w:color="auto" w:fill="FFFFFF"/>
            <w:vAlign w:val="center"/>
          </w:tcPr>
          <w:p>
            <w:pPr>
              <w:pStyle w:val="10"/>
              <w:spacing w:line="240" w:lineRule="auto"/>
              <w:ind w:firstLine="200"/>
              <w:jc w:val="left"/>
              <w:rPr>
                <w:rFonts w:hint="default"/>
                <w:sz w:val="17"/>
                <w:szCs w:val="17"/>
                <w:lang w:val="en-US" w:eastAsia="zh-CN"/>
              </w:rPr>
            </w:pPr>
            <w:r>
              <w:rPr>
                <w:rFonts w:hint="eastAsia"/>
                <w:sz w:val="17"/>
                <w:szCs w:val="17"/>
                <w:lang w:val="en-US" w:eastAsia="zh-CN"/>
              </w:rPr>
              <w:t>支出总计</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
              <w:spacing w:line="240" w:lineRule="auto"/>
              <w:ind w:firstLine="200"/>
              <w:jc w:val="right"/>
              <w:rPr>
                <w:rFonts w:hint="default"/>
                <w:sz w:val="17"/>
                <w:szCs w:val="17"/>
                <w:lang w:val="en-US" w:eastAsia="zh-CN"/>
              </w:rPr>
            </w:pPr>
            <w:r>
              <w:rPr>
                <w:rFonts w:hint="eastAsia"/>
                <w:sz w:val="17"/>
                <w:szCs w:val="17"/>
                <w:lang w:val="en-US" w:eastAsia="zh-CN"/>
              </w:rPr>
              <w:t>147.10</w:t>
            </w:r>
          </w:p>
        </w:tc>
      </w:tr>
      <w:tr>
        <w:tblPrEx>
          <w:tblCellMar>
            <w:top w:w="0" w:type="dxa"/>
            <w:left w:w="10" w:type="dxa"/>
            <w:bottom w:w="0" w:type="dxa"/>
            <w:right w:w="10" w:type="dxa"/>
          </w:tblCellMar>
        </w:tblPrEx>
        <w:trPr>
          <w:trHeight w:val="352" w:hRule="exact"/>
        </w:trPr>
        <w:tc>
          <w:tcPr>
            <w:tcW w:w="15342" w:type="dxa"/>
            <w:gridSpan w:val="6"/>
            <w:tcBorders>
              <w:top w:val="single" w:color="auto" w:sz="4" w:space="0"/>
            </w:tcBorders>
            <w:shd w:val="clear" w:color="auto" w:fill="FFFFFF"/>
          </w:tcPr>
          <w:p>
            <w:pPr>
              <w:jc w:val="left"/>
              <w:rPr>
                <w:sz w:val="10"/>
                <w:szCs w:val="10"/>
                <w:lang w:eastAsia="zh-CN"/>
              </w:rPr>
            </w:pPr>
            <w:r>
              <w:rPr>
                <w:sz w:val="17"/>
                <w:szCs w:val="17"/>
              </w:rPr>
              <w:t>注：表中功能分类科目，根据各部门实际预算编制情况编列。</w:t>
            </w:r>
          </w:p>
        </w:tc>
      </w:tr>
      <w:tr>
        <w:tblPrEx>
          <w:tblCellMar>
            <w:top w:w="0" w:type="dxa"/>
            <w:left w:w="10" w:type="dxa"/>
            <w:bottom w:w="0" w:type="dxa"/>
            <w:right w:w="10" w:type="dxa"/>
          </w:tblCellMar>
        </w:tblPrEx>
        <w:trPr>
          <w:trHeight w:val="274" w:hRule="exact"/>
        </w:trPr>
        <w:tc>
          <w:tcPr>
            <w:tcW w:w="15342" w:type="dxa"/>
            <w:gridSpan w:val="6"/>
            <w:shd w:val="clear" w:color="auto" w:fill="FFFFFF"/>
            <w:vAlign w:val="bottom"/>
          </w:tcPr>
          <w:p>
            <w:pPr>
              <w:jc w:val="left"/>
              <w:rPr>
                <w:sz w:val="10"/>
                <w:szCs w:val="10"/>
                <w:lang w:eastAsia="zh-CN"/>
              </w:rPr>
            </w:pPr>
            <w:r>
              <w:rPr>
                <w:sz w:val="17"/>
                <w:szCs w:val="17"/>
              </w:rPr>
              <w:t>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一般公共预算支出情况表</w:t>
      </w:r>
    </w:p>
    <w:p>
      <w:pPr>
        <w:jc w:val="center"/>
        <w:rPr>
          <w:rFonts w:hint="eastAsia"/>
          <w:lang w:eastAsia="zh-CN"/>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5"/>
        <w:gridCol w:w="1602"/>
        <w:gridCol w:w="1576"/>
        <w:gridCol w:w="1744"/>
        <w:gridCol w:w="2050"/>
        <w:gridCol w:w="1804"/>
        <w:gridCol w:w="1706"/>
        <w:gridCol w:w="71"/>
        <w:gridCol w:w="1677"/>
        <w:gridCol w:w="1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96" w:type="dxa"/>
            <w:gridSpan w:val="7"/>
            <w:tcBorders>
              <w:top w:val="nil"/>
              <w:left w:val="nil"/>
              <w:right w:val="nil"/>
            </w:tcBorders>
          </w:tcPr>
          <w:p>
            <w:pPr>
              <w:jc w:val="left"/>
              <w:rPr>
                <w:rFonts w:hint="eastAsia"/>
                <w:vertAlign w:val="baseline"/>
                <w:lang w:eastAsia="zh-CN"/>
              </w:rPr>
            </w:pPr>
            <w:r>
              <w:rPr>
                <w:rFonts w:hint="eastAsia" w:ascii="宋体" w:hAnsi="宋体" w:eastAsia="宋体" w:cs="宋体"/>
                <w:sz w:val="16"/>
                <w:szCs w:val="16"/>
                <w:vertAlign w:val="baseline"/>
                <w:lang w:eastAsia="zh-CN"/>
              </w:rPr>
              <w:t>单位名称：</w:t>
            </w:r>
            <w:r>
              <w:rPr>
                <w:rFonts w:ascii="宋体" w:hAnsi="宋体" w:eastAsia="宋体" w:cs="宋体"/>
                <w:sz w:val="16"/>
                <w:u w:color="auto"/>
              </w:rPr>
              <w:t xml:space="preserve">环江毛南族自治县川山镇计生所                                                            </w:t>
            </w:r>
            <w:r>
              <w:rPr>
                <w:rFonts w:hint="eastAsia" w:ascii="宋体" w:hAnsi="宋体" w:eastAsia="宋体" w:cs="宋体"/>
                <w:sz w:val="16"/>
                <w:szCs w:val="16"/>
                <w:vertAlign w:val="baseline"/>
                <w:lang w:val="en-US" w:eastAsia="zh-CN"/>
              </w:rPr>
              <w:t xml:space="preserve">                    </w:t>
            </w:r>
            <w:r>
              <w:rPr>
                <w:rFonts w:hint="eastAsia" w:ascii="宋体" w:hAnsi="宋体" w:eastAsia="宋体" w:cs="宋体"/>
                <w:sz w:val="16"/>
                <w:szCs w:val="16"/>
                <w:vertAlign w:val="baseline"/>
                <w:lang w:eastAsia="zh-CN"/>
              </w:rPr>
              <w:t xml:space="preserve">                                                                  </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hint="eastAsia" w:ascii="宋体" w:hAnsi="宋体" w:eastAsia="宋体" w:cs="宋体"/>
                <w:sz w:val="16"/>
                <w:szCs w:val="16"/>
                <w:vertAlign w:val="baseline"/>
                <w:lang w:eastAsia="zh-CN"/>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Merge w:val="restart"/>
          </w:tcPr>
          <w:p>
            <w:pPr>
              <w:jc w:val="center"/>
              <w:rPr>
                <w:rFonts w:hint="eastAsia"/>
                <w:vertAlign w:val="baseline"/>
                <w:lang w:eastAsia="zh-CN"/>
              </w:rPr>
            </w:pPr>
            <w:r>
              <w:rPr>
                <w:sz w:val="17"/>
                <w:szCs w:val="17"/>
              </w:rPr>
              <w:t>科目编码</w:t>
            </w:r>
          </w:p>
        </w:tc>
        <w:tc>
          <w:tcPr>
            <w:tcW w:w="1676" w:type="dxa"/>
            <w:vMerge w:val="restart"/>
          </w:tcPr>
          <w:p>
            <w:pPr>
              <w:jc w:val="center"/>
              <w:rPr>
                <w:rFonts w:hint="eastAsia"/>
                <w:vertAlign w:val="baseline"/>
                <w:lang w:eastAsia="zh-CN"/>
              </w:rPr>
            </w:pPr>
            <w:r>
              <w:rPr>
                <w:sz w:val="17"/>
                <w:szCs w:val="17"/>
              </w:rPr>
              <w:t>部门（单位）代码</w:t>
            </w:r>
          </w:p>
        </w:tc>
        <w:tc>
          <w:tcPr>
            <w:tcW w:w="1662" w:type="dxa"/>
            <w:vMerge w:val="restart"/>
          </w:tcPr>
          <w:p>
            <w:pPr>
              <w:pStyle w:val="10"/>
              <w:spacing w:after="120" w:line="240" w:lineRule="auto"/>
              <w:ind w:firstLine="0"/>
              <w:jc w:val="center"/>
              <w:rPr>
                <w:sz w:val="17"/>
                <w:szCs w:val="17"/>
              </w:rPr>
            </w:pPr>
            <w:r>
              <w:rPr>
                <w:sz w:val="17"/>
                <w:szCs w:val="17"/>
              </w:rPr>
              <w:t>部门（单位）名称</w:t>
            </w:r>
          </w:p>
          <w:p>
            <w:pPr>
              <w:jc w:val="center"/>
              <w:rPr>
                <w:rFonts w:hint="eastAsia"/>
                <w:vertAlign w:val="baseline"/>
                <w:lang w:eastAsia="zh-CN"/>
              </w:rPr>
            </w:pPr>
            <w:r>
              <w:rPr>
                <w:sz w:val="17"/>
                <w:szCs w:val="17"/>
              </w:rPr>
              <w:t>（功能分类科目名称）</w:t>
            </w:r>
          </w:p>
        </w:tc>
        <w:tc>
          <w:tcPr>
            <w:tcW w:w="1717" w:type="dxa"/>
            <w:vMerge w:val="restart"/>
          </w:tcPr>
          <w:p>
            <w:pPr>
              <w:jc w:val="center"/>
              <w:rPr>
                <w:rFonts w:hint="eastAsia"/>
                <w:vertAlign w:val="baseline"/>
                <w:lang w:eastAsia="zh-CN"/>
              </w:rPr>
            </w:pPr>
            <w:r>
              <w:rPr>
                <w:sz w:val="17"/>
                <w:szCs w:val="17"/>
              </w:rPr>
              <w:t>合计</w:t>
            </w:r>
          </w:p>
        </w:tc>
        <w:tc>
          <w:tcPr>
            <w:tcW w:w="5398" w:type="dxa"/>
            <w:gridSpan w:val="4"/>
          </w:tcPr>
          <w:p>
            <w:pPr>
              <w:jc w:val="center"/>
              <w:rPr>
                <w:rFonts w:hint="eastAsia"/>
                <w:vertAlign w:val="baseline"/>
                <w:lang w:eastAsia="zh-CN"/>
              </w:rPr>
            </w:pPr>
            <w:r>
              <w:rPr>
                <w:sz w:val="17"/>
                <w:szCs w:val="17"/>
              </w:rPr>
              <w:t>基本支出</w:t>
            </w:r>
          </w:p>
        </w:tc>
        <w:tc>
          <w:tcPr>
            <w:tcW w:w="1694" w:type="dxa"/>
            <w:vMerge w:val="restart"/>
          </w:tcPr>
          <w:p>
            <w:pPr>
              <w:jc w:val="center"/>
              <w:rPr>
                <w:rFonts w:hint="eastAsia"/>
                <w:vertAlign w:val="baseline"/>
                <w:lang w:eastAsia="zh-CN"/>
              </w:rPr>
            </w:pPr>
            <w:r>
              <w:rPr>
                <w:sz w:val="17"/>
                <w:szCs w:val="17"/>
              </w:rPr>
              <w:t>项目支出</w:t>
            </w:r>
          </w:p>
        </w:tc>
        <w:tc>
          <w:tcPr>
            <w:tcW w:w="1695" w:type="dxa"/>
            <w:vMerge w:val="restart"/>
          </w:tcPr>
          <w:p>
            <w:pPr>
              <w:jc w:val="center"/>
              <w:rPr>
                <w:rFonts w:hint="eastAsia"/>
                <w:vertAlign w:val="baseline"/>
                <w:lang w:eastAsia="zh-CN"/>
              </w:rPr>
            </w:pPr>
            <w:r>
              <w:rPr>
                <w:sz w:val="17"/>
                <w:szCs w:val="17"/>
              </w:rPr>
              <w:t>结转下年支出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Merge w:val="continue"/>
          </w:tcPr>
          <w:p>
            <w:pPr>
              <w:jc w:val="center"/>
              <w:rPr>
                <w:rFonts w:hint="eastAsia"/>
                <w:vertAlign w:val="baseline"/>
                <w:lang w:eastAsia="zh-CN"/>
              </w:rPr>
            </w:pPr>
          </w:p>
        </w:tc>
        <w:tc>
          <w:tcPr>
            <w:tcW w:w="1676" w:type="dxa"/>
            <w:vMerge w:val="continue"/>
          </w:tcPr>
          <w:p>
            <w:pPr>
              <w:jc w:val="center"/>
              <w:rPr>
                <w:rFonts w:hint="eastAsia"/>
                <w:vertAlign w:val="baseline"/>
                <w:lang w:eastAsia="zh-CN"/>
              </w:rPr>
            </w:pPr>
          </w:p>
        </w:tc>
        <w:tc>
          <w:tcPr>
            <w:tcW w:w="1662" w:type="dxa"/>
            <w:vMerge w:val="continue"/>
          </w:tcPr>
          <w:p>
            <w:pPr>
              <w:jc w:val="center"/>
              <w:rPr>
                <w:rFonts w:hint="eastAsia"/>
                <w:vertAlign w:val="baseline"/>
                <w:lang w:eastAsia="zh-CN"/>
              </w:rPr>
            </w:pPr>
          </w:p>
        </w:tc>
        <w:tc>
          <w:tcPr>
            <w:tcW w:w="1717" w:type="dxa"/>
            <w:vMerge w:val="continue"/>
          </w:tcPr>
          <w:p>
            <w:pPr>
              <w:jc w:val="center"/>
              <w:rPr>
                <w:rFonts w:hint="eastAsia"/>
                <w:vertAlign w:val="baseline"/>
                <w:lang w:eastAsia="zh-CN"/>
              </w:rPr>
            </w:pPr>
          </w:p>
        </w:tc>
        <w:tc>
          <w:tcPr>
            <w:tcW w:w="1879" w:type="dxa"/>
            <w:vAlign w:val="center"/>
          </w:tcPr>
          <w:p>
            <w:pPr>
              <w:pStyle w:val="10"/>
              <w:spacing w:line="240" w:lineRule="auto"/>
              <w:ind w:firstLine="0" w:firstLineChars="0"/>
              <w:jc w:val="center"/>
              <w:rPr>
                <w:rFonts w:hint="eastAsia"/>
                <w:vertAlign w:val="baseline"/>
                <w:lang w:eastAsia="zh-CN"/>
              </w:rPr>
            </w:pPr>
            <w:r>
              <w:rPr>
                <w:sz w:val="17"/>
                <w:szCs w:val="17"/>
              </w:rPr>
              <w:t>小计</w:t>
            </w:r>
          </w:p>
        </w:tc>
        <w:tc>
          <w:tcPr>
            <w:tcW w:w="1729" w:type="dxa"/>
            <w:vAlign w:val="center"/>
          </w:tcPr>
          <w:p>
            <w:pPr>
              <w:pStyle w:val="10"/>
              <w:spacing w:line="240" w:lineRule="auto"/>
              <w:ind w:firstLine="0" w:firstLineChars="0"/>
              <w:jc w:val="center"/>
              <w:rPr>
                <w:rFonts w:hint="eastAsia"/>
                <w:vertAlign w:val="baseline"/>
                <w:lang w:eastAsia="zh-CN"/>
              </w:rPr>
            </w:pPr>
            <w:r>
              <w:rPr>
                <w:sz w:val="17"/>
                <w:szCs w:val="17"/>
              </w:rPr>
              <w:t>人员经费</w:t>
            </w:r>
          </w:p>
        </w:tc>
        <w:tc>
          <w:tcPr>
            <w:tcW w:w="1790" w:type="dxa"/>
            <w:gridSpan w:val="2"/>
            <w:vAlign w:val="center"/>
          </w:tcPr>
          <w:p>
            <w:pPr>
              <w:pStyle w:val="10"/>
              <w:spacing w:line="240" w:lineRule="auto"/>
              <w:ind w:firstLine="440" w:firstLineChars="0"/>
              <w:jc w:val="center"/>
              <w:rPr>
                <w:rFonts w:hint="eastAsia"/>
                <w:vertAlign w:val="baseline"/>
                <w:lang w:eastAsia="zh-CN"/>
              </w:rPr>
            </w:pPr>
            <w:r>
              <w:rPr>
                <w:sz w:val="17"/>
                <w:szCs w:val="17"/>
              </w:rPr>
              <w:t>公用经费</w:t>
            </w:r>
          </w:p>
        </w:tc>
        <w:tc>
          <w:tcPr>
            <w:tcW w:w="1694" w:type="dxa"/>
            <w:vMerge w:val="continue"/>
          </w:tcPr>
          <w:p>
            <w:pPr>
              <w:jc w:val="center"/>
              <w:rPr>
                <w:rFonts w:hint="eastAsia"/>
                <w:vertAlign w:val="baseline"/>
                <w:lang w:eastAsia="zh-CN"/>
              </w:rPr>
            </w:pPr>
          </w:p>
        </w:tc>
        <w:tc>
          <w:tcPr>
            <w:tcW w:w="1695" w:type="dxa"/>
            <w:vMerge w:val="continue"/>
          </w:tcPr>
          <w:p>
            <w:pPr>
              <w:jc w:val="center"/>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10"/>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1</w:t>
            </w:r>
          </w:p>
        </w:tc>
        <w:tc>
          <w:tcPr>
            <w:tcW w:w="1879" w:type="dxa"/>
            <w:vAlign w:val="center"/>
          </w:tcPr>
          <w:p>
            <w:pPr>
              <w:pStyle w:val="10"/>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2</w:t>
            </w:r>
          </w:p>
        </w:tc>
        <w:tc>
          <w:tcPr>
            <w:tcW w:w="1729" w:type="dxa"/>
            <w:vAlign w:val="center"/>
          </w:tcPr>
          <w:p>
            <w:pPr>
              <w:pStyle w:val="10"/>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3</w:t>
            </w:r>
          </w:p>
        </w:tc>
        <w:tc>
          <w:tcPr>
            <w:tcW w:w="1790" w:type="dxa"/>
            <w:gridSpan w:val="2"/>
            <w:vAlign w:val="center"/>
          </w:tcPr>
          <w:p>
            <w:pPr>
              <w:pStyle w:val="10"/>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4</w:t>
            </w:r>
          </w:p>
        </w:tc>
        <w:tc>
          <w:tcPr>
            <w:tcW w:w="1694" w:type="dxa"/>
            <w:vAlign w:val="center"/>
          </w:tcPr>
          <w:p>
            <w:pPr>
              <w:pStyle w:val="10"/>
              <w:spacing w:line="240" w:lineRule="auto"/>
              <w:ind w:firstLine="660" w:firstLineChars="0"/>
              <w:jc w:val="center"/>
              <w:rPr>
                <w:rFonts w:hint="eastAsia"/>
                <w:vertAlign w:val="baseline"/>
                <w:lang w:eastAsia="zh-CN"/>
              </w:rPr>
            </w:pPr>
            <w:r>
              <w:rPr>
                <w:rFonts w:ascii="Times New Roman" w:hAnsi="Times New Roman" w:eastAsia="Times New Roman" w:cs="Times New Roman"/>
                <w:b/>
                <w:bCs/>
                <w:sz w:val="17"/>
                <w:szCs w:val="17"/>
              </w:rPr>
              <w:t>5</w:t>
            </w:r>
          </w:p>
        </w:tc>
        <w:tc>
          <w:tcPr>
            <w:tcW w:w="1695" w:type="dxa"/>
            <w:vAlign w:val="center"/>
          </w:tcPr>
          <w:p>
            <w:pPr>
              <w:pStyle w:val="10"/>
              <w:spacing w:line="240" w:lineRule="auto"/>
              <w:ind w:right="700" w:rightChars="0" w:firstLine="0" w:firstLineChars="0"/>
              <w:jc w:val="center"/>
              <w:rPr>
                <w:rFonts w:hint="eastAsia"/>
                <w:vertAlign w:val="baseline"/>
                <w:lang w:eastAsia="zh-CN"/>
              </w:rPr>
            </w:pPr>
            <w:r>
              <w:rPr>
                <w:rFonts w:ascii="Times New Roman" w:hAnsi="Times New Roman" w:eastAsia="Times New Roman" w:cs="Times New Roman"/>
                <w:b/>
                <w:bCs/>
                <w:sz w:val="17"/>
                <w:szCs w:val="17"/>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10"/>
              <w:spacing w:line="240" w:lineRule="auto"/>
              <w:ind w:firstLine="0" w:firstLineChars="0"/>
              <w:jc w:val="center"/>
              <w:rPr>
                <w:rFonts w:hint="eastAsia"/>
                <w:vertAlign w:val="baseline"/>
                <w:lang w:eastAsia="zh-CN"/>
              </w:rPr>
            </w:pPr>
          </w:p>
        </w:tc>
        <w:tc>
          <w:tcPr>
            <w:tcW w:w="1676" w:type="dxa"/>
            <w:vAlign w:val="center"/>
          </w:tcPr>
          <w:p>
            <w:pPr>
              <w:pStyle w:val="10"/>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705003</w:t>
            </w:r>
          </w:p>
        </w:tc>
        <w:tc>
          <w:tcPr>
            <w:tcW w:w="1662" w:type="dxa"/>
            <w:vAlign w:val="center"/>
          </w:tcPr>
          <w:p>
            <w:pPr>
              <w:pStyle w:val="10"/>
              <w:spacing w:line="240" w:lineRule="auto"/>
              <w:ind w:firstLine="0" w:firstLineChars="0"/>
              <w:jc w:val="center"/>
              <w:rPr>
                <w:rFonts w:hint="eastAsia"/>
                <w:vertAlign w:val="baseline"/>
                <w:lang w:eastAsia="zh-CN"/>
              </w:rPr>
            </w:pPr>
          </w:p>
        </w:tc>
        <w:tc>
          <w:tcPr>
            <w:tcW w:w="1717" w:type="dxa"/>
            <w:vAlign w:val="center"/>
          </w:tcPr>
          <w:p>
            <w:pPr>
              <w:pStyle w:val="10"/>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147.10</w:t>
            </w:r>
          </w:p>
        </w:tc>
        <w:tc>
          <w:tcPr>
            <w:tcW w:w="1879" w:type="dxa"/>
            <w:vAlign w:val="center"/>
          </w:tcPr>
          <w:p>
            <w:pPr>
              <w:pStyle w:val="10"/>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147.10</w:t>
            </w:r>
          </w:p>
        </w:tc>
        <w:tc>
          <w:tcPr>
            <w:tcW w:w="1729" w:type="dxa"/>
            <w:vAlign w:val="center"/>
          </w:tcPr>
          <w:p>
            <w:pPr>
              <w:pStyle w:val="10"/>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141.87</w:t>
            </w:r>
          </w:p>
        </w:tc>
        <w:tc>
          <w:tcPr>
            <w:tcW w:w="1790" w:type="dxa"/>
            <w:gridSpan w:val="2"/>
            <w:vAlign w:val="center"/>
          </w:tcPr>
          <w:p>
            <w:pPr>
              <w:pStyle w:val="10"/>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5.23</w:t>
            </w:r>
          </w:p>
        </w:tc>
        <w:tc>
          <w:tcPr>
            <w:tcW w:w="1694" w:type="dxa"/>
            <w:vAlign w:val="center"/>
          </w:tcPr>
          <w:p>
            <w:pPr>
              <w:pStyle w:val="10"/>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10"/>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10"/>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2012999</w:t>
            </w:r>
          </w:p>
        </w:tc>
        <w:tc>
          <w:tcPr>
            <w:tcW w:w="1676" w:type="dxa"/>
            <w:vAlign w:val="center"/>
          </w:tcPr>
          <w:p>
            <w:pPr>
              <w:pStyle w:val="10"/>
              <w:spacing w:line="240" w:lineRule="auto"/>
              <w:ind w:firstLine="0" w:firstLineChars="0"/>
              <w:jc w:val="center"/>
              <w:rPr>
                <w:rFonts w:hint="eastAsia"/>
                <w:vertAlign w:val="baseline"/>
                <w:lang w:eastAsia="zh-CN"/>
              </w:rPr>
            </w:pPr>
          </w:p>
        </w:tc>
        <w:tc>
          <w:tcPr>
            <w:tcW w:w="1662" w:type="dxa"/>
            <w:vAlign w:val="center"/>
          </w:tcPr>
          <w:p>
            <w:pPr>
              <w:pStyle w:val="10"/>
              <w:spacing w:line="240" w:lineRule="auto"/>
              <w:ind w:firstLine="0" w:firstLineChars="0"/>
              <w:jc w:val="center"/>
              <w:rPr>
                <w:rFonts w:hint="eastAsia"/>
                <w:vertAlign w:val="baseline"/>
                <w:lang w:eastAsia="zh-CN"/>
              </w:rPr>
            </w:pPr>
            <w:r>
              <w:rPr>
                <w:rFonts w:hint="eastAsia"/>
                <w:sz w:val="17"/>
                <w:szCs w:val="17"/>
                <w:lang w:val="en-US" w:eastAsia="zh-CN"/>
              </w:rPr>
              <w:t>其他群众团体事务支出</w:t>
            </w:r>
          </w:p>
        </w:tc>
        <w:tc>
          <w:tcPr>
            <w:tcW w:w="1717" w:type="dxa"/>
            <w:vAlign w:val="center"/>
          </w:tcPr>
          <w:p>
            <w:pPr>
              <w:pStyle w:val="10"/>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1.40</w:t>
            </w:r>
          </w:p>
        </w:tc>
        <w:tc>
          <w:tcPr>
            <w:tcW w:w="1879" w:type="dxa"/>
            <w:vAlign w:val="center"/>
          </w:tcPr>
          <w:p>
            <w:pPr>
              <w:pStyle w:val="10"/>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1.40</w:t>
            </w:r>
          </w:p>
        </w:tc>
        <w:tc>
          <w:tcPr>
            <w:tcW w:w="1729" w:type="dxa"/>
            <w:vAlign w:val="center"/>
          </w:tcPr>
          <w:p>
            <w:pPr>
              <w:pStyle w:val="10"/>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790" w:type="dxa"/>
            <w:gridSpan w:val="2"/>
            <w:vAlign w:val="center"/>
          </w:tcPr>
          <w:p>
            <w:pPr>
              <w:pStyle w:val="10"/>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1.40</w:t>
            </w:r>
          </w:p>
        </w:tc>
        <w:tc>
          <w:tcPr>
            <w:tcW w:w="1694" w:type="dxa"/>
            <w:vAlign w:val="center"/>
          </w:tcPr>
          <w:p>
            <w:pPr>
              <w:pStyle w:val="10"/>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10"/>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10"/>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2080505</w:t>
            </w:r>
          </w:p>
        </w:tc>
        <w:tc>
          <w:tcPr>
            <w:tcW w:w="1676" w:type="dxa"/>
            <w:vAlign w:val="center"/>
          </w:tcPr>
          <w:p>
            <w:pPr>
              <w:pStyle w:val="10"/>
              <w:spacing w:line="240" w:lineRule="auto"/>
              <w:ind w:firstLine="0" w:firstLineChars="0"/>
              <w:jc w:val="center"/>
              <w:rPr>
                <w:rFonts w:hint="eastAsia"/>
                <w:vertAlign w:val="baseline"/>
                <w:lang w:eastAsia="zh-CN"/>
              </w:rPr>
            </w:pPr>
          </w:p>
        </w:tc>
        <w:tc>
          <w:tcPr>
            <w:tcW w:w="1662" w:type="dxa"/>
            <w:vAlign w:val="center"/>
          </w:tcPr>
          <w:p>
            <w:pPr>
              <w:pStyle w:val="10"/>
              <w:spacing w:line="240" w:lineRule="auto"/>
              <w:ind w:firstLine="0" w:firstLineChars="0"/>
              <w:jc w:val="center"/>
              <w:rPr>
                <w:rFonts w:hint="eastAsia"/>
                <w:vertAlign w:val="baseline"/>
                <w:lang w:eastAsia="zh-CN"/>
              </w:rPr>
            </w:pPr>
            <w:r>
              <w:rPr>
                <w:rFonts w:hint="eastAsia"/>
                <w:sz w:val="17"/>
                <w:szCs w:val="17"/>
                <w:lang w:val="en-US" w:eastAsia="zh-CN"/>
              </w:rPr>
              <w:t>机关事业单位基本养老保险缴费支出</w:t>
            </w:r>
          </w:p>
        </w:tc>
        <w:tc>
          <w:tcPr>
            <w:tcW w:w="1717" w:type="dxa"/>
            <w:vAlign w:val="center"/>
          </w:tcPr>
          <w:p>
            <w:pPr>
              <w:pStyle w:val="10"/>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17.01</w:t>
            </w:r>
          </w:p>
        </w:tc>
        <w:tc>
          <w:tcPr>
            <w:tcW w:w="1879" w:type="dxa"/>
            <w:vAlign w:val="center"/>
          </w:tcPr>
          <w:p>
            <w:pPr>
              <w:pStyle w:val="10"/>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17.01</w:t>
            </w:r>
          </w:p>
        </w:tc>
        <w:tc>
          <w:tcPr>
            <w:tcW w:w="1729" w:type="dxa"/>
            <w:vAlign w:val="center"/>
          </w:tcPr>
          <w:p>
            <w:pPr>
              <w:pStyle w:val="10"/>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17.01</w:t>
            </w:r>
          </w:p>
        </w:tc>
        <w:tc>
          <w:tcPr>
            <w:tcW w:w="1790" w:type="dxa"/>
            <w:gridSpan w:val="2"/>
            <w:vAlign w:val="center"/>
          </w:tcPr>
          <w:p>
            <w:pPr>
              <w:pStyle w:val="10"/>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10"/>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10"/>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10"/>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2100716</w:t>
            </w:r>
          </w:p>
        </w:tc>
        <w:tc>
          <w:tcPr>
            <w:tcW w:w="1676" w:type="dxa"/>
            <w:vAlign w:val="center"/>
          </w:tcPr>
          <w:p>
            <w:pPr>
              <w:pStyle w:val="10"/>
              <w:spacing w:line="240" w:lineRule="auto"/>
              <w:ind w:firstLine="0" w:firstLineChars="0"/>
              <w:jc w:val="center"/>
              <w:rPr>
                <w:rFonts w:hint="eastAsia"/>
                <w:vertAlign w:val="baseline"/>
                <w:lang w:eastAsia="zh-CN"/>
              </w:rPr>
            </w:pPr>
          </w:p>
        </w:tc>
        <w:tc>
          <w:tcPr>
            <w:tcW w:w="1662" w:type="dxa"/>
            <w:vAlign w:val="center"/>
          </w:tcPr>
          <w:p>
            <w:pPr>
              <w:pStyle w:val="10"/>
              <w:spacing w:line="240" w:lineRule="auto"/>
              <w:ind w:firstLine="0" w:firstLineChars="0"/>
              <w:jc w:val="center"/>
              <w:rPr>
                <w:rFonts w:hint="eastAsia"/>
                <w:vertAlign w:val="baseline"/>
                <w:lang w:eastAsia="zh-CN"/>
              </w:rPr>
            </w:pPr>
            <w:r>
              <w:rPr>
                <w:rFonts w:hint="eastAsia"/>
                <w:sz w:val="17"/>
                <w:szCs w:val="17"/>
                <w:lang w:val="en-US" w:eastAsia="zh-CN"/>
              </w:rPr>
              <w:t>计划生育机构</w:t>
            </w:r>
          </w:p>
        </w:tc>
        <w:tc>
          <w:tcPr>
            <w:tcW w:w="1717" w:type="dxa"/>
            <w:vAlign w:val="center"/>
          </w:tcPr>
          <w:p>
            <w:pPr>
              <w:pStyle w:val="10"/>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113.86</w:t>
            </w:r>
          </w:p>
        </w:tc>
        <w:tc>
          <w:tcPr>
            <w:tcW w:w="1879" w:type="dxa"/>
            <w:vAlign w:val="center"/>
          </w:tcPr>
          <w:p>
            <w:pPr>
              <w:pStyle w:val="10"/>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113.86</w:t>
            </w:r>
          </w:p>
        </w:tc>
        <w:tc>
          <w:tcPr>
            <w:tcW w:w="1729" w:type="dxa"/>
            <w:vAlign w:val="center"/>
          </w:tcPr>
          <w:p>
            <w:pPr>
              <w:pStyle w:val="10"/>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110.03</w:t>
            </w:r>
          </w:p>
        </w:tc>
        <w:tc>
          <w:tcPr>
            <w:tcW w:w="1790" w:type="dxa"/>
            <w:gridSpan w:val="2"/>
            <w:vAlign w:val="center"/>
          </w:tcPr>
          <w:p>
            <w:pPr>
              <w:pStyle w:val="10"/>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3.83</w:t>
            </w:r>
          </w:p>
        </w:tc>
        <w:tc>
          <w:tcPr>
            <w:tcW w:w="1694" w:type="dxa"/>
            <w:vAlign w:val="center"/>
          </w:tcPr>
          <w:p>
            <w:pPr>
              <w:pStyle w:val="10"/>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10"/>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10"/>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2210201</w:t>
            </w:r>
          </w:p>
        </w:tc>
        <w:tc>
          <w:tcPr>
            <w:tcW w:w="1676" w:type="dxa"/>
            <w:vAlign w:val="center"/>
          </w:tcPr>
          <w:p>
            <w:pPr>
              <w:pStyle w:val="10"/>
              <w:spacing w:line="240" w:lineRule="auto"/>
              <w:ind w:firstLine="0" w:firstLineChars="0"/>
              <w:jc w:val="center"/>
              <w:rPr>
                <w:rFonts w:hint="eastAsia"/>
                <w:vertAlign w:val="baseline"/>
                <w:lang w:eastAsia="zh-CN"/>
              </w:rPr>
            </w:pPr>
          </w:p>
        </w:tc>
        <w:tc>
          <w:tcPr>
            <w:tcW w:w="1662" w:type="dxa"/>
            <w:vAlign w:val="center"/>
          </w:tcPr>
          <w:p>
            <w:pPr>
              <w:pStyle w:val="10"/>
              <w:spacing w:line="240" w:lineRule="auto"/>
              <w:ind w:firstLine="0" w:firstLineChars="0"/>
              <w:jc w:val="center"/>
              <w:rPr>
                <w:rFonts w:hint="eastAsia"/>
                <w:vertAlign w:val="baseline"/>
                <w:lang w:eastAsia="zh-CN"/>
              </w:rPr>
            </w:pPr>
            <w:r>
              <w:rPr>
                <w:rFonts w:hint="eastAsia"/>
                <w:sz w:val="17"/>
                <w:szCs w:val="17"/>
                <w:lang w:val="en-US" w:eastAsia="zh-CN"/>
              </w:rPr>
              <w:t>住房公积金</w:t>
            </w:r>
          </w:p>
        </w:tc>
        <w:tc>
          <w:tcPr>
            <w:tcW w:w="1717" w:type="dxa"/>
            <w:vAlign w:val="center"/>
          </w:tcPr>
          <w:p>
            <w:pPr>
              <w:pStyle w:val="10"/>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14.83</w:t>
            </w:r>
          </w:p>
        </w:tc>
        <w:tc>
          <w:tcPr>
            <w:tcW w:w="1879" w:type="dxa"/>
            <w:vAlign w:val="center"/>
          </w:tcPr>
          <w:p>
            <w:pPr>
              <w:pStyle w:val="10"/>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14.83</w:t>
            </w:r>
          </w:p>
        </w:tc>
        <w:tc>
          <w:tcPr>
            <w:tcW w:w="1729" w:type="dxa"/>
            <w:vAlign w:val="center"/>
          </w:tcPr>
          <w:p>
            <w:pPr>
              <w:pStyle w:val="10"/>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14.83</w:t>
            </w:r>
          </w:p>
        </w:tc>
        <w:tc>
          <w:tcPr>
            <w:tcW w:w="1790" w:type="dxa"/>
            <w:gridSpan w:val="2"/>
            <w:vAlign w:val="center"/>
          </w:tcPr>
          <w:p>
            <w:pPr>
              <w:pStyle w:val="10"/>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10"/>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10"/>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10"/>
            <w:tcBorders>
              <w:left w:val="nil"/>
              <w:bottom w:val="nil"/>
              <w:right w:val="nil"/>
            </w:tcBorders>
          </w:tcPr>
          <w:p>
            <w:pPr>
              <w:jc w:val="left"/>
              <w:rPr>
                <w:rFonts w:hint="eastAsia"/>
                <w:vertAlign w:val="baseline"/>
                <w:lang w:eastAsia="zh-CN"/>
              </w:rPr>
            </w:pPr>
            <w:r>
              <w:rPr>
                <w:sz w:val="16"/>
                <w:szCs w:val="16"/>
              </w:rPr>
              <w:t>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9"/>
        <w:keepNext/>
        <w:keepLines/>
        <w:spacing w:after="240"/>
        <w:jc w:val="center"/>
      </w:pPr>
      <w:bookmarkStart w:id="25" w:name="bookmark58"/>
      <w:bookmarkStart w:id="26" w:name="bookmark57"/>
      <w:bookmarkStart w:id="27" w:name="bookmark56"/>
      <w:r>
        <w:t>一般公共预算基本支出情况表</w:t>
      </w:r>
      <w:bookmarkEnd w:id="25"/>
      <w:bookmarkEnd w:id="26"/>
      <w:bookmarkEnd w:id="27"/>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0"/>
        <w:gridCol w:w="3111"/>
        <w:gridCol w:w="3111"/>
        <w:gridCol w:w="3112"/>
        <w:gridCol w:w="3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44" w:type="dxa"/>
            <w:gridSpan w:val="4"/>
            <w:tcBorders>
              <w:top w:val="nil"/>
              <w:left w:val="nil"/>
              <w:right w:val="nil"/>
            </w:tcBorders>
          </w:tcPr>
          <w:p>
            <w:pPr>
              <w:jc w:val="left"/>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单位名称：</w:t>
            </w:r>
            <w:r>
              <w:rPr>
                <w:rFonts w:ascii="宋体" w:hAnsi="宋体" w:eastAsia="宋体" w:cs="宋体"/>
                <w:sz w:val="16"/>
                <w:u w:color="auto"/>
              </w:rPr>
              <w:t xml:space="preserve">环江毛南族自治县川山镇计生所                                                          </w:t>
            </w:r>
            <w:r>
              <w:rPr>
                <w:rFonts w:hint="eastAsia" w:ascii="宋体" w:hAnsi="宋体" w:eastAsia="宋体" w:cs="宋体"/>
                <w:sz w:val="16"/>
                <w:szCs w:val="16"/>
                <w:vertAlign w:val="baseline"/>
                <w:lang w:val="en-US" w:eastAsia="zh-CN"/>
              </w:rPr>
              <w:t xml:space="preserve">                    </w:t>
            </w:r>
            <w:r>
              <w:rPr>
                <w:rFonts w:hint="eastAsia" w:ascii="宋体" w:hAnsi="宋体" w:eastAsia="宋体" w:cs="宋体"/>
                <w:sz w:val="16"/>
                <w:szCs w:val="16"/>
                <w:vertAlign w:val="baseline"/>
                <w:lang w:eastAsia="zh-CN"/>
              </w:rPr>
              <w:t xml:space="preserve">                                                                    </w:t>
            </w:r>
          </w:p>
        </w:tc>
        <w:tc>
          <w:tcPr>
            <w:tcW w:w="3113" w:type="dxa"/>
            <w:tcBorders>
              <w:top w:val="nil"/>
              <w:left w:val="nil"/>
              <w:right w:val="nil"/>
            </w:tcBorders>
          </w:tcPr>
          <w:p>
            <w:pPr>
              <w:ind w:firstLine="1760" w:firstLineChars="1100"/>
              <w:jc w:val="left"/>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 xml:space="preserve">单位：万元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6221" w:type="dxa"/>
            <w:gridSpan w:val="2"/>
          </w:tcPr>
          <w:p>
            <w:pPr>
              <w:jc w:val="left"/>
              <w:rPr>
                <w:vertAlign w:val="baseline"/>
                <w:lang w:eastAsia="zh-CN"/>
              </w:rPr>
            </w:pPr>
            <w:r>
              <w:rPr>
                <w:sz w:val="17"/>
                <w:szCs w:val="17"/>
              </w:rPr>
              <w:t>部门预算支出经济分类科目</w:t>
            </w:r>
          </w:p>
        </w:tc>
        <w:tc>
          <w:tcPr>
            <w:tcW w:w="9336" w:type="dxa"/>
            <w:gridSpan w:val="3"/>
          </w:tcPr>
          <w:p>
            <w:pPr>
              <w:jc w:val="left"/>
              <w:rPr>
                <w:vertAlign w:val="baseline"/>
                <w:lang w:eastAsia="zh-CN"/>
              </w:rPr>
            </w:pPr>
            <w:r>
              <w:rPr>
                <w:sz w:val="17"/>
                <w:szCs w:val="17"/>
              </w:rPr>
              <w:t>本年一般公共预算基本支出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10" w:type="dxa"/>
            <w:vAlign w:val="center"/>
          </w:tcPr>
          <w:p>
            <w:pPr>
              <w:pStyle w:val="10"/>
              <w:spacing w:line="240" w:lineRule="auto"/>
              <w:ind w:firstLine="0" w:firstLineChars="0"/>
              <w:jc w:val="center"/>
              <w:rPr>
                <w:vertAlign w:val="baseline"/>
                <w:lang w:eastAsia="zh-CN"/>
              </w:rPr>
            </w:pPr>
            <w:r>
              <w:rPr>
                <w:sz w:val="17"/>
                <w:szCs w:val="17"/>
              </w:rPr>
              <w:t>科目编码</w:t>
            </w:r>
          </w:p>
        </w:tc>
        <w:tc>
          <w:tcPr>
            <w:tcW w:w="3111" w:type="dxa"/>
            <w:vAlign w:val="center"/>
          </w:tcPr>
          <w:p>
            <w:pPr>
              <w:pStyle w:val="10"/>
              <w:spacing w:line="240" w:lineRule="auto"/>
              <w:ind w:firstLine="0" w:firstLineChars="0"/>
              <w:jc w:val="center"/>
              <w:rPr>
                <w:vertAlign w:val="baseline"/>
                <w:lang w:eastAsia="zh-CN"/>
              </w:rPr>
            </w:pPr>
            <w:r>
              <w:rPr>
                <w:sz w:val="17"/>
                <w:szCs w:val="17"/>
              </w:rPr>
              <w:t>科目名称</w:t>
            </w:r>
          </w:p>
        </w:tc>
        <w:tc>
          <w:tcPr>
            <w:tcW w:w="3111" w:type="dxa"/>
            <w:vAlign w:val="center"/>
          </w:tcPr>
          <w:p>
            <w:pPr>
              <w:pStyle w:val="10"/>
              <w:spacing w:line="240" w:lineRule="auto"/>
              <w:ind w:firstLine="0" w:firstLineChars="0"/>
              <w:jc w:val="center"/>
              <w:rPr>
                <w:vertAlign w:val="baseline"/>
                <w:lang w:eastAsia="zh-CN"/>
              </w:rPr>
            </w:pPr>
            <w:r>
              <w:rPr>
                <w:sz w:val="17"/>
                <w:szCs w:val="17"/>
              </w:rPr>
              <w:t>合计</w:t>
            </w:r>
          </w:p>
        </w:tc>
        <w:tc>
          <w:tcPr>
            <w:tcW w:w="3112" w:type="dxa"/>
            <w:vAlign w:val="center"/>
          </w:tcPr>
          <w:p>
            <w:pPr>
              <w:pStyle w:val="10"/>
              <w:spacing w:line="240" w:lineRule="auto"/>
              <w:ind w:firstLine="0" w:firstLineChars="0"/>
              <w:jc w:val="center"/>
              <w:rPr>
                <w:vertAlign w:val="baseline"/>
                <w:lang w:eastAsia="zh-CN"/>
              </w:rPr>
            </w:pPr>
            <w:r>
              <w:rPr>
                <w:sz w:val="17"/>
                <w:szCs w:val="17"/>
              </w:rPr>
              <w:t>人员经费</w:t>
            </w:r>
          </w:p>
        </w:tc>
        <w:tc>
          <w:tcPr>
            <w:tcW w:w="3113" w:type="dxa"/>
            <w:vAlign w:val="center"/>
          </w:tcPr>
          <w:p>
            <w:pPr>
              <w:pStyle w:val="10"/>
              <w:spacing w:line="240" w:lineRule="auto"/>
              <w:ind w:firstLine="0" w:firstLineChars="0"/>
              <w:jc w:val="center"/>
              <w:rPr>
                <w:vertAlign w:val="baseline"/>
                <w:lang w:eastAsia="zh-CN"/>
              </w:rPr>
            </w:pPr>
            <w:r>
              <w:rPr>
                <w:sz w:val="17"/>
                <w:szCs w:val="17"/>
              </w:rPr>
              <w:t>公用经费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0"/>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 xml:space="preserve"> </w:t>
            </w:r>
          </w:p>
        </w:tc>
        <w:tc>
          <w:tcPr>
            <w:tcW w:w="3111" w:type="dxa"/>
            <w:vAlign w:val="center"/>
          </w:tcPr>
          <w:p>
            <w:pPr>
              <w:pStyle w:val="10"/>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合计</w:t>
            </w:r>
          </w:p>
        </w:tc>
        <w:tc>
          <w:tcPr>
            <w:tcW w:w="3111" w:type="dxa"/>
            <w:vAlign w:val="center"/>
          </w:tcPr>
          <w:p>
            <w:pPr>
              <w:pStyle w:val="10"/>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147.10</w:t>
            </w:r>
          </w:p>
        </w:tc>
        <w:tc>
          <w:tcPr>
            <w:tcW w:w="3112" w:type="dxa"/>
            <w:vAlign w:val="center"/>
          </w:tcPr>
          <w:p>
            <w:pPr>
              <w:pStyle w:val="10"/>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141.87</w:t>
            </w:r>
          </w:p>
        </w:tc>
        <w:tc>
          <w:tcPr>
            <w:tcW w:w="3113" w:type="dxa"/>
            <w:vAlign w:val="center"/>
          </w:tcPr>
          <w:p>
            <w:pPr>
              <w:pStyle w:val="10"/>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5.23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0"/>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w:t>
            </w:r>
          </w:p>
        </w:tc>
        <w:tc>
          <w:tcPr>
            <w:tcW w:w="3111" w:type="dxa"/>
            <w:vAlign w:val="center"/>
          </w:tcPr>
          <w:p>
            <w:pPr>
              <w:pStyle w:val="10"/>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工资福利支出</w:t>
            </w:r>
          </w:p>
        </w:tc>
        <w:tc>
          <w:tcPr>
            <w:tcW w:w="3111" w:type="dxa"/>
            <w:vAlign w:val="center"/>
          </w:tcPr>
          <w:p>
            <w:pPr>
              <w:pStyle w:val="10"/>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141.87</w:t>
            </w:r>
          </w:p>
        </w:tc>
        <w:tc>
          <w:tcPr>
            <w:tcW w:w="3112" w:type="dxa"/>
            <w:vAlign w:val="center"/>
          </w:tcPr>
          <w:p>
            <w:pPr>
              <w:pStyle w:val="10"/>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141.87</w:t>
            </w:r>
          </w:p>
        </w:tc>
        <w:tc>
          <w:tcPr>
            <w:tcW w:w="3113" w:type="dxa"/>
            <w:vAlign w:val="center"/>
          </w:tcPr>
          <w:p>
            <w:pPr>
              <w:pStyle w:val="10"/>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0"/>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30101</w:t>
            </w:r>
          </w:p>
        </w:tc>
        <w:tc>
          <w:tcPr>
            <w:tcW w:w="3111" w:type="dxa"/>
            <w:vAlign w:val="center"/>
          </w:tcPr>
          <w:p>
            <w:pPr>
              <w:pStyle w:val="10"/>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基本工资</w:t>
            </w:r>
          </w:p>
        </w:tc>
        <w:tc>
          <w:tcPr>
            <w:tcW w:w="3111" w:type="dxa"/>
            <w:vAlign w:val="center"/>
          </w:tcPr>
          <w:p>
            <w:pPr>
              <w:pStyle w:val="10"/>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45.78</w:t>
            </w:r>
          </w:p>
        </w:tc>
        <w:tc>
          <w:tcPr>
            <w:tcW w:w="3112" w:type="dxa"/>
            <w:vAlign w:val="center"/>
          </w:tcPr>
          <w:p>
            <w:pPr>
              <w:pStyle w:val="10"/>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45.78</w:t>
            </w:r>
          </w:p>
        </w:tc>
        <w:tc>
          <w:tcPr>
            <w:tcW w:w="3113" w:type="dxa"/>
            <w:vAlign w:val="center"/>
          </w:tcPr>
          <w:p>
            <w:pPr>
              <w:pStyle w:val="10"/>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0"/>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30102</w:t>
            </w:r>
          </w:p>
        </w:tc>
        <w:tc>
          <w:tcPr>
            <w:tcW w:w="3111" w:type="dxa"/>
            <w:vAlign w:val="center"/>
          </w:tcPr>
          <w:p>
            <w:pPr>
              <w:pStyle w:val="10"/>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津贴补贴</w:t>
            </w:r>
          </w:p>
        </w:tc>
        <w:tc>
          <w:tcPr>
            <w:tcW w:w="3111" w:type="dxa"/>
            <w:vAlign w:val="center"/>
          </w:tcPr>
          <w:p>
            <w:pPr>
              <w:pStyle w:val="10"/>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11.15</w:t>
            </w:r>
          </w:p>
        </w:tc>
        <w:tc>
          <w:tcPr>
            <w:tcW w:w="3112" w:type="dxa"/>
            <w:vAlign w:val="center"/>
          </w:tcPr>
          <w:p>
            <w:pPr>
              <w:pStyle w:val="10"/>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11.15</w:t>
            </w:r>
          </w:p>
        </w:tc>
        <w:tc>
          <w:tcPr>
            <w:tcW w:w="3113" w:type="dxa"/>
            <w:vAlign w:val="center"/>
          </w:tcPr>
          <w:p>
            <w:pPr>
              <w:pStyle w:val="10"/>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0"/>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30103</w:t>
            </w:r>
          </w:p>
        </w:tc>
        <w:tc>
          <w:tcPr>
            <w:tcW w:w="3111" w:type="dxa"/>
            <w:vAlign w:val="center"/>
          </w:tcPr>
          <w:p>
            <w:pPr>
              <w:pStyle w:val="10"/>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奖金</w:t>
            </w:r>
          </w:p>
        </w:tc>
        <w:tc>
          <w:tcPr>
            <w:tcW w:w="3111" w:type="dxa"/>
            <w:vAlign w:val="center"/>
          </w:tcPr>
          <w:p>
            <w:pPr>
              <w:pStyle w:val="10"/>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24.80</w:t>
            </w:r>
          </w:p>
        </w:tc>
        <w:tc>
          <w:tcPr>
            <w:tcW w:w="3112" w:type="dxa"/>
            <w:vAlign w:val="center"/>
          </w:tcPr>
          <w:p>
            <w:pPr>
              <w:pStyle w:val="10"/>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24.80</w:t>
            </w:r>
          </w:p>
        </w:tc>
        <w:tc>
          <w:tcPr>
            <w:tcW w:w="3113" w:type="dxa"/>
            <w:vAlign w:val="center"/>
          </w:tcPr>
          <w:p>
            <w:pPr>
              <w:pStyle w:val="10"/>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0"/>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30107</w:t>
            </w:r>
          </w:p>
        </w:tc>
        <w:tc>
          <w:tcPr>
            <w:tcW w:w="3111" w:type="dxa"/>
            <w:vAlign w:val="center"/>
          </w:tcPr>
          <w:p>
            <w:pPr>
              <w:pStyle w:val="10"/>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绩效工资</w:t>
            </w:r>
          </w:p>
        </w:tc>
        <w:tc>
          <w:tcPr>
            <w:tcW w:w="3111" w:type="dxa"/>
            <w:vAlign w:val="center"/>
          </w:tcPr>
          <w:p>
            <w:pPr>
              <w:pStyle w:val="10"/>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20.75</w:t>
            </w:r>
          </w:p>
        </w:tc>
        <w:tc>
          <w:tcPr>
            <w:tcW w:w="3112" w:type="dxa"/>
            <w:vAlign w:val="center"/>
          </w:tcPr>
          <w:p>
            <w:pPr>
              <w:pStyle w:val="10"/>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20.75</w:t>
            </w:r>
          </w:p>
        </w:tc>
        <w:tc>
          <w:tcPr>
            <w:tcW w:w="3113" w:type="dxa"/>
            <w:vAlign w:val="center"/>
          </w:tcPr>
          <w:p>
            <w:pPr>
              <w:pStyle w:val="10"/>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0"/>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30108</w:t>
            </w:r>
          </w:p>
        </w:tc>
        <w:tc>
          <w:tcPr>
            <w:tcW w:w="3111" w:type="dxa"/>
            <w:vAlign w:val="center"/>
          </w:tcPr>
          <w:p>
            <w:pPr>
              <w:pStyle w:val="10"/>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机关事业单位基本养老保险缴费</w:t>
            </w:r>
          </w:p>
        </w:tc>
        <w:tc>
          <w:tcPr>
            <w:tcW w:w="3111" w:type="dxa"/>
            <w:vAlign w:val="center"/>
          </w:tcPr>
          <w:p>
            <w:pPr>
              <w:pStyle w:val="10"/>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17.01</w:t>
            </w:r>
          </w:p>
        </w:tc>
        <w:tc>
          <w:tcPr>
            <w:tcW w:w="3112" w:type="dxa"/>
            <w:vAlign w:val="center"/>
          </w:tcPr>
          <w:p>
            <w:pPr>
              <w:pStyle w:val="10"/>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17.01</w:t>
            </w:r>
          </w:p>
        </w:tc>
        <w:tc>
          <w:tcPr>
            <w:tcW w:w="3113" w:type="dxa"/>
            <w:vAlign w:val="center"/>
          </w:tcPr>
          <w:p>
            <w:pPr>
              <w:pStyle w:val="10"/>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0"/>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30110</w:t>
            </w:r>
          </w:p>
        </w:tc>
        <w:tc>
          <w:tcPr>
            <w:tcW w:w="3111" w:type="dxa"/>
            <w:vAlign w:val="center"/>
          </w:tcPr>
          <w:p>
            <w:pPr>
              <w:pStyle w:val="10"/>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职工基本医疗保险缴费</w:t>
            </w:r>
          </w:p>
        </w:tc>
        <w:tc>
          <w:tcPr>
            <w:tcW w:w="3111" w:type="dxa"/>
            <w:vAlign w:val="center"/>
          </w:tcPr>
          <w:p>
            <w:pPr>
              <w:pStyle w:val="10"/>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6.80</w:t>
            </w:r>
          </w:p>
        </w:tc>
        <w:tc>
          <w:tcPr>
            <w:tcW w:w="3112" w:type="dxa"/>
            <w:vAlign w:val="center"/>
          </w:tcPr>
          <w:p>
            <w:pPr>
              <w:pStyle w:val="10"/>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6.80</w:t>
            </w:r>
          </w:p>
        </w:tc>
        <w:tc>
          <w:tcPr>
            <w:tcW w:w="3113" w:type="dxa"/>
            <w:vAlign w:val="center"/>
          </w:tcPr>
          <w:p>
            <w:pPr>
              <w:pStyle w:val="10"/>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0"/>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30112</w:t>
            </w:r>
          </w:p>
        </w:tc>
        <w:tc>
          <w:tcPr>
            <w:tcW w:w="3111" w:type="dxa"/>
            <w:vAlign w:val="center"/>
          </w:tcPr>
          <w:p>
            <w:pPr>
              <w:pStyle w:val="10"/>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其他社会保障缴费</w:t>
            </w:r>
          </w:p>
        </w:tc>
        <w:tc>
          <w:tcPr>
            <w:tcW w:w="3111" w:type="dxa"/>
            <w:vAlign w:val="center"/>
          </w:tcPr>
          <w:p>
            <w:pPr>
              <w:pStyle w:val="10"/>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0.74</w:t>
            </w:r>
          </w:p>
        </w:tc>
        <w:tc>
          <w:tcPr>
            <w:tcW w:w="3112" w:type="dxa"/>
            <w:vAlign w:val="center"/>
          </w:tcPr>
          <w:p>
            <w:pPr>
              <w:pStyle w:val="10"/>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0.74</w:t>
            </w:r>
          </w:p>
        </w:tc>
        <w:tc>
          <w:tcPr>
            <w:tcW w:w="3113" w:type="dxa"/>
            <w:vAlign w:val="center"/>
          </w:tcPr>
          <w:p>
            <w:pPr>
              <w:pStyle w:val="10"/>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0"/>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30113</w:t>
            </w:r>
          </w:p>
        </w:tc>
        <w:tc>
          <w:tcPr>
            <w:tcW w:w="3111" w:type="dxa"/>
            <w:vAlign w:val="center"/>
          </w:tcPr>
          <w:p>
            <w:pPr>
              <w:pStyle w:val="10"/>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住房公积金</w:t>
            </w:r>
          </w:p>
        </w:tc>
        <w:tc>
          <w:tcPr>
            <w:tcW w:w="3111" w:type="dxa"/>
            <w:vAlign w:val="center"/>
          </w:tcPr>
          <w:p>
            <w:pPr>
              <w:pStyle w:val="10"/>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14.83</w:t>
            </w:r>
          </w:p>
        </w:tc>
        <w:tc>
          <w:tcPr>
            <w:tcW w:w="3112" w:type="dxa"/>
            <w:vAlign w:val="center"/>
          </w:tcPr>
          <w:p>
            <w:pPr>
              <w:pStyle w:val="10"/>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14.83</w:t>
            </w:r>
          </w:p>
        </w:tc>
        <w:tc>
          <w:tcPr>
            <w:tcW w:w="3113" w:type="dxa"/>
            <w:vAlign w:val="center"/>
          </w:tcPr>
          <w:p>
            <w:pPr>
              <w:pStyle w:val="10"/>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0"/>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w:t>
            </w:r>
          </w:p>
        </w:tc>
        <w:tc>
          <w:tcPr>
            <w:tcW w:w="3111" w:type="dxa"/>
            <w:vAlign w:val="center"/>
          </w:tcPr>
          <w:p>
            <w:pPr>
              <w:pStyle w:val="10"/>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商品和服务支出</w:t>
            </w:r>
          </w:p>
        </w:tc>
        <w:tc>
          <w:tcPr>
            <w:tcW w:w="3111" w:type="dxa"/>
            <w:vAlign w:val="center"/>
          </w:tcPr>
          <w:p>
            <w:pPr>
              <w:pStyle w:val="10"/>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5.23</w:t>
            </w:r>
          </w:p>
        </w:tc>
        <w:tc>
          <w:tcPr>
            <w:tcW w:w="3112" w:type="dxa"/>
            <w:vAlign w:val="center"/>
          </w:tcPr>
          <w:p>
            <w:pPr>
              <w:pStyle w:val="10"/>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10"/>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5.23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0"/>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30201</w:t>
            </w:r>
          </w:p>
        </w:tc>
        <w:tc>
          <w:tcPr>
            <w:tcW w:w="3111" w:type="dxa"/>
            <w:vAlign w:val="center"/>
          </w:tcPr>
          <w:p>
            <w:pPr>
              <w:pStyle w:val="10"/>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办公费</w:t>
            </w:r>
          </w:p>
        </w:tc>
        <w:tc>
          <w:tcPr>
            <w:tcW w:w="3111" w:type="dxa"/>
            <w:vAlign w:val="center"/>
          </w:tcPr>
          <w:p>
            <w:pPr>
              <w:pStyle w:val="10"/>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1.08</w:t>
            </w:r>
          </w:p>
        </w:tc>
        <w:tc>
          <w:tcPr>
            <w:tcW w:w="3112" w:type="dxa"/>
            <w:vAlign w:val="center"/>
          </w:tcPr>
          <w:p>
            <w:pPr>
              <w:pStyle w:val="10"/>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10"/>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0"/>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30205</w:t>
            </w:r>
          </w:p>
        </w:tc>
        <w:tc>
          <w:tcPr>
            <w:tcW w:w="3111" w:type="dxa"/>
            <w:vAlign w:val="center"/>
          </w:tcPr>
          <w:p>
            <w:pPr>
              <w:pStyle w:val="10"/>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水费</w:t>
            </w:r>
          </w:p>
        </w:tc>
        <w:tc>
          <w:tcPr>
            <w:tcW w:w="3111" w:type="dxa"/>
            <w:vAlign w:val="center"/>
          </w:tcPr>
          <w:p>
            <w:pPr>
              <w:pStyle w:val="10"/>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0.12</w:t>
            </w:r>
          </w:p>
        </w:tc>
        <w:tc>
          <w:tcPr>
            <w:tcW w:w="3112" w:type="dxa"/>
            <w:vAlign w:val="center"/>
          </w:tcPr>
          <w:p>
            <w:pPr>
              <w:pStyle w:val="10"/>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10"/>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0"/>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30206</w:t>
            </w:r>
          </w:p>
        </w:tc>
        <w:tc>
          <w:tcPr>
            <w:tcW w:w="3111" w:type="dxa"/>
            <w:vAlign w:val="center"/>
          </w:tcPr>
          <w:p>
            <w:pPr>
              <w:pStyle w:val="10"/>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电费</w:t>
            </w:r>
          </w:p>
        </w:tc>
        <w:tc>
          <w:tcPr>
            <w:tcW w:w="3111" w:type="dxa"/>
            <w:vAlign w:val="center"/>
          </w:tcPr>
          <w:p>
            <w:pPr>
              <w:pStyle w:val="10"/>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0.60</w:t>
            </w:r>
          </w:p>
        </w:tc>
        <w:tc>
          <w:tcPr>
            <w:tcW w:w="3112" w:type="dxa"/>
            <w:vAlign w:val="center"/>
          </w:tcPr>
          <w:p>
            <w:pPr>
              <w:pStyle w:val="10"/>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10"/>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0"/>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30207</w:t>
            </w:r>
          </w:p>
        </w:tc>
        <w:tc>
          <w:tcPr>
            <w:tcW w:w="3111" w:type="dxa"/>
            <w:vAlign w:val="center"/>
          </w:tcPr>
          <w:p>
            <w:pPr>
              <w:pStyle w:val="10"/>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邮电费</w:t>
            </w:r>
          </w:p>
        </w:tc>
        <w:tc>
          <w:tcPr>
            <w:tcW w:w="3111" w:type="dxa"/>
            <w:vAlign w:val="center"/>
          </w:tcPr>
          <w:p>
            <w:pPr>
              <w:pStyle w:val="10"/>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0.18</w:t>
            </w:r>
          </w:p>
        </w:tc>
        <w:tc>
          <w:tcPr>
            <w:tcW w:w="3112" w:type="dxa"/>
            <w:vAlign w:val="center"/>
          </w:tcPr>
          <w:p>
            <w:pPr>
              <w:pStyle w:val="10"/>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10"/>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0"/>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30211</w:t>
            </w:r>
          </w:p>
        </w:tc>
        <w:tc>
          <w:tcPr>
            <w:tcW w:w="3111" w:type="dxa"/>
            <w:vAlign w:val="center"/>
          </w:tcPr>
          <w:p>
            <w:pPr>
              <w:pStyle w:val="10"/>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差旅费</w:t>
            </w:r>
          </w:p>
        </w:tc>
        <w:tc>
          <w:tcPr>
            <w:tcW w:w="3111" w:type="dxa"/>
            <w:vAlign w:val="center"/>
          </w:tcPr>
          <w:p>
            <w:pPr>
              <w:pStyle w:val="10"/>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0.90</w:t>
            </w:r>
          </w:p>
        </w:tc>
        <w:tc>
          <w:tcPr>
            <w:tcW w:w="3112" w:type="dxa"/>
            <w:vAlign w:val="center"/>
          </w:tcPr>
          <w:p>
            <w:pPr>
              <w:pStyle w:val="10"/>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10"/>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0"/>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30228</w:t>
            </w:r>
          </w:p>
        </w:tc>
        <w:tc>
          <w:tcPr>
            <w:tcW w:w="3111" w:type="dxa"/>
            <w:vAlign w:val="center"/>
          </w:tcPr>
          <w:p>
            <w:pPr>
              <w:pStyle w:val="10"/>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工会经费</w:t>
            </w:r>
          </w:p>
        </w:tc>
        <w:tc>
          <w:tcPr>
            <w:tcW w:w="3111" w:type="dxa"/>
            <w:vAlign w:val="center"/>
          </w:tcPr>
          <w:p>
            <w:pPr>
              <w:pStyle w:val="10"/>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1.40</w:t>
            </w:r>
          </w:p>
        </w:tc>
        <w:tc>
          <w:tcPr>
            <w:tcW w:w="3112" w:type="dxa"/>
            <w:vAlign w:val="center"/>
          </w:tcPr>
          <w:p>
            <w:pPr>
              <w:pStyle w:val="10"/>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10"/>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0"/>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30231</w:t>
            </w:r>
          </w:p>
        </w:tc>
        <w:tc>
          <w:tcPr>
            <w:tcW w:w="3111" w:type="dxa"/>
            <w:vAlign w:val="center"/>
          </w:tcPr>
          <w:p>
            <w:pPr>
              <w:pStyle w:val="10"/>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公务用车运行维护费</w:t>
            </w:r>
          </w:p>
        </w:tc>
        <w:tc>
          <w:tcPr>
            <w:tcW w:w="3111" w:type="dxa"/>
            <w:vAlign w:val="center"/>
          </w:tcPr>
          <w:p>
            <w:pPr>
              <w:pStyle w:val="10"/>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0.95</w:t>
            </w:r>
          </w:p>
        </w:tc>
        <w:tc>
          <w:tcPr>
            <w:tcW w:w="3112" w:type="dxa"/>
            <w:vAlign w:val="center"/>
          </w:tcPr>
          <w:p>
            <w:pPr>
              <w:pStyle w:val="10"/>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10"/>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sz w:val="16"/>
                <w:szCs w:val="16"/>
              </w:rPr>
              <w:t>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9"/>
        <w:keepNext/>
        <w:keepLines/>
        <w:spacing w:after="240"/>
        <w:jc w:val="center"/>
        <w:rPr>
          <w:rFonts w:hint="default"/>
          <w:sz w:val="28"/>
          <w:szCs w:val="28"/>
          <w:lang w:val="en-US" w:eastAsia="zh-CN"/>
        </w:rPr>
      </w:pPr>
      <w:bookmarkStart w:id="28" w:name="bookmark65"/>
      <w:bookmarkStart w:id="29" w:name="bookmark67"/>
      <w:bookmarkStart w:id="30" w:name="bookmark66"/>
      <w:r>
        <w:rPr>
          <w:rFonts w:hint="default"/>
          <w:sz w:val="28"/>
          <w:szCs w:val="28"/>
          <w:lang w:val="en-US" w:eastAsia="zh-CN"/>
        </w:rPr>
        <w:t>一般公共预算“三公”经费预算表</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6"/>
        <w:gridCol w:w="1918"/>
        <w:gridCol w:w="1884"/>
        <w:gridCol w:w="1895"/>
        <w:gridCol w:w="1888"/>
        <w:gridCol w:w="1890"/>
        <w:gridCol w:w="1895"/>
        <w:gridCol w:w="2"/>
        <w:gridCol w:w="1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6" w:type="dxa"/>
            <w:gridSpan w:val="7"/>
            <w:tcBorders>
              <w:top w:val="nil"/>
              <w:left w:val="nil"/>
              <w:right w:val="nil"/>
            </w:tcBorders>
          </w:tcPr>
          <w:p>
            <w:pPr>
              <w:pStyle w:val="11"/>
              <w:bidi w:val="0"/>
              <w:jc w:val="both"/>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单位名称：</w:t>
            </w:r>
            <w:r>
              <w:rPr>
                <w:rFonts w:ascii="宋体" w:hAnsi="宋体" w:eastAsia="宋体" w:cs="宋体"/>
                <w:sz w:val="16"/>
                <w:u w:color="auto"/>
              </w:rPr>
              <w:t xml:space="preserve">环江毛南族自治县川山镇计生所                                           </w:t>
            </w:r>
            <w:r>
              <w:rPr>
                <w:rFonts w:hint="eastAsia" w:cs="宋体"/>
                <w:sz w:val="16"/>
                <w:szCs w:val="16"/>
                <w:vertAlign w:val="baseline"/>
                <w:lang w:val="en-US" w:eastAsia="zh-CN"/>
              </w:rPr>
              <w:t xml:space="preserve">                    </w:t>
            </w:r>
            <w:r>
              <w:rPr>
                <w:rFonts w:hint="eastAsia" w:ascii="宋体" w:hAnsi="宋体" w:eastAsia="宋体" w:cs="宋体"/>
                <w:sz w:val="16"/>
                <w:szCs w:val="16"/>
                <w:vertAlign w:val="baseline"/>
                <w:lang w:eastAsia="zh-CN"/>
              </w:rPr>
              <w:t xml:space="preserve">                                                                                   </w:t>
            </w:r>
          </w:p>
        </w:tc>
        <w:tc>
          <w:tcPr>
            <w:tcW w:w="1891" w:type="dxa"/>
            <w:gridSpan w:val="2"/>
            <w:tcBorders>
              <w:top w:val="nil"/>
              <w:left w:val="nil"/>
              <w:right w:val="nil"/>
            </w:tcBorders>
          </w:tcPr>
          <w:p>
            <w:pPr>
              <w:pStyle w:val="11"/>
              <w:bidi w:val="0"/>
              <w:ind w:firstLine="480" w:firstLineChars="300"/>
              <w:jc w:val="both"/>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 xml:space="preserve">单位：万元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Merge w:val="restart"/>
          </w:tcPr>
          <w:p>
            <w:pPr>
              <w:pStyle w:val="11"/>
              <w:bidi w:val="0"/>
              <w:jc w:val="center"/>
              <w:rPr>
                <w:rFonts w:hint="eastAsia"/>
                <w:vertAlign w:val="baseline"/>
                <w:lang w:val="en-US" w:eastAsia="zh-CN"/>
              </w:rPr>
            </w:pPr>
            <w:r>
              <w:rPr>
                <w:sz w:val="17"/>
                <w:szCs w:val="17"/>
              </w:rPr>
              <w:t>门（单位）代码</w:t>
            </w:r>
          </w:p>
        </w:tc>
        <w:tc>
          <w:tcPr>
            <w:tcW w:w="1918" w:type="dxa"/>
            <w:vMerge w:val="restart"/>
          </w:tcPr>
          <w:p>
            <w:pPr>
              <w:pStyle w:val="11"/>
              <w:bidi w:val="0"/>
              <w:jc w:val="center"/>
              <w:rPr>
                <w:rFonts w:hint="eastAsia"/>
                <w:vertAlign w:val="baseline"/>
                <w:lang w:val="en-US" w:eastAsia="zh-CN"/>
              </w:rPr>
            </w:pPr>
            <w:r>
              <w:rPr>
                <w:sz w:val="17"/>
                <w:szCs w:val="17"/>
              </w:rPr>
              <w:t>部门（单位）名称</w:t>
            </w:r>
          </w:p>
        </w:tc>
        <w:tc>
          <w:tcPr>
            <w:tcW w:w="11343" w:type="dxa"/>
            <w:gridSpan w:val="7"/>
          </w:tcPr>
          <w:p>
            <w:pPr>
              <w:pStyle w:val="11"/>
              <w:bidi w:val="0"/>
              <w:jc w:val="center"/>
              <w:rPr>
                <w:rFonts w:hint="eastAsia"/>
                <w:vertAlign w:val="baseline"/>
                <w:lang w:val="en-US" w:eastAsia="zh-CN"/>
              </w:rPr>
            </w:pPr>
            <w:r>
              <w:rPr>
                <w:sz w:val="17"/>
                <w:szCs w:val="17"/>
                <w:lang w:val="zh-CN" w:eastAsia="zh-CN" w:bidi="zh-CN"/>
              </w:rPr>
              <w:t>“三</w:t>
            </w:r>
            <w:r>
              <w:rPr>
                <w:sz w:val="17"/>
                <w:szCs w:val="17"/>
              </w:rPr>
              <w:t>公”经费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Merge w:val="continue"/>
          </w:tcPr>
          <w:p>
            <w:pPr>
              <w:pStyle w:val="11"/>
              <w:bidi w:val="0"/>
              <w:jc w:val="center"/>
              <w:rPr>
                <w:rFonts w:hint="eastAsia"/>
                <w:vertAlign w:val="baseline"/>
                <w:lang w:val="en-US" w:eastAsia="zh-CN"/>
              </w:rPr>
            </w:pPr>
          </w:p>
        </w:tc>
        <w:tc>
          <w:tcPr>
            <w:tcW w:w="1918" w:type="dxa"/>
            <w:vMerge w:val="continue"/>
          </w:tcPr>
          <w:p>
            <w:pPr>
              <w:pStyle w:val="11"/>
              <w:bidi w:val="0"/>
              <w:jc w:val="center"/>
              <w:rPr>
                <w:rFonts w:hint="eastAsia"/>
                <w:vertAlign w:val="baseline"/>
                <w:lang w:val="en-US" w:eastAsia="zh-CN"/>
              </w:rPr>
            </w:pPr>
          </w:p>
        </w:tc>
        <w:tc>
          <w:tcPr>
            <w:tcW w:w="1884" w:type="dxa"/>
            <w:vMerge w:val="restart"/>
          </w:tcPr>
          <w:p>
            <w:pPr>
              <w:pStyle w:val="11"/>
              <w:bidi w:val="0"/>
              <w:jc w:val="center"/>
              <w:rPr>
                <w:rFonts w:hint="eastAsia"/>
                <w:vertAlign w:val="baseline"/>
                <w:lang w:val="en-US" w:eastAsia="zh-CN"/>
              </w:rPr>
            </w:pPr>
            <w:r>
              <w:rPr>
                <w:sz w:val="17"/>
                <w:szCs w:val="17"/>
              </w:rPr>
              <w:t>合计</w:t>
            </w:r>
          </w:p>
        </w:tc>
        <w:tc>
          <w:tcPr>
            <w:tcW w:w="1895" w:type="dxa"/>
            <w:vMerge w:val="restart"/>
          </w:tcPr>
          <w:p>
            <w:pPr>
              <w:pStyle w:val="11"/>
              <w:bidi w:val="0"/>
              <w:jc w:val="center"/>
              <w:rPr>
                <w:rFonts w:hint="eastAsia"/>
                <w:vertAlign w:val="baseline"/>
                <w:lang w:val="en-US" w:eastAsia="zh-CN"/>
              </w:rPr>
            </w:pPr>
            <w:r>
              <w:rPr>
                <w:sz w:val="17"/>
                <w:szCs w:val="17"/>
              </w:rPr>
              <w:t>因公出国（境）费</w:t>
            </w:r>
          </w:p>
        </w:tc>
        <w:tc>
          <w:tcPr>
            <w:tcW w:w="5675" w:type="dxa"/>
            <w:gridSpan w:val="4"/>
          </w:tcPr>
          <w:p>
            <w:pPr>
              <w:pStyle w:val="11"/>
              <w:bidi w:val="0"/>
              <w:jc w:val="center"/>
              <w:rPr>
                <w:rFonts w:hint="eastAsia"/>
                <w:vertAlign w:val="baseline"/>
                <w:lang w:val="en-US" w:eastAsia="zh-CN"/>
              </w:rPr>
            </w:pPr>
            <w:r>
              <w:rPr>
                <w:sz w:val="17"/>
                <w:szCs w:val="17"/>
              </w:rPr>
              <w:t>公务用车购置及运行维护费</w:t>
            </w:r>
          </w:p>
        </w:tc>
        <w:tc>
          <w:tcPr>
            <w:tcW w:w="1889" w:type="dxa"/>
            <w:vMerge w:val="restart"/>
          </w:tcPr>
          <w:p>
            <w:pPr>
              <w:pStyle w:val="11"/>
              <w:bidi w:val="0"/>
              <w:jc w:val="center"/>
              <w:rPr>
                <w:rFonts w:hint="eastAsia"/>
                <w:vertAlign w:val="baseline"/>
                <w:lang w:val="en-US" w:eastAsia="zh-CN"/>
              </w:rPr>
            </w:pPr>
            <w:r>
              <w:rPr>
                <w:sz w:val="17"/>
                <w:szCs w:val="17"/>
              </w:rPr>
              <w:t>公务接待费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Merge w:val="continue"/>
          </w:tcPr>
          <w:p>
            <w:pPr>
              <w:pStyle w:val="11"/>
              <w:bidi w:val="0"/>
              <w:jc w:val="center"/>
              <w:rPr>
                <w:rFonts w:hint="eastAsia"/>
                <w:vertAlign w:val="baseline"/>
                <w:lang w:val="en-US" w:eastAsia="zh-CN"/>
              </w:rPr>
            </w:pPr>
          </w:p>
        </w:tc>
        <w:tc>
          <w:tcPr>
            <w:tcW w:w="1918" w:type="dxa"/>
            <w:vMerge w:val="continue"/>
          </w:tcPr>
          <w:p>
            <w:pPr>
              <w:pStyle w:val="11"/>
              <w:bidi w:val="0"/>
              <w:jc w:val="center"/>
              <w:rPr>
                <w:rFonts w:hint="eastAsia"/>
                <w:vertAlign w:val="baseline"/>
                <w:lang w:val="en-US" w:eastAsia="zh-CN"/>
              </w:rPr>
            </w:pPr>
          </w:p>
        </w:tc>
        <w:tc>
          <w:tcPr>
            <w:tcW w:w="1884" w:type="dxa"/>
            <w:vMerge w:val="continue"/>
          </w:tcPr>
          <w:p>
            <w:pPr>
              <w:pStyle w:val="11"/>
              <w:bidi w:val="0"/>
              <w:jc w:val="center"/>
              <w:rPr>
                <w:rFonts w:hint="eastAsia"/>
                <w:vertAlign w:val="baseline"/>
                <w:lang w:val="en-US" w:eastAsia="zh-CN"/>
              </w:rPr>
            </w:pPr>
          </w:p>
        </w:tc>
        <w:tc>
          <w:tcPr>
            <w:tcW w:w="1895" w:type="dxa"/>
            <w:vMerge w:val="continue"/>
          </w:tcPr>
          <w:p>
            <w:pPr>
              <w:pStyle w:val="11"/>
              <w:bidi w:val="0"/>
              <w:jc w:val="center"/>
              <w:rPr>
                <w:rFonts w:hint="eastAsia"/>
                <w:vertAlign w:val="baseline"/>
                <w:lang w:val="en-US" w:eastAsia="zh-CN"/>
              </w:rPr>
            </w:pPr>
          </w:p>
        </w:tc>
        <w:tc>
          <w:tcPr>
            <w:tcW w:w="1888" w:type="dxa"/>
            <w:vAlign w:val="center"/>
          </w:tcPr>
          <w:p>
            <w:pPr>
              <w:pStyle w:val="10"/>
              <w:spacing w:line="240" w:lineRule="auto"/>
              <w:ind w:firstLine="0" w:firstLineChars="0"/>
              <w:jc w:val="center"/>
              <w:rPr>
                <w:rFonts w:hint="eastAsia"/>
                <w:vertAlign w:val="baseline"/>
                <w:lang w:val="en-US" w:eastAsia="zh-CN"/>
              </w:rPr>
            </w:pPr>
            <w:r>
              <w:rPr>
                <w:sz w:val="17"/>
                <w:szCs w:val="17"/>
              </w:rPr>
              <w:t>小计</w:t>
            </w:r>
          </w:p>
        </w:tc>
        <w:tc>
          <w:tcPr>
            <w:tcW w:w="1890" w:type="dxa"/>
            <w:vAlign w:val="center"/>
          </w:tcPr>
          <w:p>
            <w:pPr>
              <w:pStyle w:val="10"/>
              <w:spacing w:line="240" w:lineRule="auto"/>
              <w:ind w:firstLine="220" w:firstLineChars="0"/>
              <w:jc w:val="center"/>
              <w:rPr>
                <w:rFonts w:hint="eastAsia"/>
                <w:vertAlign w:val="baseline"/>
                <w:lang w:val="en-US" w:eastAsia="zh-CN"/>
              </w:rPr>
            </w:pPr>
            <w:r>
              <w:rPr>
                <w:sz w:val="17"/>
                <w:szCs w:val="17"/>
              </w:rPr>
              <w:t>公务用车运行维护费</w:t>
            </w:r>
          </w:p>
        </w:tc>
        <w:tc>
          <w:tcPr>
            <w:tcW w:w="1897" w:type="dxa"/>
            <w:gridSpan w:val="2"/>
            <w:vAlign w:val="center"/>
          </w:tcPr>
          <w:p>
            <w:pPr>
              <w:pStyle w:val="10"/>
              <w:spacing w:line="240" w:lineRule="auto"/>
              <w:ind w:firstLine="400" w:firstLineChars="0"/>
              <w:jc w:val="center"/>
              <w:rPr>
                <w:rFonts w:hint="eastAsia"/>
                <w:vertAlign w:val="baseline"/>
                <w:lang w:val="en-US" w:eastAsia="zh-CN"/>
              </w:rPr>
            </w:pPr>
            <w:r>
              <w:rPr>
                <w:sz w:val="17"/>
                <w:szCs w:val="17"/>
              </w:rPr>
              <w:t>公务用车购置费</w:t>
            </w:r>
          </w:p>
        </w:tc>
        <w:tc>
          <w:tcPr>
            <w:tcW w:w="1889" w:type="dxa"/>
            <w:vMerge w:val="continue"/>
          </w:tcPr>
          <w:p>
            <w:pPr>
              <w:pStyle w:val="11"/>
              <w:bidi w:val="0"/>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10"/>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1</w:t>
            </w:r>
          </w:p>
        </w:tc>
        <w:tc>
          <w:tcPr>
            <w:tcW w:w="1895" w:type="dxa"/>
            <w:vAlign w:val="center"/>
          </w:tcPr>
          <w:p>
            <w:pPr>
              <w:pStyle w:val="10"/>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2</w:t>
            </w:r>
          </w:p>
        </w:tc>
        <w:tc>
          <w:tcPr>
            <w:tcW w:w="1888" w:type="dxa"/>
            <w:vAlign w:val="center"/>
          </w:tcPr>
          <w:p>
            <w:pPr>
              <w:pStyle w:val="10"/>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3</w:t>
            </w:r>
          </w:p>
        </w:tc>
        <w:tc>
          <w:tcPr>
            <w:tcW w:w="1890" w:type="dxa"/>
            <w:vAlign w:val="center"/>
          </w:tcPr>
          <w:p>
            <w:pPr>
              <w:pStyle w:val="10"/>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4</w:t>
            </w:r>
          </w:p>
        </w:tc>
        <w:tc>
          <w:tcPr>
            <w:tcW w:w="1897" w:type="dxa"/>
            <w:gridSpan w:val="2"/>
            <w:vAlign w:val="center"/>
          </w:tcPr>
          <w:p>
            <w:pPr>
              <w:pStyle w:val="10"/>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5</w:t>
            </w:r>
          </w:p>
        </w:tc>
        <w:tc>
          <w:tcPr>
            <w:tcW w:w="1889" w:type="dxa"/>
            <w:vAlign w:val="center"/>
          </w:tcPr>
          <w:p>
            <w:pPr>
              <w:pStyle w:val="10"/>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Align w:val="center"/>
          </w:tcPr>
          <w:p>
            <w:pPr>
              <w:pStyle w:val="10"/>
              <w:spacing w:line="240" w:lineRule="auto"/>
              <w:ind w:firstLine="0" w:firstLineChars="0"/>
              <w:jc w:val="left"/>
              <w:rPr>
                <w:rFonts w:hint="eastAsia"/>
                <w:vertAlign w:val="baseline"/>
                <w:lang w:val="en-US" w:eastAsia="zh-CN"/>
              </w:rPr>
            </w:pPr>
            <w:r>
              <w:rPr>
                <w:rFonts w:hint="eastAsia" w:ascii="Times New Roman" w:hAnsi="Times New Roman" w:eastAsia="Times New Roman" w:cs="Times New Roman"/>
                <w:b/>
                <w:bCs/>
                <w:sz w:val="17"/>
                <w:szCs w:val="17"/>
                <w:lang w:val="en-US" w:eastAsia="zh-CN"/>
              </w:rPr>
              <w:t>705003</w:t>
            </w:r>
          </w:p>
        </w:tc>
        <w:tc>
          <w:tcPr>
            <w:tcW w:w="1918" w:type="dxa"/>
            <w:vAlign w:val="center"/>
          </w:tcPr>
          <w:p>
            <w:pPr>
              <w:pStyle w:val="10"/>
              <w:spacing w:line="240" w:lineRule="auto"/>
              <w:ind w:firstLine="0" w:firstLineChars="0"/>
              <w:jc w:val="left"/>
              <w:rPr>
                <w:rFonts w:hint="eastAsia"/>
                <w:vertAlign w:val="baseline"/>
                <w:lang w:val="en-US" w:eastAsia="zh-CN"/>
              </w:rPr>
            </w:pPr>
          </w:p>
        </w:tc>
        <w:tc>
          <w:tcPr>
            <w:tcW w:w="1884" w:type="dxa"/>
            <w:vAlign w:val="center"/>
          </w:tcPr>
          <w:p>
            <w:pPr>
              <w:pStyle w:val="10"/>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0.95</w:t>
            </w:r>
          </w:p>
        </w:tc>
        <w:tc>
          <w:tcPr>
            <w:tcW w:w="1895" w:type="dxa"/>
            <w:vAlign w:val="center"/>
          </w:tcPr>
          <w:p>
            <w:pPr>
              <w:pStyle w:val="10"/>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88" w:type="dxa"/>
            <w:vAlign w:val="center"/>
          </w:tcPr>
          <w:p>
            <w:pPr>
              <w:pStyle w:val="10"/>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0.95</w:t>
            </w:r>
          </w:p>
        </w:tc>
        <w:tc>
          <w:tcPr>
            <w:tcW w:w="1890" w:type="dxa"/>
            <w:vAlign w:val="center"/>
          </w:tcPr>
          <w:p>
            <w:pPr>
              <w:pStyle w:val="10"/>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0.95</w:t>
            </w:r>
          </w:p>
        </w:tc>
        <w:tc>
          <w:tcPr>
            <w:tcW w:w="1897" w:type="dxa"/>
            <w:gridSpan w:val="2"/>
            <w:vAlign w:val="center"/>
          </w:tcPr>
          <w:p>
            <w:pPr>
              <w:pStyle w:val="10"/>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89" w:type="dxa"/>
            <w:vAlign w:val="center"/>
          </w:tcPr>
          <w:p>
            <w:pPr>
              <w:pStyle w:val="10"/>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557" w:type="dxa"/>
            <w:gridSpan w:val="9"/>
            <w:tcBorders>
              <w:left w:val="nil"/>
              <w:bottom w:val="nil"/>
              <w:right w:val="nil"/>
            </w:tcBorders>
          </w:tcPr>
          <w:p>
            <w:pPr>
              <w:pStyle w:val="11"/>
              <w:bidi w:val="0"/>
              <w:jc w:val="both"/>
              <w:rPr>
                <w:rFonts w:hint="eastAsia"/>
                <w:vertAlign w:val="baseline"/>
                <w:lang w:val="en-US" w:eastAsia="zh-CN"/>
              </w:rPr>
            </w:pPr>
            <w:r>
              <w:rPr>
                <w:rFonts w:hint="eastAsia" w:ascii="宋体" w:hAnsi="宋体" w:eastAsia="宋体" w:cs="宋体"/>
                <w:sz w:val="16"/>
                <w:szCs w:val="16"/>
              </w:rPr>
              <w:t>注：本报表金额单位转换时可能存在四舍五入尾数误差</w:t>
            </w:r>
          </w:p>
        </w:tc>
      </w:tr>
    </w:tbl>
    <w:p>
      <w:pPr>
        <w:pStyle w:val="11"/>
        <w:bidi w:val="0"/>
        <w:rPr>
          <w:rFonts w:hint="eastAsia"/>
          <w:lang w:val="en-US" w:eastAsia="zh-CN"/>
        </w:rPr>
      </w:pPr>
    </w:p>
    <w:p>
      <w:pPr>
        <w:pStyle w:val="9"/>
        <w:keepNext/>
        <w:keepLines/>
        <w:spacing w:after="240"/>
        <w:jc w:val="center"/>
      </w:pPr>
    </w:p>
    <w:p>
      <w:pPr>
        <w:pStyle w:val="9"/>
        <w:keepNext/>
        <w:keepLines/>
        <w:spacing w:after="240"/>
        <w:jc w:val="center"/>
      </w:pPr>
    </w:p>
    <w:p>
      <w:pPr>
        <w:pStyle w:val="9"/>
        <w:keepNext/>
        <w:keepLines/>
        <w:spacing w:after="240"/>
        <w:jc w:val="center"/>
      </w:pPr>
    </w:p>
    <w:p>
      <w:pPr>
        <w:pStyle w:val="9"/>
        <w:keepNext/>
        <w:keepLines/>
        <w:spacing w:after="240"/>
        <w:jc w:val="center"/>
      </w:pPr>
    </w:p>
    <w:p>
      <w:pPr>
        <w:pStyle w:val="9"/>
        <w:keepNext/>
        <w:keepLines/>
        <w:spacing w:after="240"/>
        <w:jc w:val="center"/>
      </w:pPr>
    </w:p>
    <w:p>
      <w:pPr>
        <w:pStyle w:val="11"/>
        <w:bidi w:val="0"/>
      </w:pPr>
    </w:p>
    <w:p>
      <w:pPr>
        <w:pStyle w:val="9"/>
        <w:keepNext/>
        <w:keepLines/>
        <w:spacing w:after="240"/>
        <w:jc w:val="center"/>
      </w:pPr>
      <w:r>
        <w:t>政府性基金预算支出情况表</w:t>
      </w:r>
      <w:bookmarkEnd w:id="28"/>
      <w:bookmarkEnd w:id="29"/>
      <w:bookmarkEnd w:id="30"/>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7"/>
        <w:gridCol w:w="2161"/>
        <w:gridCol w:w="2162"/>
        <w:gridCol w:w="2222"/>
        <w:gridCol w:w="2161"/>
        <w:gridCol w:w="2161"/>
        <w:gridCol w:w="2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394" w:type="dxa"/>
            <w:gridSpan w:val="6"/>
            <w:tcBorders>
              <w:top w:val="nil"/>
              <w:left w:val="nil"/>
              <w:right w:val="nil"/>
            </w:tcBorders>
          </w:tcPr>
          <w:p>
            <w:pPr>
              <w:pStyle w:val="11"/>
              <w:tabs>
                <w:tab w:val="left" w:pos="14213"/>
              </w:tabs>
              <w:ind w:left="101"/>
              <w:jc w:val="left"/>
            </w:pPr>
            <w:r>
              <w:t>单位名称：</w:t>
            </w:r>
            <w:r>
              <w:rPr>
                <w:rFonts w:hint="eastAsia"/>
                <w:lang w:eastAsia="zh-CN"/>
              </w:rPr>
              <w:t>环江毛南族自治县川山镇计生所</w:t>
            </w:r>
            <w:r>
              <w:tab/>
            </w:r>
            <w:r>
              <w:t>单位：万元</w:t>
            </w:r>
          </w:p>
        </w:tc>
        <w:tc>
          <w:tcPr>
            <w:tcW w:w="2163" w:type="dxa"/>
            <w:tcBorders>
              <w:top w:val="nil"/>
              <w:left w:val="nil"/>
              <w:right w:val="nil"/>
            </w:tcBorders>
          </w:tcPr>
          <w:p>
            <w:pPr>
              <w:pStyle w:val="11"/>
              <w:tabs>
                <w:tab w:val="left" w:pos="14213"/>
              </w:tabs>
              <w:ind w:left="101" w:firstLine="680" w:firstLineChars="400"/>
              <w:jc w:val="left"/>
            </w:pPr>
            <w:r>
              <w:rPr>
                <w:rFonts w:hint="eastAsia"/>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tcPr>
          <w:p>
            <w:pPr>
              <w:pStyle w:val="11"/>
              <w:bidi w:val="0"/>
              <w:jc w:val="center"/>
              <w:rPr>
                <w:vertAlign w:val="baseline"/>
              </w:rPr>
            </w:pPr>
            <w:r>
              <w:rPr>
                <w:sz w:val="17"/>
                <w:szCs w:val="17"/>
              </w:rPr>
              <w:t>科目编码</w:t>
            </w:r>
          </w:p>
        </w:tc>
        <w:tc>
          <w:tcPr>
            <w:tcW w:w="2161" w:type="dxa"/>
          </w:tcPr>
          <w:p>
            <w:pPr>
              <w:pStyle w:val="11"/>
              <w:bidi w:val="0"/>
              <w:jc w:val="center"/>
              <w:rPr>
                <w:vertAlign w:val="baseline"/>
              </w:rPr>
            </w:pPr>
            <w:r>
              <w:rPr>
                <w:sz w:val="17"/>
                <w:szCs w:val="17"/>
              </w:rPr>
              <w:t>部门（单位）代码</w:t>
            </w:r>
          </w:p>
        </w:tc>
        <w:tc>
          <w:tcPr>
            <w:tcW w:w="2162" w:type="dxa"/>
          </w:tcPr>
          <w:p>
            <w:pPr>
              <w:pStyle w:val="11"/>
              <w:bidi w:val="0"/>
              <w:jc w:val="center"/>
              <w:rPr>
                <w:vertAlign w:val="baseline"/>
              </w:rPr>
            </w:pPr>
            <w:r>
              <w:rPr>
                <w:sz w:val="17"/>
                <w:szCs w:val="17"/>
              </w:rPr>
              <w:t>部门（单位）名称（功能分类科目名称）</w:t>
            </w:r>
          </w:p>
        </w:tc>
        <w:tc>
          <w:tcPr>
            <w:tcW w:w="2222" w:type="dxa"/>
            <w:vAlign w:val="center"/>
          </w:tcPr>
          <w:p>
            <w:pPr>
              <w:pStyle w:val="10"/>
              <w:spacing w:line="240" w:lineRule="auto"/>
              <w:ind w:firstLine="0" w:firstLineChars="0"/>
              <w:jc w:val="center"/>
              <w:rPr>
                <w:vertAlign w:val="baseline"/>
              </w:rPr>
            </w:pPr>
            <w:r>
              <w:rPr>
                <w:sz w:val="17"/>
                <w:szCs w:val="17"/>
              </w:rPr>
              <w:t>合计</w:t>
            </w:r>
          </w:p>
        </w:tc>
        <w:tc>
          <w:tcPr>
            <w:tcW w:w="2161" w:type="dxa"/>
            <w:vAlign w:val="center"/>
          </w:tcPr>
          <w:p>
            <w:pPr>
              <w:pStyle w:val="10"/>
              <w:spacing w:line="240" w:lineRule="auto"/>
              <w:ind w:firstLine="0" w:firstLineChars="0"/>
              <w:jc w:val="center"/>
              <w:rPr>
                <w:vertAlign w:val="baseline"/>
              </w:rPr>
            </w:pPr>
            <w:r>
              <w:rPr>
                <w:sz w:val="17"/>
                <w:szCs w:val="17"/>
              </w:rPr>
              <w:t>基本支出</w:t>
            </w:r>
          </w:p>
        </w:tc>
        <w:tc>
          <w:tcPr>
            <w:tcW w:w="2161" w:type="dxa"/>
            <w:vAlign w:val="center"/>
          </w:tcPr>
          <w:p>
            <w:pPr>
              <w:pStyle w:val="10"/>
              <w:spacing w:line="240" w:lineRule="auto"/>
              <w:ind w:firstLine="0" w:firstLineChars="0"/>
              <w:jc w:val="center"/>
              <w:rPr>
                <w:vertAlign w:val="baseline"/>
              </w:rPr>
            </w:pPr>
            <w:r>
              <w:rPr>
                <w:sz w:val="17"/>
                <w:szCs w:val="17"/>
              </w:rPr>
              <w:t>项目支出</w:t>
            </w:r>
          </w:p>
        </w:tc>
        <w:tc>
          <w:tcPr>
            <w:tcW w:w="2163" w:type="dxa"/>
            <w:vAlign w:val="center"/>
          </w:tcPr>
          <w:p>
            <w:pPr>
              <w:pStyle w:val="10"/>
              <w:spacing w:line="240" w:lineRule="auto"/>
              <w:ind w:firstLine="0" w:firstLineChars="0"/>
              <w:jc w:val="center"/>
              <w:rPr>
                <w:vertAlign w:val="baseline"/>
              </w:rPr>
            </w:pPr>
            <w:r>
              <w:rPr>
                <w:sz w:val="17"/>
                <w:szCs w:val="17"/>
              </w:rPr>
              <w:t>结转下年支出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7"/>
            <w:tcBorders>
              <w:left w:val="nil"/>
              <w:bottom w:val="nil"/>
              <w:right w:val="nil"/>
            </w:tcBorders>
          </w:tcPr>
          <w:p>
            <w:pPr>
              <w:pStyle w:val="11"/>
              <w:bidi w:val="0"/>
              <w:jc w:val="both"/>
              <w:rPr>
                <w:vertAlign w:val="baseline"/>
              </w:rPr>
            </w:pPr>
            <w:r>
              <w:t>注：本报表金额单位转换时可能存在四舍五入尾数误差</w:t>
            </w:r>
          </w:p>
        </w:tc>
      </w:tr>
    </w:tbl>
    <w:p>
      <w:pPr>
        <w:pStyle w:val="11"/>
        <w:bidi w:val="0"/>
      </w:pPr>
    </w:p>
    <w:p>
      <w:pPr>
        <w:pStyle w:val="11"/>
        <w:bidi w:val="0"/>
      </w:pPr>
    </w:p>
    <w:p>
      <w:pPr>
        <w:pStyle w:val="11"/>
        <w:bidi w:val="0"/>
      </w:pPr>
    </w:p>
    <w:p>
      <w:pPr>
        <w:pStyle w:val="11"/>
        <w:bidi w:val="0"/>
      </w:pPr>
    </w:p>
    <w:p>
      <w:pPr>
        <w:pStyle w:val="11"/>
        <w:bidi w:val="0"/>
      </w:pPr>
    </w:p>
    <w:p>
      <w:pPr>
        <w:pStyle w:val="11"/>
        <w:bidi w:val="0"/>
      </w:pPr>
    </w:p>
    <w:p>
      <w:pPr>
        <w:pStyle w:val="11"/>
        <w:bidi w:val="0"/>
      </w:pPr>
    </w:p>
    <w:p>
      <w:pPr>
        <w:pStyle w:val="11"/>
        <w:bidi w:val="0"/>
      </w:pPr>
    </w:p>
    <w:p>
      <w:pPr>
        <w:pStyle w:val="11"/>
        <w:bidi w:val="0"/>
      </w:pPr>
    </w:p>
    <w:p>
      <w:pPr>
        <w:pStyle w:val="11"/>
        <w:bidi w:val="0"/>
      </w:pPr>
    </w:p>
    <w:p>
      <w:pPr>
        <w:pStyle w:val="11"/>
        <w:bidi w:val="0"/>
      </w:pPr>
    </w:p>
    <w:p>
      <w:pPr>
        <w:pStyle w:val="11"/>
        <w:bidi w:val="0"/>
      </w:pPr>
    </w:p>
    <w:p>
      <w:pPr>
        <w:pStyle w:val="11"/>
        <w:bidi w:val="0"/>
      </w:pPr>
    </w:p>
    <w:p>
      <w:pPr>
        <w:pStyle w:val="11"/>
        <w:bidi w:val="0"/>
      </w:pPr>
    </w:p>
    <w:p>
      <w:pPr>
        <w:pStyle w:val="11"/>
        <w:bidi w:val="0"/>
      </w:pPr>
    </w:p>
    <w:p>
      <w:pPr>
        <w:pStyle w:val="11"/>
        <w:bidi w:val="0"/>
      </w:pPr>
    </w:p>
    <w:p>
      <w:pPr>
        <w:pStyle w:val="11"/>
        <w:bidi w:val="0"/>
      </w:pPr>
    </w:p>
    <w:p>
      <w:pPr>
        <w:pStyle w:val="11"/>
        <w:bidi w:val="0"/>
      </w:pPr>
    </w:p>
    <w:p>
      <w:pPr>
        <w:pStyle w:val="11"/>
        <w:bidi w:val="0"/>
      </w:pPr>
    </w:p>
    <w:p>
      <w:pPr>
        <w:pStyle w:val="11"/>
        <w:bidi w:val="0"/>
      </w:pPr>
    </w:p>
    <w:p>
      <w:pPr>
        <w:pStyle w:val="11"/>
        <w:bidi w:val="0"/>
      </w:pPr>
    </w:p>
    <w:p>
      <w:pPr>
        <w:pStyle w:val="11"/>
        <w:bidi w:val="0"/>
        <w:jc w:val="center"/>
        <w:rPr>
          <w:sz w:val="28"/>
          <w:szCs w:val="28"/>
        </w:rPr>
      </w:pPr>
      <w:r>
        <w:rPr>
          <w:sz w:val="28"/>
          <w:szCs w:val="28"/>
        </w:rPr>
        <w:t>国有资本经营预算支出情况表</w:t>
      </w:r>
    </w:p>
    <w:p>
      <w:pPr>
        <w:pStyle w:val="11"/>
        <w:bidi w:val="0"/>
        <w:jc w:val="center"/>
        <w:rPr>
          <w:sz w:val="28"/>
          <w:szCs w:val="28"/>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7"/>
        <w:gridCol w:w="2161"/>
        <w:gridCol w:w="2162"/>
        <w:gridCol w:w="2222"/>
        <w:gridCol w:w="2161"/>
        <w:gridCol w:w="2161"/>
        <w:gridCol w:w="2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4" w:type="dxa"/>
            <w:gridSpan w:val="6"/>
            <w:tcBorders>
              <w:top w:val="nil"/>
              <w:left w:val="nil"/>
              <w:right w:val="nil"/>
            </w:tcBorders>
          </w:tcPr>
          <w:p>
            <w:pPr>
              <w:pStyle w:val="11"/>
              <w:tabs>
                <w:tab w:val="left" w:pos="14213"/>
              </w:tabs>
              <w:ind w:left="101"/>
              <w:jc w:val="left"/>
            </w:pPr>
            <w:r>
              <w:t>单位名称：</w:t>
            </w:r>
            <w:r>
              <w:rPr>
                <w:rFonts w:hint="eastAsia"/>
                <w:lang w:eastAsia="zh-CN"/>
              </w:rPr>
              <w:t>环江毛南族自治县川山镇计生所</w:t>
            </w:r>
            <w:r>
              <w:tab/>
            </w:r>
            <w:r>
              <w:t>单位：万元</w:t>
            </w:r>
          </w:p>
        </w:tc>
        <w:tc>
          <w:tcPr>
            <w:tcW w:w="2163" w:type="dxa"/>
            <w:tcBorders>
              <w:top w:val="nil"/>
              <w:left w:val="nil"/>
              <w:right w:val="nil"/>
            </w:tcBorders>
          </w:tcPr>
          <w:p>
            <w:pPr>
              <w:pStyle w:val="11"/>
              <w:tabs>
                <w:tab w:val="left" w:pos="14213"/>
              </w:tabs>
              <w:ind w:left="101"/>
              <w:jc w:val="left"/>
            </w:pPr>
            <w:r>
              <w:rPr>
                <w:rFonts w:hint="eastAsia" w:ascii="宋体" w:hAnsi="宋体" w:eastAsia="宋体" w:cs="宋体"/>
                <w:sz w:val="17"/>
                <w:szCs w:val="17"/>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vMerge w:val="restart"/>
          </w:tcPr>
          <w:p>
            <w:pPr>
              <w:pStyle w:val="11"/>
              <w:bidi w:val="0"/>
              <w:jc w:val="center"/>
              <w:rPr>
                <w:vertAlign w:val="baseline"/>
              </w:rPr>
            </w:pPr>
            <w:r>
              <w:rPr>
                <w:sz w:val="17"/>
                <w:szCs w:val="17"/>
              </w:rPr>
              <w:t>科目编码</w:t>
            </w:r>
          </w:p>
        </w:tc>
        <w:tc>
          <w:tcPr>
            <w:tcW w:w="2161" w:type="dxa"/>
            <w:vMerge w:val="restart"/>
          </w:tcPr>
          <w:p>
            <w:pPr>
              <w:pStyle w:val="11"/>
              <w:bidi w:val="0"/>
              <w:jc w:val="center"/>
              <w:rPr>
                <w:vertAlign w:val="baseline"/>
              </w:rPr>
            </w:pPr>
            <w:r>
              <w:rPr>
                <w:sz w:val="17"/>
                <w:szCs w:val="17"/>
              </w:rPr>
              <w:t>部门（单位）代码</w:t>
            </w:r>
          </w:p>
        </w:tc>
        <w:tc>
          <w:tcPr>
            <w:tcW w:w="2162" w:type="dxa"/>
            <w:vMerge w:val="restart"/>
          </w:tcPr>
          <w:p>
            <w:pPr>
              <w:pStyle w:val="11"/>
              <w:bidi w:val="0"/>
              <w:jc w:val="center"/>
              <w:rPr>
                <w:vertAlign w:val="baseline"/>
              </w:rPr>
            </w:pPr>
            <w:r>
              <w:rPr>
                <w:sz w:val="17"/>
                <w:szCs w:val="17"/>
              </w:rPr>
              <w:t>部门（单位）名称（功能分类科目名称）</w:t>
            </w:r>
          </w:p>
        </w:tc>
        <w:tc>
          <w:tcPr>
            <w:tcW w:w="2222" w:type="dxa"/>
            <w:vAlign w:val="center"/>
          </w:tcPr>
          <w:p>
            <w:pPr>
              <w:pStyle w:val="10"/>
              <w:spacing w:line="240" w:lineRule="auto"/>
              <w:ind w:firstLine="0" w:firstLineChars="0"/>
              <w:jc w:val="center"/>
              <w:rPr>
                <w:vertAlign w:val="baseline"/>
              </w:rPr>
            </w:pPr>
            <w:r>
              <w:rPr>
                <w:sz w:val="17"/>
                <w:szCs w:val="17"/>
              </w:rPr>
              <w:t>合计</w:t>
            </w:r>
          </w:p>
        </w:tc>
        <w:tc>
          <w:tcPr>
            <w:tcW w:w="2161" w:type="dxa"/>
            <w:vAlign w:val="center"/>
          </w:tcPr>
          <w:p>
            <w:pPr>
              <w:pStyle w:val="10"/>
              <w:spacing w:line="240" w:lineRule="auto"/>
              <w:ind w:firstLine="0" w:firstLineChars="0"/>
              <w:jc w:val="center"/>
              <w:rPr>
                <w:vertAlign w:val="baseline"/>
              </w:rPr>
            </w:pPr>
            <w:r>
              <w:rPr>
                <w:sz w:val="17"/>
                <w:szCs w:val="17"/>
              </w:rPr>
              <w:t>基本支出</w:t>
            </w:r>
          </w:p>
        </w:tc>
        <w:tc>
          <w:tcPr>
            <w:tcW w:w="2161" w:type="dxa"/>
            <w:vAlign w:val="center"/>
          </w:tcPr>
          <w:p>
            <w:pPr>
              <w:pStyle w:val="10"/>
              <w:spacing w:line="240" w:lineRule="auto"/>
              <w:ind w:firstLine="0" w:firstLineChars="0"/>
              <w:jc w:val="center"/>
              <w:rPr>
                <w:vertAlign w:val="baseline"/>
              </w:rPr>
            </w:pPr>
            <w:r>
              <w:rPr>
                <w:sz w:val="17"/>
                <w:szCs w:val="17"/>
              </w:rPr>
              <w:t>项目支出</w:t>
            </w:r>
          </w:p>
        </w:tc>
        <w:tc>
          <w:tcPr>
            <w:tcW w:w="2163" w:type="dxa"/>
            <w:vAlign w:val="center"/>
          </w:tcPr>
          <w:p>
            <w:pPr>
              <w:pStyle w:val="10"/>
              <w:spacing w:line="240" w:lineRule="auto"/>
              <w:ind w:firstLine="0" w:firstLineChars="0"/>
              <w:jc w:val="center"/>
              <w:rPr>
                <w:vertAlign w:val="baseline"/>
              </w:rPr>
            </w:pPr>
            <w:r>
              <w:rPr>
                <w:sz w:val="17"/>
                <w:szCs w:val="17"/>
              </w:rPr>
              <w:t>结转下年支出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vMerge w:val="continue"/>
          </w:tcPr>
          <w:p>
            <w:pPr>
              <w:pStyle w:val="11"/>
              <w:bidi w:val="0"/>
              <w:jc w:val="both"/>
              <w:rPr>
                <w:vertAlign w:val="baseline"/>
              </w:rPr>
            </w:pPr>
          </w:p>
        </w:tc>
        <w:tc>
          <w:tcPr>
            <w:tcW w:w="2161" w:type="dxa"/>
            <w:vMerge w:val="continue"/>
          </w:tcPr>
          <w:p>
            <w:pPr>
              <w:pStyle w:val="11"/>
              <w:bidi w:val="0"/>
              <w:jc w:val="both"/>
              <w:rPr>
                <w:vertAlign w:val="baseline"/>
              </w:rPr>
            </w:pPr>
          </w:p>
        </w:tc>
        <w:tc>
          <w:tcPr>
            <w:tcW w:w="2162" w:type="dxa"/>
            <w:vMerge w:val="continue"/>
          </w:tcPr>
          <w:p>
            <w:pPr>
              <w:pStyle w:val="11"/>
              <w:bidi w:val="0"/>
              <w:jc w:val="both"/>
              <w:rPr>
                <w:vertAlign w:val="baseline"/>
              </w:rPr>
            </w:pPr>
          </w:p>
        </w:tc>
        <w:tc>
          <w:tcPr>
            <w:tcW w:w="2222" w:type="dxa"/>
            <w:vAlign w:val="center"/>
          </w:tcPr>
          <w:p>
            <w:pPr>
              <w:pStyle w:val="10"/>
              <w:spacing w:line="240" w:lineRule="auto"/>
              <w:ind w:firstLine="0" w:firstLineChars="0"/>
              <w:jc w:val="center"/>
              <w:rPr>
                <w:vertAlign w:val="baseline"/>
              </w:rPr>
            </w:pPr>
            <w:r>
              <w:rPr>
                <w:rFonts w:ascii="Times New Roman" w:hAnsi="Times New Roman" w:eastAsia="Times New Roman" w:cs="Times New Roman"/>
                <w:b/>
                <w:bCs/>
                <w:sz w:val="17"/>
                <w:szCs w:val="17"/>
              </w:rPr>
              <w:t>1</w:t>
            </w:r>
          </w:p>
        </w:tc>
        <w:tc>
          <w:tcPr>
            <w:tcW w:w="2161" w:type="dxa"/>
            <w:vAlign w:val="center"/>
          </w:tcPr>
          <w:p>
            <w:pPr>
              <w:pStyle w:val="10"/>
              <w:spacing w:line="240" w:lineRule="auto"/>
              <w:ind w:firstLine="0" w:firstLineChars="0"/>
              <w:jc w:val="center"/>
              <w:rPr>
                <w:vertAlign w:val="baseline"/>
              </w:rPr>
            </w:pPr>
            <w:r>
              <w:rPr>
                <w:rFonts w:ascii="Times New Roman" w:hAnsi="Times New Roman" w:eastAsia="Times New Roman" w:cs="Times New Roman"/>
                <w:b/>
                <w:bCs/>
                <w:sz w:val="17"/>
                <w:szCs w:val="17"/>
              </w:rPr>
              <w:t>2</w:t>
            </w:r>
          </w:p>
        </w:tc>
        <w:tc>
          <w:tcPr>
            <w:tcW w:w="2161" w:type="dxa"/>
            <w:vAlign w:val="center"/>
          </w:tcPr>
          <w:p>
            <w:pPr>
              <w:pStyle w:val="10"/>
              <w:spacing w:line="240" w:lineRule="auto"/>
              <w:ind w:firstLine="0" w:firstLineChars="0"/>
              <w:jc w:val="center"/>
              <w:rPr>
                <w:vertAlign w:val="baseline"/>
              </w:rPr>
            </w:pPr>
            <w:r>
              <w:rPr>
                <w:rFonts w:ascii="Times New Roman" w:hAnsi="Times New Roman" w:eastAsia="Times New Roman" w:cs="Times New Roman"/>
                <w:b/>
                <w:bCs/>
                <w:sz w:val="17"/>
                <w:szCs w:val="17"/>
              </w:rPr>
              <w:t>3</w:t>
            </w:r>
          </w:p>
        </w:tc>
        <w:tc>
          <w:tcPr>
            <w:tcW w:w="2163" w:type="dxa"/>
            <w:vAlign w:val="center"/>
          </w:tcPr>
          <w:p>
            <w:pPr>
              <w:pStyle w:val="10"/>
              <w:spacing w:line="240" w:lineRule="auto"/>
              <w:ind w:firstLine="0" w:firstLineChars="0"/>
              <w:jc w:val="center"/>
              <w:rPr>
                <w:vertAlign w:val="baseline"/>
              </w:rPr>
            </w:pPr>
            <w:r>
              <w:rPr>
                <w:rFonts w:ascii="Times New Roman" w:hAnsi="Times New Roman" w:eastAsia="Times New Roman" w:cs="Times New Roman"/>
                <w:b/>
                <w:bCs/>
                <w:sz w:val="17"/>
                <w:szCs w:val="17"/>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10"/>
              <w:spacing w:line="240" w:lineRule="auto"/>
              <w:ind w:firstLine="0" w:firstLineChars="0"/>
              <w:jc w:val="left"/>
              <w:rPr>
                <w:vertAlign w:val="baseline"/>
              </w:rPr>
            </w:pPr>
            <w:r>
              <w:rPr>
                <w:sz w:val="17"/>
                <w:szCs w:val="17"/>
              </w:rPr>
              <w:t>合计</w:t>
            </w:r>
          </w:p>
        </w:tc>
        <w:tc>
          <w:tcPr>
            <w:tcW w:w="2222" w:type="dxa"/>
            <w:vAlign w:val="center"/>
          </w:tcPr>
          <w:p>
            <w:pPr>
              <w:pStyle w:val="10"/>
              <w:spacing w:line="240" w:lineRule="auto"/>
              <w:ind w:left="1700" w:leftChars="0"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2161" w:type="dxa"/>
            <w:vAlign w:val="center"/>
          </w:tcPr>
          <w:p>
            <w:pPr>
              <w:pStyle w:val="10"/>
              <w:spacing w:line="240" w:lineRule="auto"/>
              <w:ind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2161" w:type="dxa"/>
            <w:vAlign w:val="center"/>
          </w:tcPr>
          <w:p>
            <w:pPr>
              <w:pStyle w:val="10"/>
              <w:spacing w:line="240" w:lineRule="auto"/>
              <w:ind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2163" w:type="dxa"/>
            <w:vAlign w:val="center"/>
          </w:tcPr>
          <w:p>
            <w:pPr>
              <w:pStyle w:val="10"/>
              <w:spacing w:line="240" w:lineRule="auto"/>
              <w:ind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7"/>
            <w:tcBorders>
              <w:left w:val="nil"/>
              <w:bottom w:val="nil"/>
              <w:right w:val="nil"/>
            </w:tcBorders>
          </w:tcPr>
          <w:p>
            <w:pPr>
              <w:pStyle w:val="11"/>
              <w:spacing w:line="302" w:lineRule="exact"/>
              <w:ind w:left="672"/>
              <w:jc w:val="left"/>
            </w:pPr>
            <w:r>
              <w:t>注：本报表金额单位转换时可能存在四舍五入尾数误差。本部门</w:t>
            </w:r>
            <w:r>
              <w:rPr>
                <w:rFonts w:hint="eastAsia" w:ascii="Times New Roman" w:hAnsi="Times New Roman" w:cs="Times New Roman"/>
                <w:b/>
                <w:bCs/>
                <w:lang w:eastAsia="zh-CN"/>
              </w:rPr>
              <w:t>2024</w:t>
            </w:r>
            <w:r>
              <w:rPr>
                <w:rFonts w:ascii="Times New Roman" w:hAnsi="Times New Roman" w:cs="Times New Roman"/>
                <w:b/>
                <w:u w:color="auto"/>
              </w:rPr>
              <w:t>年</w:t>
            </w:r>
            <w:r>
              <w:t>度没有国有资本经营预算支出，故本表无数据</w:t>
            </w:r>
          </w:p>
          <w:p>
            <w:pPr>
              <w:pStyle w:val="11"/>
              <w:bidi w:val="0"/>
              <w:jc w:val="both"/>
              <w:rPr>
                <w:vertAlign w:val="baseline"/>
              </w:rPr>
            </w:pPr>
          </w:p>
        </w:tc>
      </w:tr>
    </w:tbl>
    <w:p>
      <w:pPr>
        <w:pStyle w:val="11"/>
        <w:bidi w:val="0"/>
      </w:pPr>
    </w:p>
    <w:p>
      <w:r>
        <w:br w:type="page"/>
      </w:r>
    </w:p>
    <w:p>
      <w:pPr>
        <w:pStyle w:val="9"/>
        <w:keepNext/>
        <w:keepLines/>
        <w:spacing w:after="240"/>
        <w:jc w:val="center"/>
        <w:rPr>
          <w:rFonts w:hint="default" w:eastAsia="宋体"/>
          <w:lang w:val="en-US" w:eastAsia="zh-CN"/>
        </w:rPr>
      </w:pPr>
      <w:r>
        <w:rPr>
          <w:rFonts w:hint="eastAsia"/>
          <w:lang w:val="en-US" w:eastAsia="zh-CN"/>
        </w:rPr>
        <w:t>2024年度预算项目绩效目标公开表</w:t>
      </w:r>
    </w:p>
    <w:tbl>
      <w:tblPr>
        <w:tblStyle w:val="2"/>
        <w:tblW w:w="0" w:type="auto"/>
        <w:tblInd w:w="0" w:type="dxa"/>
        <w:tblLayout w:type="fixed"/>
        <w:tblCellMar>
          <w:top w:w="0" w:type="dxa"/>
          <w:left w:w="10" w:type="dxa"/>
          <w:bottom w:w="0" w:type="dxa"/>
          <w:right w:w="10" w:type="dxa"/>
        </w:tblCellMar>
      </w:tblPr>
      <w:tblGrid>
        <w:gridCol w:w="1843"/>
        <w:gridCol w:w="2559"/>
        <w:gridCol w:w="3350"/>
        <w:gridCol w:w="1511"/>
        <w:gridCol w:w="6076"/>
      </w:tblGrid>
      <w:tr>
        <w:tblPrEx>
          <w:tblCellMar>
            <w:top w:w="0" w:type="dxa"/>
            <w:left w:w="10" w:type="dxa"/>
            <w:bottom w:w="0" w:type="dxa"/>
            <w:right w:w="10" w:type="dxa"/>
          </w:tblCellMar>
        </w:tblPrEx>
        <w:trPr>
          <w:trHeight w:val="346" w:hRule="exact"/>
        </w:trPr>
        <w:tc>
          <w:tcPr>
            <w:tcW w:w="9263" w:type="dxa"/>
            <w:gridSpan w:val="4"/>
            <w:shd w:val="clear" w:color="auto" w:fill="FFFFFF"/>
          </w:tcPr>
          <w:p>
            <w:pPr>
              <w:pStyle w:val="10"/>
              <w:spacing w:line="240" w:lineRule="auto"/>
              <w:ind w:firstLine="0"/>
              <w:jc w:val="left"/>
              <w:rPr>
                <w:rFonts w:hint="default" w:ascii="宋体" w:hAnsi="宋体" w:eastAsia="宋体" w:cs="宋体"/>
                <w:sz w:val="17"/>
                <w:szCs w:val="17"/>
                <w:lang w:val="en-US"/>
              </w:rPr>
            </w:pPr>
            <w:r>
              <w:rPr>
                <w:rFonts w:hint="eastAsia" w:ascii="宋体" w:hAnsi="宋体" w:eastAsia="宋体" w:cs="宋体"/>
                <w:sz w:val="17"/>
                <w:szCs w:val="17"/>
              </w:rPr>
              <w:t>单位名称：</w:t>
            </w:r>
            <w:r>
              <w:rPr>
                <w:rFonts w:hint="eastAsia" w:ascii="宋体" w:hAnsi="宋体" w:eastAsia="宋体" w:cs="宋体"/>
                <w:sz w:val="17"/>
                <w:szCs w:val="17"/>
                <w:lang w:eastAsia="zh-CN"/>
              </w:rPr>
              <w:t>环江毛南族自治县川山镇计生所</w:t>
            </w:r>
            <w:r>
              <w:rPr>
                <w:rFonts w:hint="eastAsia" w:cs="宋体"/>
                <w:sz w:val="17"/>
                <w:szCs w:val="17"/>
                <w:lang w:val="en-US" w:eastAsia="zh-CN"/>
              </w:rPr>
              <w:t xml:space="preserve">            </w:t>
            </w:r>
          </w:p>
        </w:tc>
        <w:tc>
          <w:tcPr>
            <w:tcW w:w="6076" w:type="dxa"/>
            <w:shd w:val="clear" w:color="auto" w:fill="FFFFFF"/>
          </w:tcPr>
          <w:p>
            <w:pPr>
              <w:pStyle w:val="10"/>
              <w:spacing w:line="240" w:lineRule="auto"/>
              <w:ind w:firstLine="4760" w:firstLineChars="2800"/>
              <w:jc w:val="left"/>
              <w:rPr>
                <w:rFonts w:hint="eastAsia" w:ascii="宋体" w:hAnsi="宋体" w:eastAsia="宋体" w:cs="宋体"/>
                <w:sz w:val="17"/>
                <w:szCs w:val="17"/>
              </w:rPr>
            </w:pPr>
            <w:r>
              <w:rPr>
                <w:rFonts w:hint="eastAsia" w:ascii="宋体" w:hAnsi="宋体" w:eastAsia="宋体" w:cs="宋体"/>
                <w:sz w:val="17"/>
                <w:szCs w:val="17"/>
              </w:rPr>
              <w:t>单位：万元</w:t>
            </w:r>
          </w:p>
        </w:tc>
      </w:tr>
      <w:tr>
        <w:tblPrEx>
          <w:tblCellMar>
            <w:top w:w="0" w:type="dxa"/>
            <w:left w:w="10" w:type="dxa"/>
            <w:bottom w:w="0" w:type="dxa"/>
            <w:right w:w="10" w:type="dxa"/>
          </w:tblCellMar>
        </w:tblPrEx>
        <w:trPr>
          <w:trHeight w:val="854" w:hRule="exact"/>
        </w:trPr>
        <w:tc>
          <w:tcPr>
            <w:tcW w:w="1843" w:type="dxa"/>
            <w:tcBorders>
              <w:top w:val="single" w:color="auto" w:sz="4" w:space="0"/>
              <w:left w:val="single" w:color="auto" w:sz="4" w:space="0"/>
              <w:bottom w:val="single" w:color="auto" w:sz="4" w:space="0"/>
            </w:tcBorders>
            <w:shd w:val="clear" w:color="auto" w:fill="FFFFFF"/>
            <w:vAlign w:val="center"/>
          </w:tcPr>
          <w:p>
            <w:pPr>
              <w:pStyle w:val="10"/>
              <w:spacing w:line="240" w:lineRule="auto"/>
              <w:ind w:firstLine="0"/>
              <w:jc w:val="center"/>
              <w:rPr>
                <w:rFonts w:hint="eastAsia" w:ascii="宋体" w:hAnsi="宋体" w:eastAsia="宋体" w:cs="宋体"/>
                <w:sz w:val="17"/>
                <w:szCs w:val="17"/>
                <w:lang w:val="en-US" w:eastAsia="zh-CN"/>
              </w:rPr>
            </w:pPr>
            <w:r>
              <w:rPr>
                <w:rFonts w:ascii="宋体" w:hAnsi="宋体" w:eastAsia="宋体" w:cs="宋体"/>
                <w:sz w:val="17"/>
                <w:u w:color="auto"/>
              </w:rPr>
              <w:t>单位代码</w:t>
            </w:r>
          </w:p>
        </w:tc>
        <w:tc>
          <w:tcPr>
            <w:tcW w:w="2559" w:type="dxa"/>
            <w:tcBorders>
              <w:top w:val="single" w:color="auto" w:sz="4" w:space="0"/>
              <w:left w:val="single" w:color="auto" w:sz="4" w:space="0"/>
              <w:bottom w:val="single" w:color="auto" w:sz="4" w:space="0"/>
            </w:tcBorders>
            <w:shd w:val="clear" w:color="auto" w:fill="FFFFFF"/>
            <w:vAlign w:val="center"/>
          </w:tcPr>
          <w:p>
            <w:pPr>
              <w:pStyle w:val="10"/>
              <w:spacing w:line="240" w:lineRule="auto"/>
              <w:ind w:firstLine="24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单位名称</w:t>
            </w:r>
          </w:p>
        </w:tc>
        <w:tc>
          <w:tcPr>
            <w:tcW w:w="3350" w:type="dxa"/>
            <w:tcBorders>
              <w:top w:val="single" w:color="auto" w:sz="4" w:space="0"/>
              <w:left w:val="single" w:color="auto" w:sz="4" w:space="0"/>
              <w:bottom w:val="single" w:color="auto" w:sz="4" w:space="0"/>
            </w:tcBorders>
            <w:shd w:val="clear" w:color="auto" w:fill="FFFFFF"/>
            <w:vAlign w:val="center"/>
          </w:tcPr>
          <w:p>
            <w:pPr>
              <w:pStyle w:val="10"/>
              <w:spacing w:line="240" w:lineRule="auto"/>
              <w:ind w:firstLine="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项目名称</w:t>
            </w:r>
          </w:p>
        </w:tc>
        <w:tc>
          <w:tcPr>
            <w:tcW w:w="1511" w:type="dxa"/>
            <w:tcBorders>
              <w:top w:val="single" w:color="auto" w:sz="4" w:space="0"/>
              <w:left w:val="single" w:color="auto" w:sz="4" w:space="0"/>
              <w:bottom w:val="single" w:color="auto" w:sz="4" w:space="0"/>
            </w:tcBorders>
            <w:shd w:val="clear" w:color="auto" w:fill="FFFFFF"/>
            <w:vAlign w:val="center"/>
          </w:tcPr>
          <w:p>
            <w:pPr>
              <w:pStyle w:val="10"/>
              <w:spacing w:line="240" w:lineRule="auto"/>
              <w:ind w:firstLine="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预算金额</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
              <w:spacing w:line="240" w:lineRule="auto"/>
              <w:ind w:firstLine="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年度绩效目标</w:t>
            </w:r>
          </w:p>
        </w:tc>
      </w:tr>
    </w:tbl>
    <w:p>
      <w:pPr>
        <w:jc w:val="left"/>
        <w:rPr>
          <w:rFonts w:hint="eastAsia"/>
        </w:rPr>
      </w:pPr>
      <w:r>
        <w:t>注：本报表金额单位转换时可能存在四舍五入尾数误差。</w:t>
      </w:r>
    </w:p>
    <w:p>
      <w:pPr>
        <w:jc w:val="left"/>
        <w:rPr>
          <w:rFonts w:hint="eastAsia"/>
          <w:lang w:eastAsia="zh-CN"/>
        </w:rPr>
        <w:sectPr>
          <w:headerReference r:id="rId10" w:type="default"/>
          <w:footerReference r:id="rId11" w:type="default"/>
          <w:pgSz w:w="16840" w:h="11900" w:orient="landscape"/>
          <w:pgMar w:top="2714" w:right="764" w:bottom="2714" w:left="735" w:header="2286" w:footer="3" w:gutter="0"/>
          <w:pgBorders>
            <w:top w:val="none" w:sz="0" w:space="0"/>
            <w:left w:val="none" w:sz="0" w:space="0"/>
            <w:bottom w:val="none" w:sz="0" w:space="0"/>
            <w:right w:val="none" w:sz="0" w:space="0"/>
          </w:pgBorders>
          <w:cols w:space="720" w:num="1"/>
          <w:docGrid w:linePitch="360" w:charSpace="0"/>
        </w:sectPr>
      </w:pPr>
    </w:p>
    <w:p>
      <w:pPr>
        <w:pStyle w:val="5"/>
        <w:keepNext/>
        <w:keepLines/>
        <w:spacing w:before="200" w:after="0"/>
        <w:jc w:val="center"/>
      </w:pPr>
      <w:bookmarkStart w:id="31" w:name="bookmark95"/>
      <w:bookmarkStart w:id="32" w:name="bookmark96"/>
      <w:bookmarkStart w:id="33" w:name="bookmark94"/>
      <w:r>
        <w:t>第四部分名词解释</w:t>
      </w:r>
      <w:bookmarkEnd w:id="31"/>
      <w:bookmarkEnd w:id="32"/>
      <w:bookmarkEnd w:id="33"/>
    </w:p>
    <w:p>
      <w:pPr>
        <w:pStyle w:val="7"/>
        <w:tabs>
          <w:tab w:val="left" w:pos="1270"/>
        </w:tabs>
        <w:spacing w:line="626" w:lineRule="exact"/>
        <w:ind w:firstLine="640"/>
        <w:jc w:val="left"/>
      </w:pPr>
      <w:bookmarkStart w:id="34" w:name="bookmark97"/>
      <w:r>
        <w:t>一</w:t>
      </w:r>
      <w:bookmarkEnd w:id="34"/>
      <w:r>
        <w:t>、</w:t>
      </w:r>
      <w:r>
        <w:tab/>
      </w:r>
      <w:r>
        <w:t>财政拨款收入：指预算单位从本级财政部门取得的财政预算资金收入。</w:t>
      </w:r>
    </w:p>
    <w:p>
      <w:pPr>
        <w:pStyle w:val="7"/>
        <w:tabs>
          <w:tab w:val="left" w:pos="1280"/>
        </w:tabs>
        <w:spacing w:line="626" w:lineRule="exact"/>
        <w:ind w:firstLine="640"/>
        <w:jc w:val="left"/>
      </w:pPr>
      <w:bookmarkStart w:id="35" w:name="bookmark98"/>
      <w:r>
        <w:t>二</w:t>
      </w:r>
      <w:bookmarkEnd w:id="35"/>
      <w:r>
        <w:t>、</w:t>
      </w:r>
      <w:r>
        <w:tab/>
      </w:r>
      <w:r>
        <w:t>事业收入：指事业单位开展专业业务活动及辅助活动所取得的收入。</w:t>
      </w:r>
    </w:p>
    <w:p>
      <w:pPr>
        <w:pStyle w:val="7"/>
        <w:tabs>
          <w:tab w:val="left" w:pos="1275"/>
        </w:tabs>
        <w:spacing w:line="626" w:lineRule="exact"/>
        <w:ind w:firstLine="640"/>
        <w:jc w:val="left"/>
      </w:pPr>
      <w:bookmarkStart w:id="36" w:name="bookmark99"/>
      <w:r>
        <w:t>三</w:t>
      </w:r>
      <w:bookmarkEnd w:id="36"/>
      <w:r>
        <w:t>、</w:t>
      </w:r>
      <w:r>
        <w:tab/>
      </w:r>
      <w:r>
        <w:t>经营收入：指事业单位在专业业务活动及其辅助活动之外开展非独立核算经营活动取得的收入。</w:t>
      </w:r>
    </w:p>
    <w:p>
      <w:pPr>
        <w:pStyle w:val="7"/>
        <w:tabs>
          <w:tab w:val="left" w:pos="1309"/>
        </w:tabs>
        <w:spacing w:line="626" w:lineRule="exact"/>
        <w:ind w:firstLine="640"/>
        <w:jc w:val="left"/>
      </w:pPr>
      <w:bookmarkStart w:id="37" w:name="bookmark100"/>
      <w:r>
        <w:t>四</w:t>
      </w:r>
      <w:bookmarkEnd w:id="37"/>
      <w:r>
        <w:t>、</w:t>
      </w:r>
      <w:r>
        <w:tab/>
      </w:r>
      <w:r>
        <w:t>其他收入：指除上述</w:t>
      </w:r>
      <w:r>
        <w:rPr>
          <w:lang w:val="zh-CN" w:eastAsia="zh-CN" w:bidi="zh-CN"/>
        </w:rPr>
        <w:t>“财</w:t>
      </w:r>
      <w:r>
        <w:t>政拨款收入”、</w:t>
      </w:r>
      <w:r>
        <w:rPr>
          <w:lang w:val="zh-CN" w:eastAsia="zh-CN" w:bidi="zh-CN"/>
        </w:rPr>
        <w:t>“事</w:t>
      </w:r>
      <w:r>
        <w:t>业收入"、</w:t>
      </w:r>
      <w:r>
        <w:rPr>
          <w:lang w:val="zh-CN" w:eastAsia="zh-CN" w:bidi="zh-CN"/>
        </w:rPr>
        <w:t>“经营</w:t>
      </w:r>
      <w:r>
        <w:t>收入"等以外的收入。主要是非本级财政拨款、存款利息收入、事业单位固定资产出租收入等。</w:t>
      </w:r>
    </w:p>
    <w:p>
      <w:pPr>
        <w:pStyle w:val="7"/>
        <w:tabs>
          <w:tab w:val="left" w:pos="1275"/>
        </w:tabs>
        <w:spacing w:line="626" w:lineRule="exact"/>
        <w:ind w:firstLine="640"/>
        <w:jc w:val="left"/>
      </w:pPr>
      <w:bookmarkStart w:id="38" w:name="bookmark101"/>
      <w:r>
        <w:t>五</w:t>
      </w:r>
      <w:bookmarkEnd w:id="38"/>
      <w:r>
        <w:t>、</w:t>
      </w:r>
      <w:r>
        <w:tab/>
      </w:r>
      <w:r>
        <w:t>用事业基金弥补收支差额：指事业单位在用当年的</w:t>
      </w:r>
      <w:r>
        <w:rPr>
          <w:lang w:val="zh-CN" w:eastAsia="zh-CN" w:bidi="zh-CN"/>
        </w:rPr>
        <w:t>“财</w:t>
      </w:r>
      <w:r>
        <w:t>政拨款收入"、</w:t>
      </w:r>
      <w:r>
        <w:rPr>
          <w:lang w:val="zh-CN" w:eastAsia="zh-CN" w:bidi="zh-CN"/>
        </w:rPr>
        <w:t>“事业</w:t>
      </w:r>
      <w:r>
        <w:t>收入"、</w:t>
      </w:r>
      <w:r>
        <w:rPr>
          <w:lang w:val="zh-CN" w:eastAsia="zh-CN" w:bidi="zh-CN"/>
        </w:rPr>
        <w:t>“经营</w:t>
      </w:r>
      <w:r>
        <w:t>收入"、</w:t>
      </w:r>
      <w:r>
        <w:rPr>
          <w:lang w:val="zh-CN" w:eastAsia="zh-CN" w:bidi="zh-CN"/>
        </w:rPr>
        <w:t>“其他</w:t>
      </w:r>
      <w:r>
        <w:t>收入"不足以安排当年支出的情况下，使用以前年度积累的事业基金（事业单位当年收支相抵后按国家规定提取、用于弥补以后年度收支差额的基金）弥补本年度收支缺口的资金。</w:t>
      </w:r>
    </w:p>
    <w:p>
      <w:pPr>
        <w:pStyle w:val="7"/>
        <w:tabs>
          <w:tab w:val="left" w:pos="1270"/>
        </w:tabs>
        <w:spacing w:line="626" w:lineRule="exact"/>
        <w:ind w:firstLine="640"/>
        <w:jc w:val="left"/>
      </w:pPr>
      <w:bookmarkStart w:id="39" w:name="bookmark102"/>
      <w:r>
        <w:t>六</w:t>
      </w:r>
      <w:bookmarkEnd w:id="39"/>
      <w:r>
        <w:t>、</w:t>
      </w:r>
      <w:r>
        <w:tab/>
      </w:r>
      <w:r>
        <w:t>年初结转和结余：指以前年度尚未完成、结转到本年按有关规定继续使用的资金。</w:t>
      </w:r>
    </w:p>
    <w:p>
      <w:pPr>
        <w:pStyle w:val="7"/>
        <w:tabs>
          <w:tab w:val="left" w:pos="1275"/>
        </w:tabs>
        <w:spacing w:line="626" w:lineRule="exact"/>
        <w:ind w:firstLine="640"/>
        <w:jc w:val="left"/>
      </w:pPr>
      <w:bookmarkStart w:id="40" w:name="bookmark103"/>
      <w:r>
        <w:t>七</w:t>
      </w:r>
      <w:bookmarkEnd w:id="40"/>
      <w:r>
        <w:t>、</w:t>
      </w:r>
      <w:r>
        <w:tab/>
      </w:r>
      <w:r>
        <w:t>结余分配：指事业单位按规定提取的职工福利基金、事业基金和缴纳的所得税，以及建设单位按规定应交回的基本建设竣工项目结余资金。</w:t>
      </w:r>
    </w:p>
    <w:p>
      <w:pPr>
        <w:pStyle w:val="7"/>
        <w:tabs>
          <w:tab w:val="left" w:pos="632"/>
        </w:tabs>
        <w:spacing w:line="626" w:lineRule="exact"/>
        <w:ind w:firstLine="640"/>
        <w:jc w:val="left"/>
      </w:pPr>
      <w:bookmarkStart w:id="41" w:name="bookmark104"/>
      <w:r>
        <w:t>八</w:t>
      </w:r>
      <w:bookmarkEnd w:id="41"/>
      <w:r>
        <w:t>、</w:t>
      </w:r>
      <w:r>
        <w:tab/>
      </w:r>
      <w:r>
        <w:t>年末结转和结余：指本年度或以前年度预算安排、因客观条件发生变化无法按原计划实施，需要延迟到以后年度按有关规定继续使用的资金。</w:t>
      </w:r>
    </w:p>
    <w:p>
      <w:pPr>
        <w:pStyle w:val="7"/>
        <w:spacing w:line="628" w:lineRule="exact"/>
        <w:ind w:firstLine="640"/>
        <w:jc w:val="left"/>
      </w:pPr>
      <w:bookmarkStart w:id="42" w:name="bookmark105"/>
      <w:r>
        <w:t>九</w:t>
      </w:r>
      <w:bookmarkEnd w:id="42"/>
      <w:r>
        <w:t>、基本支出：指为保障机构正常运转、完成日常工作任务而发生的人员支出和公用支出。</w:t>
      </w:r>
    </w:p>
    <w:p>
      <w:pPr>
        <w:pStyle w:val="7"/>
        <w:spacing w:line="628" w:lineRule="exact"/>
        <w:ind w:firstLine="640"/>
        <w:jc w:val="left"/>
      </w:pPr>
      <w:r>
        <w:t>十、项目支出：指在基本支出之外为完成特定行政任务和事业发展目标所发生的支出。</w:t>
      </w:r>
    </w:p>
    <w:p>
      <w:pPr>
        <w:pStyle w:val="7"/>
        <w:spacing w:line="628" w:lineRule="exact"/>
        <w:ind w:firstLine="640"/>
        <w:jc w:val="left"/>
      </w:pPr>
      <w:r>
        <w:t>十一、经营支出：指事业单位在专业业务活动及其辅助活动之外开展非独立核算经营活动所发生的支出。</w:t>
      </w:r>
    </w:p>
    <w:p>
      <w:pPr>
        <w:pStyle w:val="7"/>
        <w:spacing w:line="628" w:lineRule="exact"/>
        <w:ind w:firstLine="640"/>
        <w:jc w:val="left"/>
      </w:pPr>
      <w:r>
        <w:t>十二、</w:t>
      </w:r>
      <w:r>
        <w:rPr>
          <w:lang w:val="zh-CN" w:eastAsia="zh-CN" w:bidi="zh-CN"/>
        </w:rPr>
        <w:t>“三</w:t>
      </w:r>
      <w:r>
        <w:t>公”经费：纳入财政预决算管理的</w:t>
      </w:r>
      <w:r>
        <w:rPr>
          <w:lang w:val="zh-CN" w:eastAsia="zh-CN" w:bidi="zh-CN"/>
        </w:rPr>
        <w:t>“三公</w:t>
      </w:r>
      <w:r>
        <w:t>”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7"/>
        <w:spacing w:line="628" w:lineRule="exact"/>
        <w:ind w:firstLine="640"/>
        <w:jc w:val="left"/>
      </w:pPr>
      <w:r>
        <w:t>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sectPr>
      <w:headerReference r:id="rId12" w:type="default"/>
      <w:footerReference r:id="rId13" w:type="default"/>
      <w:type w:val="continuous"/>
      <w:pgSz w:w="11900" w:h="16840"/>
      <w:pgMar w:top="1302" w:right="1735" w:bottom="1568" w:left="1793" w:header="874" w:footer="3" w:gutter="0"/>
      <w:pgBorders>
        <w:top w:val="none" w:sz="0" w:space="0"/>
        <w:left w:val="none" w:sz="0" w:space="0"/>
        <w:bottom w:val="none" w:sz="0" w:space="0"/>
        <w:right w:val="none" w:sz="0" w:space="0"/>
      </w:pgBorders>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2909" name="Shape 5"/>
              <wp:cNvGraphicFramePr/>
              <a:graphic xmlns:a="http://schemas.openxmlformats.org/drawingml/2006/main">
                <a:graphicData uri="http://schemas.microsoft.com/office/word/2010/wordprocessingShape">
                  <wps:wsp>
                    <wps:cNvSpPr/>
                    <wps:spPr>
                      <a:xfrm>
                        <a:off x="0" y="0"/>
                        <a:ext cx="581025" cy="109855"/>
                      </a:xfrm>
                      <a:prstGeom prst="rect">
                        <a:avLst/>
                      </a:prstGeom>
                      <a:noFill/>
                    </wps:spPr>
                    <wps:txbx>
                      <w:txbxContent>
                        <w:p>
                          <w:pPr>
                            <w:pStyle w:val="12"/>
                          </w:pPr>
                        </w:p>
                      </w:txbxContent>
                    </wps:txbx>
                    <wps:bodyPr rot="0" spcFirstLastPara="0" vertOverflow="overflow" horzOverflow="overflow" vert="horz" wrap="square" lIns="0" tIns="0" rIns="0" bIns="0" numCol="1" anchor="t" upright="0">
                      <a:spAutoFit/>
                    </wps:bodyPr>
                  </wps:wsp>
                </a:graphicData>
              </a:graphic>
            </wp:anchor>
          </w:drawing>
        </mc:Choice>
        <mc:Fallback>
          <w:pict>
            <v:rect id="Shape 5" o:spid="_x0000_s1026" o:spt="1" style="position:absolute;left:0pt;margin-left:717.9pt;margin-top:95.85pt;height:8.65pt;width:45.75pt;mso-position-horizontal-relative:page;mso-position-vertical-relative:page;z-index:-251657216;mso-width-relative:page;mso-height-relative:page;" filled="f" stroked="f" coordsize="21600,21600" o:gfxdata="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mMCLEdsAAAANAQAADwAAAAAAAAABACAAAAAiAAAAZHJzL2Rvd25yZXYueG1sUEsBAhQAFAAAAAgA&#10;h07iQK4XNBjpAQAA5QMAAA4AAAAAAAAAAQAgAAAAKgEAAGRycy9lMm9Eb2MueG1sUEsFBgAAAAAG&#10;AAYAWQEAAIUFAAAAAA==&#10;">
              <v:fill on="f" focussize="0,0"/>
              <v:stroke on="f"/>
              <v:imagedata o:title=""/>
              <o:lock v:ext="edit" aspectratio="f"/>
              <v:textbox inset="0mm,0mm,0mm,0mm" style="mso-fit-shape-to-text:t;">
                <w:txbxContent>
                  <w:p>
                    <w:pPr>
                      <w:pStyle w:val="12"/>
                    </w:pPr>
                  </w:p>
                </w:txbxContent>
              </v:textbox>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2910" name="Shape 5"/>
              <wp:cNvGraphicFramePr/>
              <a:graphic xmlns:a="http://schemas.openxmlformats.org/drawingml/2006/main">
                <a:graphicData uri="http://schemas.microsoft.com/office/word/2010/wordprocessingShape">
                  <wps:wsp>
                    <wps:cNvSpPr/>
                    <wps:spPr>
                      <a:xfrm>
                        <a:off x="0" y="0"/>
                        <a:ext cx="581025" cy="109855"/>
                      </a:xfrm>
                      <a:prstGeom prst="rect">
                        <a:avLst/>
                      </a:prstGeom>
                      <a:noFill/>
                    </wps:spPr>
                    <wps:txbx>
                      <w:txbxContent>
                        <w:p>
                          <w:pPr>
                            <w:pStyle w:val="12"/>
                          </w:pPr>
                        </w:p>
                      </w:txbxContent>
                    </wps:txbx>
                    <wps:bodyPr rot="0" spcFirstLastPara="0" vertOverflow="overflow" horzOverflow="overflow" vert="horz" wrap="square" lIns="0" tIns="0" rIns="0" bIns="0" numCol="1" anchor="t" upright="0">
                      <a:spAutoFit/>
                    </wps:bodyPr>
                  </wps:wsp>
                </a:graphicData>
              </a:graphic>
            </wp:anchor>
          </w:drawing>
        </mc:Choice>
        <mc:Fallback>
          <w:pict>
            <v:rect id="Shape 5" o:spid="_x0000_s1026" o:spt="1" style="position:absolute;left:0pt;margin-left:717.9pt;margin-top:95.85pt;height:8.65pt;width:45.75pt;mso-position-horizontal-relative:page;mso-position-vertical-relative:page;z-index:-251656192;mso-width-relative:page;mso-height-relative:page;" filled="f" stroked="f" coordsize="21600,21600" o:gfxdata="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mMCLEdsAAAANAQAADwAAAAAAAAABACAAAAAiAAAAZHJzL2Rvd25yZXYueG1sUEsBAhQAFAAAAAgA&#10;h07iQBit7h/pAQAA5QMAAA4AAAAAAAAAAQAgAAAAKgEAAGRycy9lMm9Eb2MueG1sUEsFBgAAAAAG&#10;AAYAWQEAAIUFAAAAAA==&#10;">
              <v:fill on="f" focussize="0,0"/>
              <v:stroke on="f"/>
              <v:imagedata o:title=""/>
              <o:lock v:ext="edit" aspectratio="f"/>
              <v:textbox inset="0mm,0mm,0mm,0mm" style="mso-fit-shape-to-text:t;">
                <w:txbxContent>
                  <w:p>
                    <w:pPr>
                      <w:pStyle w:val="12"/>
                    </w:pPr>
                  </w:p>
                </w:txbxContent>
              </v:textbox>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singleLevel"/>
    <w:tmpl w:val="CF092B84"/>
    <w:lvl w:ilvl="0" w:tentative="0">
      <w:start w:val="2"/>
      <w:numFmt w:val="decimal"/>
      <w:lvlText w:val="%1."/>
      <w:lvlJc w:val="left"/>
      <w:pPr>
        <w:tabs>
          <w:tab w:val="left" w:pos="312"/>
        </w:tabs>
      </w:pPr>
    </w:lvl>
  </w:abstractNum>
  <w:abstractNum w:abstractNumId="1">
    <w:nsid w:val="6CCA667F"/>
    <w:multiLevelType w:val="singleLevel"/>
    <w:tmpl w:val="6CCA667F"/>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746111"/>
    <w:rsid w:val="11B72B9E"/>
    <w:rsid w:val="2A6F05D9"/>
    <w:rsid w:val="37F118DB"/>
    <w:rsid w:val="4AD872D7"/>
    <w:rsid w:val="56C467DE"/>
    <w:rsid w:val="5F746111"/>
    <w:rsid w:val="639F290F"/>
    <w:rsid w:val="681E22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Heading #1|1"/>
    <w:basedOn w:val="1"/>
    <w:qFormat/>
    <w:uiPriority w:val="0"/>
    <w:pPr>
      <w:spacing w:after="400"/>
      <w:jc w:val="center"/>
      <w:outlineLvl w:val="0"/>
    </w:pPr>
    <w:rPr>
      <w:rFonts w:ascii="宋体" w:hAnsi="宋体" w:eastAsia="宋体" w:cs="宋体"/>
      <w:sz w:val="44"/>
      <w:szCs w:val="44"/>
      <w:lang w:val="zh-TW" w:eastAsia="zh-TW" w:bidi="zh-TW"/>
    </w:rPr>
  </w:style>
  <w:style w:type="paragraph" w:customStyle="1" w:styleId="6">
    <w:name w:val="Body text|2"/>
    <w:basedOn w:val="1"/>
    <w:qFormat/>
    <w:uiPriority w:val="0"/>
    <w:pPr>
      <w:spacing w:after="240"/>
      <w:ind w:firstLine="560"/>
    </w:pPr>
    <w:rPr>
      <w:rFonts w:ascii="宋体" w:hAnsi="宋体" w:eastAsia="宋体" w:cs="宋体"/>
      <w:sz w:val="32"/>
      <w:szCs w:val="32"/>
      <w:lang w:val="zh-TW" w:eastAsia="zh-TW" w:bidi="zh-TW"/>
    </w:rPr>
  </w:style>
  <w:style w:type="paragraph" w:customStyle="1" w:styleId="7">
    <w:name w:val="Body text|1"/>
    <w:basedOn w:val="1"/>
    <w:qFormat/>
    <w:uiPriority w:val="0"/>
    <w:pPr>
      <w:spacing w:line="468" w:lineRule="auto"/>
      <w:ind w:firstLine="400"/>
    </w:pPr>
    <w:rPr>
      <w:rFonts w:ascii="宋体" w:hAnsi="宋体" w:eastAsia="宋体" w:cs="宋体"/>
      <w:sz w:val="28"/>
      <w:szCs w:val="28"/>
      <w:lang w:val="zh-TW" w:eastAsia="zh-TW" w:bidi="zh-TW"/>
    </w:rPr>
  </w:style>
  <w:style w:type="paragraph" w:customStyle="1" w:styleId="8">
    <w:name w:val="Body text|3"/>
    <w:basedOn w:val="1"/>
    <w:qFormat/>
    <w:uiPriority w:val="0"/>
    <w:pPr>
      <w:spacing w:after="140" w:line="336" w:lineRule="auto"/>
      <w:ind w:firstLine="370"/>
    </w:pPr>
    <w:rPr>
      <w:sz w:val="30"/>
      <w:szCs w:val="30"/>
      <w:lang w:val="zh-TW" w:eastAsia="zh-TW" w:bidi="zh-TW"/>
    </w:rPr>
  </w:style>
  <w:style w:type="paragraph" w:customStyle="1" w:styleId="9">
    <w:name w:val="Heading #2|1"/>
    <w:basedOn w:val="1"/>
    <w:qFormat/>
    <w:uiPriority w:val="0"/>
    <w:pPr>
      <w:spacing w:after="230"/>
      <w:jc w:val="center"/>
      <w:outlineLvl w:val="1"/>
    </w:pPr>
    <w:rPr>
      <w:rFonts w:ascii="宋体" w:hAnsi="宋体" w:eastAsia="宋体" w:cs="宋体"/>
      <w:sz w:val="26"/>
      <w:szCs w:val="26"/>
      <w:lang w:val="zh-TW" w:eastAsia="zh-TW" w:bidi="zh-TW"/>
    </w:rPr>
  </w:style>
  <w:style w:type="paragraph" w:customStyle="1" w:styleId="10">
    <w:name w:val="Other|1"/>
    <w:basedOn w:val="1"/>
    <w:qFormat/>
    <w:uiPriority w:val="0"/>
    <w:pPr>
      <w:spacing w:line="468" w:lineRule="auto"/>
      <w:ind w:firstLine="400"/>
    </w:pPr>
    <w:rPr>
      <w:rFonts w:ascii="宋体" w:hAnsi="宋体" w:eastAsia="宋体" w:cs="宋体"/>
      <w:sz w:val="28"/>
      <w:szCs w:val="28"/>
      <w:lang w:val="zh-TW" w:eastAsia="zh-TW" w:bidi="zh-TW"/>
    </w:rPr>
  </w:style>
  <w:style w:type="paragraph" w:customStyle="1" w:styleId="11">
    <w:name w:val="Table caption|1"/>
    <w:basedOn w:val="1"/>
    <w:qFormat/>
    <w:uiPriority w:val="0"/>
    <w:rPr>
      <w:rFonts w:ascii="宋体" w:hAnsi="宋体" w:eastAsia="宋体" w:cs="宋体"/>
      <w:sz w:val="17"/>
      <w:szCs w:val="17"/>
      <w:lang w:val="zh-TW" w:eastAsia="zh-TW" w:bidi="zh-TW"/>
    </w:rPr>
  </w:style>
  <w:style w:type="paragraph" w:customStyle="1" w:styleId="12">
    <w:name w:val="Header or footer|1"/>
    <w:basedOn w:val="1"/>
    <w:qFormat/>
    <w:uiPriority w:val="0"/>
    <w:rPr>
      <w:b/>
      <w:bCs/>
      <w:sz w:val="17"/>
      <w:szCs w:val="17"/>
      <w:lang w:val="zh-TW" w:eastAsia="zh-TW" w:bidi="zh-TW"/>
    </w:rPr>
  </w:style>
  <w:style w:type="paragraph" w:customStyle="1" w:styleId="13">
    <w:name w:val="Body text|5"/>
    <w:basedOn w:val="1"/>
    <w:qFormat/>
    <w:uiPriority w:val="0"/>
    <w:pPr>
      <w:jc w:val="center"/>
    </w:pPr>
    <w:rPr>
      <w:rFonts w:ascii="宋体" w:hAnsi="宋体" w:eastAsia="宋体" w:cs="宋体"/>
      <w:sz w:val="54"/>
      <w:szCs w:val="54"/>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chart" Target="charts/chart6.xml"/><Relationship Id="rId2" Type="http://schemas.openxmlformats.org/officeDocument/2006/relationships/settings" Target="settings.xml"/><Relationship Id="rId19" Type="http://schemas.openxmlformats.org/officeDocument/2006/relationships/chart" Target="charts/chart5.xml"/><Relationship Id="rId18" Type="http://schemas.openxmlformats.org/officeDocument/2006/relationships/chart" Target="charts/chart4.xml"/><Relationship Id="rId17" Type="http://schemas.openxmlformats.org/officeDocument/2006/relationships/chart" Target="charts/chart3.xml"/><Relationship Id="rId16" Type="http://schemas.openxmlformats.org/officeDocument/2006/relationships/chart" Target="charts/chart2.xml"/><Relationship Id="rId15" Type="http://schemas.openxmlformats.org/officeDocument/2006/relationships/chart" Target="charts/chart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一般公共预算拨款</c:v>
                </c:pt>
              </c:strCache>
            </c:strRef>
          </c:cat>
          <c:val>
            <c:numRef>
              <c:f>Sheet1!$B$2</c:f>
              <c:numCache>
                <c:formatCode>General</c:formatCode>
                <c:ptCount val="1"/>
                <c:pt idx="0">
                  <c:v>147.1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Pt>
            <c:idx val="1"/>
            <c:bubble3D val="0"/>
          </c:dPt>
          <c:dPt>
            <c:idx val="2"/>
            <c:bubble3D val="0"/>
          </c:dPt>
          <c:dPt>
            <c:idx val="3"/>
            <c:bubble3D val="0"/>
          </c:dPt>
          <c:dLbls>
            <c:delete val="1"/>
          </c:dLbls>
          <c:cat>
            <c:strRef>
              <c:f>Sheet1!$A$2:$A$5</c:f>
              <c:strCache>
                <c:ptCount val="4"/>
                <c:pt idx="0">
                  <c:v>一般公共服务支出</c:v>
                </c:pt>
                <c:pt idx="1">
                  <c:v>社会保障和就业支出</c:v>
                </c:pt>
                <c:pt idx="2">
                  <c:v>卫生健康支出</c:v>
                </c:pt>
                <c:pt idx="3">
                  <c:v>住房保障支出</c:v>
                </c:pt>
              </c:strCache>
            </c:strRef>
          </c:cat>
          <c:val>
            <c:numRef>
              <c:f>Sheet1!$B$2:$B$5</c:f>
              <c:numCache>
                <c:formatCode>General</c:formatCode>
                <c:ptCount val="4"/>
                <c:pt idx="0">
                  <c:v>1.4</c:v>
                </c:pt>
                <c:pt idx="1">
                  <c:v>17.01</c:v>
                </c:pt>
                <c:pt idx="2">
                  <c:v>113.86</c:v>
                </c:pt>
                <c:pt idx="3">
                  <c:v>14.83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Sheet1!$A$2:$A$3</c:f>
              <c:strCache>
                <c:ptCount val="2"/>
                <c:pt idx="0">
                  <c:v>收入</c:v>
                </c:pt>
                <c:pt idx="1">
                  <c:v>支出</c:v>
                </c:pt>
              </c:strCache>
            </c:strRef>
          </c:cat>
          <c:val>
            <c:numRef>
              <c:f>Sheet1!$B$2:$B$3</c:f>
              <c:numCache>
                <c:formatCode>General</c:formatCode>
                <c:ptCount val="2"/>
                <c:pt idx="0">
                  <c:v>0</c:v>
                </c:pt>
                <c:pt idx="1">
                  <c:v>0</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Sheet1!$A$2:$A$3</c:f>
              <c:strCache>
                <c:ptCount val="2"/>
                <c:pt idx="0">
                  <c:v>收入</c:v>
                </c:pt>
                <c:pt idx="1">
                  <c:v>支出</c:v>
                </c:pt>
              </c:strCache>
            </c:strRef>
          </c:cat>
          <c:val>
            <c:numRef>
              <c:f>Sheet1!$C$2:$C$3</c:f>
              <c:numCache>
                <c:formatCode>General</c:formatCode>
                <c:ptCount val="2"/>
                <c:pt idx="0">
                  <c:v>147.1</c:v>
                </c:pt>
                <c:pt idx="1">
                  <c:v>147.1</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一般公共预算支出情况</a:t>
            </a:r>
            <a:endParaRPr lang="en-US" sz="1100"/>
          </a:p>
        </c:rich>
      </c:tx>
      <c:layout/>
      <c:overlay val="0"/>
      <c:spPr>
        <a:noFill/>
        <a:ln>
          <a:noFill/>
        </a:ln>
        <a:effectLst/>
      </c:sp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上年</c:v>
                </c:pt>
              </c:strCache>
            </c:strRef>
          </c:cat>
          <c:val>
            <c:numRef>
              <c:f>Sheet1!$B$2</c:f>
              <c:numCache>
                <c:formatCode>General</c:formatCode>
                <c:ptCount val="1"/>
                <c:pt idx="0">
                  <c:v>147.1</c:v>
                </c:pt>
              </c:numCache>
            </c:numRef>
          </c:val>
        </c:ser>
        <c:ser>
          <c:idx val="1"/>
          <c:order val="1"/>
          <c:tx>
            <c:strRef>
              <c:f>Sheet1!$C$1</c:f>
              <c:strCache>
                <c:ptCount val="1"/>
                <c:pt idx="0">
                  <c:v>结转下年支出</c:v>
                </c:pt>
              </c:strCache>
            </c:strRef>
          </c:tx>
          <c:invertIfNegative val="0"/>
          <c:dLbls>
            <c:delete val="1"/>
          </c:dLbls>
          <c:cat>
            <c:strRef>
              <c:f>Sheet1!$A$2</c:f>
              <c:strCache>
                <c:ptCount val="1"/>
                <c:pt idx="0">
                  <c:v>上年</c:v>
                </c:pt>
              </c:strCache>
            </c:strRef>
          </c:cat>
          <c:val>
            <c:numRef>
              <c:f>Sheet1!$C$2</c:f>
              <c:numCache>
                <c:formatCode>General</c:formatCode>
                <c:ptCount val="1"/>
                <c:pt idx="0">
                  <c:v>0</c:v>
                </c:pt>
              </c:numCache>
            </c:numRef>
          </c:val>
        </c:ser>
        <c:ser>
          <c:idx val="2"/>
          <c:order val="2"/>
          <c:tx>
            <c:strRef>
              <c:f>Sheet1!$D$1</c:f>
              <c:strCache>
                <c:ptCount val="1"/>
                <c:pt idx="0">
                  <c:v>项目支出</c:v>
                </c:pt>
              </c:strCache>
            </c:strRef>
          </c:tx>
          <c:invertIfNegative val="0"/>
          <c:dLbls>
            <c:delete val="1"/>
          </c:dLbls>
          <c:cat>
            <c:strRef>
              <c:f>Sheet1!$A$2</c:f>
              <c:strCache>
                <c:ptCount val="1"/>
                <c:pt idx="0">
                  <c:v>上年</c:v>
                </c:pt>
              </c:strCache>
            </c:strRef>
          </c:cat>
          <c:val>
            <c:numRef>
              <c:f>Sheet1!$D$2</c:f>
              <c:numCache>
                <c:formatCode>General</c:formatCode>
                <c:ptCount val="1"/>
                <c:pt idx="0">
                  <c:v>0</c:v>
                </c:pt>
              </c:numCache>
            </c:numRef>
          </c:val>
        </c:ser>
        <c:ser>
          <c:idx val="3"/>
          <c:order val="3"/>
          <c:tx>
            <c:strRef>
              <c:f>Sheet1!$E$1</c:f>
              <c:strCache>
                <c:ptCount val="1"/>
                <c:pt idx="0">
                  <c:v>公用经费</c:v>
                </c:pt>
              </c:strCache>
            </c:strRef>
          </c:tx>
          <c:invertIfNegative val="0"/>
          <c:dLbls>
            <c:delete val="1"/>
          </c:dLbls>
          <c:cat>
            <c:strRef>
              <c:f>Sheet1!$A$2</c:f>
              <c:strCache>
                <c:ptCount val="1"/>
                <c:pt idx="0">
                  <c:v>上年</c:v>
                </c:pt>
              </c:strCache>
            </c:strRef>
          </c:cat>
          <c:val>
            <c:numRef>
              <c:f>Sheet1!$E$2</c:f>
              <c:numCache>
                <c:formatCode>General</c:formatCode>
                <c:ptCount val="1"/>
                <c:pt idx="0">
                  <c:v>5.23</c:v>
                </c:pt>
              </c:numCache>
            </c:numRef>
          </c:val>
        </c:ser>
        <c:ser>
          <c:idx val="4"/>
          <c:order val="4"/>
          <c:tx>
            <c:strRef>
              <c:f>Sheet1!$F$1</c:f>
              <c:strCache>
                <c:ptCount val="1"/>
                <c:pt idx="0">
                  <c:v>人员经费</c:v>
                </c:pt>
              </c:strCache>
            </c:strRef>
          </c:tx>
          <c:invertIfNegative val="0"/>
          <c:dLbls>
            <c:delete val="1"/>
          </c:dLbls>
          <c:cat>
            <c:strRef>
              <c:f>Sheet1!$A$2</c:f>
              <c:strCache>
                <c:ptCount val="1"/>
                <c:pt idx="0">
                  <c:v>上年</c:v>
                </c:pt>
              </c:strCache>
            </c:strRef>
          </c:cat>
          <c:val>
            <c:numRef>
              <c:f>Sheet1!$F$2</c:f>
              <c:numCache>
                <c:formatCode>General</c:formatCode>
                <c:ptCount val="1"/>
                <c:pt idx="0">
                  <c:v>141.87</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一般公共预算基本支出情况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Pt>
            <c:idx val="1"/>
            <c:bubble3D val="0"/>
          </c:dPt>
          <c:dLbls>
            <c:delete val="1"/>
          </c:dLbls>
          <c:cat>
            <c:strRef>
              <c:f>Sheet1!$A$2:$A$3</c:f>
              <c:strCache>
                <c:ptCount val="2"/>
                <c:pt idx="0">
                  <c:v>人员经费</c:v>
                </c:pt>
                <c:pt idx="1">
                  <c:v>公用经费</c:v>
                </c:pt>
              </c:strCache>
            </c:strRef>
          </c:cat>
          <c:val>
            <c:numRef>
              <c:f>Sheet1!$B$2:$B$3</c:f>
              <c:numCache>
                <c:formatCode>General</c:formatCode>
                <c:ptCount val="2"/>
                <c:pt idx="0">
                  <c:v>283.73</c:v>
                </c:pt>
                <c:pt idx="1">
                  <c:v>10.46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公务用车购置及运行费预算</c:v>
                </c:pt>
                <c:pt idx="1">
                  <c:v>公务接待费预算</c:v>
                </c:pt>
                <c:pt idx="2">
                  <c:v>因公出国（境）经费预算</c:v>
                </c:pt>
              </c:strCache>
            </c:strRef>
          </c:cat>
          <c:val>
            <c:numRef>
              <c:f>Sheet1!$B$2:$B$4</c:f>
              <c:numCache>
                <c:formatCode>General</c:formatCode>
                <c:ptCount val="3"/>
                <c:pt idx="0">
                  <c:v>0.95</c:v>
                </c:pt>
                <c:pt idx="1">
                  <c:v>0.2</c:v>
                </c:pt>
                <c:pt idx="2">
                  <c:v>0</c:v>
                </c:pt>
              </c:numCache>
            </c:numRef>
          </c:val>
        </c:ser>
        <c:ser>
          <c:idx val="1"/>
          <c:order val="1"/>
          <c:tx>
            <c:strRef>
              <c:f>Sheet1!$C$1</c:f>
              <c:strCache>
                <c:ptCount val="1"/>
                <c:pt idx="0">
                  <c:v>当年</c:v>
                </c:pt>
              </c:strCache>
            </c:strRef>
          </c:tx>
          <c:invertIfNegative val="0"/>
          <c:dLbls>
            <c:delete val="1"/>
          </c:dLbls>
          <c:cat>
            <c:strRef>
              <c:f>Sheet1!$A$2:$A$4</c:f>
              <c:strCache>
                <c:ptCount val="3"/>
                <c:pt idx="0">
                  <c:v>公务用车购置及运行费预算</c:v>
                </c:pt>
                <c:pt idx="1">
                  <c:v>公务接待费预算</c:v>
                </c:pt>
                <c:pt idx="2">
                  <c:v>因公出国（境）经费预算</c:v>
                </c:pt>
              </c:strCache>
            </c:strRef>
          </c:cat>
          <c:val>
            <c:numRef>
              <c:f>Sheet1!$C$2:$C$4</c:f>
              <c:numCache>
                <c:formatCode>General</c:formatCode>
                <c:ptCount val="3"/>
                <c:pt idx="0">
                  <c:v>0.95</c:v>
                </c:pt>
                <c:pt idx="1">
                  <c:v>0</c:v>
                </c:pt>
                <c:pt idx="2">
                  <c:v>0</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2024-02-27T03:32:00Z</dcterms:created>
  <dc:creator>July</dc:creator>
  <cp:lastModifiedBy>July</cp:lastModifiedBy>
  <cp:lastPrinted>2024-02-29T09:51:19Z</cp:lastPrinted>
  <dcterms:modified xsi:type="dcterms:W3CDTF">2024-02-29T09:52:17Z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5848715C958C42D9A1E16450B4D263FD</vt:lpwstr>
  </property>
</Properties>
</file>