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both"/>
        <w:rPr>
          <w:rFonts w:hint="eastAsia"/>
          <w:lang w:eastAsia="zh-CN"/>
        </w:rPr>
      </w:pPr>
      <w:bookmarkStart w:id="42" w:name="_GoBack"/>
      <w:bookmarkEnd w:id="42"/>
    </w:p>
    <w:p>
      <w:pPr>
        <w:pStyle w:val="5"/>
        <w:jc w:val="center"/>
        <w:rPr>
          <w:rFonts w:hint="eastAsia"/>
          <w:lang w:eastAsia="zh-CN"/>
        </w:rPr>
      </w:pPr>
    </w:p>
    <w:p>
      <w:pPr>
        <w:pStyle w:val="5"/>
        <w:jc w:val="center"/>
        <w:rPr>
          <w:rFonts w:hint="eastAsia"/>
          <w:lang w:eastAsia="zh-CN"/>
        </w:rPr>
      </w:pPr>
      <w:r>
        <w:rPr>
          <w:rFonts w:hint="eastAsia"/>
          <w:lang w:eastAsia="zh-CN"/>
        </w:rPr>
        <w:t>环江毛南族自治县川山镇村委</w:t>
      </w:r>
    </w:p>
    <w:p>
      <w:pPr>
        <w:pStyle w:val="5"/>
        <w:jc w:val="center"/>
        <w:rPr>
          <w:rFonts w:hint="eastAsia"/>
          <w:lang w:eastAsia="zh-CN"/>
        </w:rPr>
      </w:pPr>
    </w:p>
    <w:p>
      <w:pPr>
        <w:pStyle w:val="5"/>
        <w:jc w:val="center"/>
        <w:sectPr>
          <w:pgSz w:w="11900" w:h="16840"/>
          <w:pgMar w:top="4713" w:right="1913" w:bottom="4713" w:left="2020" w:header="4285" w:footer="4285" w:gutter="0"/>
          <w:pgBorders>
            <w:top w:val="none" w:sz="0" w:space="0"/>
            <w:left w:val="none" w:sz="0" w:space="0"/>
            <w:bottom w:val="none" w:sz="0" w:space="0"/>
            <w:right w:val="none" w:sz="0" w:space="0"/>
          </w:pgBorders>
          <w:pgNumType w:start="1"/>
          <w:cols w:space="720" w:num="1"/>
          <w:docGrid w:linePitch="360" w:charSpace="0"/>
        </w:sectPr>
      </w:pPr>
      <w:r>
        <w:rPr>
          <w:rFonts w:hint="eastAsia"/>
          <w:lang w:eastAsia="zh-CN"/>
        </w:rPr>
        <w:t>2024</w:t>
      </w:r>
      <w:r>
        <w:rPr>
          <w:rFonts w:ascii="Times New Roman" w:hAnsi="Times New Roman" w:eastAsia="Times New Roman" w:cs="Times New Roman"/>
          <w:sz w:val="56"/>
          <w:u w:color="auto"/>
        </w:rPr>
        <w:t>年</w:t>
      </w:r>
      <w:r>
        <w:t>度部门预算</w:t>
      </w:r>
    </w:p>
    <w:p>
      <w:pPr>
        <w:pStyle w:val="6"/>
        <w:keepNext/>
        <w:keepLines/>
        <w:spacing w:after="240"/>
        <w:jc w:val="center"/>
      </w:pPr>
      <w:bookmarkStart w:id="0" w:name="bookmark1"/>
      <w:bookmarkStart w:id="1" w:name="bookmark2"/>
      <w:bookmarkStart w:id="2" w:name="bookmark0"/>
      <w:r>
        <w:t>目录</w:t>
      </w:r>
      <w:bookmarkEnd w:id="0"/>
      <w:bookmarkEnd w:id="1"/>
      <w:bookmarkEnd w:id="2"/>
    </w:p>
    <w:p>
      <w:pPr>
        <w:pStyle w:val="7"/>
        <w:ind w:left="0" w:leftChars="0" w:firstLine="320" w:firstLineChars="100"/>
        <w:jc w:val="left"/>
      </w:pPr>
      <w:r>
        <w:t>第一部分</w:t>
      </w:r>
      <w:r>
        <w:rPr>
          <w:rFonts w:hint="eastAsia"/>
          <w:lang w:eastAsia="zh-CN"/>
        </w:rPr>
        <w:t>：</w:t>
      </w:r>
      <w:r>
        <w:rPr>
          <w:u w:color="auto"/>
        </w:rPr>
        <w:t>环江毛南族自治县川山镇村委单位</w:t>
      </w:r>
      <w:r>
        <w:t>概况</w:t>
      </w:r>
    </w:p>
    <w:p>
      <w:pPr>
        <w:pStyle w:val="7"/>
        <w:jc w:val="left"/>
      </w:pPr>
      <w:r>
        <w:rPr>
          <w:lang w:val="en-US" w:eastAsia="zh-CN" w:bidi="en-US"/>
        </w:rPr>
        <w:t>—</w:t>
      </w:r>
      <w:r>
        <w:t>、主要职责</w:t>
      </w:r>
    </w:p>
    <w:p>
      <w:pPr>
        <w:pStyle w:val="7"/>
        <w:jc w:val="left"/>
        <w:rPr>
          <w:rFonts w:hint="eastAsia"/>
        </w:rPr>
      </w:pPr>
      <w:r>
        <w:rPr>
          <w:rFonts w:hint="eastAsia"/>
          <w:lang w:val="en-US" w:eastAsia="zh-CN"/>
        </w:rPr>
        <w:t>二、</w:t>
      </w:r>
      <w:r>
        <w:rPr>
          <w:rFonts w:hint="eastAsia"/>
        </w:rPr>
        <w:t>机构设置情况</w:t>
      </w:r>
    </w:p>
    <w:p>
      <w:pPr>
        <w:pStyle w:val="7"/>
        <w:ind w:left="0" w:leftChars="0" w:firstLine="320" w:firstLineChars="100"/>
        <w:jc w:val="left"/>
      </w:pPr>
      <w:r>
        <w:t>第二部分</w:t>
      </w:r>
      <w:r>
        <w:rPr>
          <w:rFonts w:hint="eastAsia"/>
          <w:lang w:eastAsia="zh-CN"/>
        </w:rPr>
        <w:t>：</w:t>
      </w:r>
      <w:r>
        <w:rPr>
          <w:u w:color="auto"/>
        </w:rPr>
        <w:t>环江毛南族自治县川山镇村委2024</w:t>
      </w:r>
      <w:r>
        <w:t>部门预算情况说明</w:t>
      </w:r>
    </w:p>
    <w:p>
      <w:pPr>
        <w:pStyle w:val="7"/>
        <w:numPr>
          <w:ilvl w:val="0"/>
          <w:numId w:val="0"/>
        </w:numPr>
        <w:ind w:firstLine="640" w:firstLineChars="200"/>
        <w:jc w:val="left"/>
        <w:rPr>
          <w:rFonts w:hint="eastAsia"/>
        </w:rPr>
      </w:pPr>
      <w:r>
        <w:rPr>
          <w:rFonts w:hint="eastAsia"/>
        </w:rPr>
        <w:t>一、部门收支总体情况说明</w:t>
      </w:r>
    </w:p>
    <w:p>
      <w:pPr>
        <w:pStyle w:val="7"/>
        <w:numPr>
          <w:ilvl w:val="0"/>
          <w:numId w:val="0"/>
        </w:numPr>
        <w:ind w:firstLine="640" w:firstLineChars="200"/>
        <w:jc w:val="left"/>
        <w:rPr>
          <w:rFonts w:hint="eastAsia"/>
        </w:rPr>
      </w:pPr>
      <w:r>
        <w:rPr>
          <w:rFonts w:hint="eastAsia"/>
        </w:rPr>
        <w:t>二、部门收入总体情况说明</w:t>
      </w:r>
    </w:p>
    <w:p>
      <w:pPr>
        <w:pStyle w:val="7"/>
        <w:numPr>
          <w:ilvl w:val="0"/>
          <w:numId w:val="0"/>
        </w:numPr>
        <w:ind w:firstLine="640" w:firstLineChars="200"/>
        <w:jc w:val="left"/>
        <w:rPr>
          <w:rFonts w:hint="eastAsia"/>
        </w:rPr>
      </w:pPr>
      <w:r>
        <w:rPr>
          <w:rFonts w:hint="eastAsia"/>
        </w:rPr>
        <w:t>三、部门支出总体情况说明</w:t>
      </w:r>
    </w:p>
    <w:p>
      <w:pPr>
        <w:pStyle w:val="7"/>
        <w:numPr>
          <w:ilvl w:val="0"/>
          <w:numId w:val="0"/>
        </w:numPr>
        <w:ind w:firstLine="640" w:firstLineChars="200"/>
        <w:jc w:val="left"/>
        <w:rPr>
          <w:rFonts w:hint="eastAsia"/>
        </w:rPr>
      </w:pPr>
      <w:r>
        <w:rPr>
          <w:rFonts w:hint="eastAsia"/>
        </w:rPr>
        <w:t>四、财政拨款收支总体情况说明</w:t>
      </w:r>
    </w:p>
    <w:p>
      <w:pPr>
        <w:pStyle w:val="7"/>
        <w:numPr>
          <w:ilvl w:val="0"/>
          <w:numId w:val="0"/>
        </w:numPr>
        <w:ind w:firstLine="640" w:firstLineChars="200"/>
        <w:jc w:val="left"/>
        <w:rPr>
          <w:rFonts w:hint="eastAsia"/>
        </w:rPr>
      </w:pPr>
      <w:r>
        <w:rPr>
          <w:rFonts w:hint="eastAsia"/>
        </w:rPr>
        <w:t>五、一般公共预算支出情况说明</w:t>
      </w:r>
    </w:p>
    <w:p>
      <w:pPr>
        <w:pStyle w:val="7"/>
        <w:numPr>
          <w:ilvl w:val="0"/>
          <w:numId w:val="0"/>
        </w:numPr>
        <w:ind w:firstLine="640" w:firstLineChars="200"/>
        <w:jc w:val="left"/>
        <w:rPr>
          <w:rFonts w:hint="eastAsia"/>
        </w:rPr>
      </w:pPr>
      <w:r>
        <w:rPr>
          <w:rFonts w:hint="eastAsia"/>
        </w:rPr>
        <w:t>六、一般公共预算基本支出情况说明</w:t>
      </w:r>
    </w:p>
    <w:p>
      <w:pPr>
        <w:pStyle w:val="7"/>
        <w:numPr>
          <w:ilvl w:val="0"/>
          <w:numId w:val="0"/>
        </w:numPr>
        <w:ind w:firstLine="640" w:firstLineChars="200"/>
        <w:jc w:val="left"/>
        <w:rPr>
          <w:rFonts w:hint="eastAsia"/>
        </w:rPr>
      </w:pPr>
      <w:r>
        <w:rPr>
          <w:rFonts w:hint="eastAsia"/>
        </w:rPr>
        <w:t>七、一般公共预算“三公”经费支出情况说明</w:t>
      </w:r>
    </w:p>
    <w:p>
      <w:pPr>
        <w:pStyle w:val="7"/>
        <w:numPr>
          <w:ilvl w:val="0"/>
          <w:numId w:val="0"/>
        </w:numPr>
        <w:ind w:firstLine="640" w:firstLineChars="200"/>
        <w:jc w:val="left"/>
        <w:rPr>
          <w:rFonts w:hint="eastAsia"/>
        </w:rPr>
      </w:pPr>
      <w:r>
        <w:rPr>
          <w:rFonts w:hint="eastAsia"/>
        </w:rPr>
        <w:t>八、政府性基金预算支出情况说明</w:t>
      </w:r>
    </w:p>
    <w:p>
      <w:pPr>
        <w:pStyle w:val="7"/>
        <w:numPr>
          <w:ilvl w:val="0"/>
          <w:numId w:val="0"/>
        </w:numPr>
        <w:ind w:firstLine="640" w:firstLineChars="200"/>
        <w:jc w:val="left"/>
        <w:rPr>
          <w:rFonts w:hint="eastAsia"/>
        </w:rPr>
      </w:pPr>
      <w:r>
        <w:rPr>
          <w:rFonts w:hint="eastAsia"/>
        </w:rPr>
        <w:t>九、国有资本经营预算支出情况说明</w:t>
      </w:r>
    </w:p>
    <w:p>
      <w:pPr>
        <w:pStyle w:val="7"/>
        <w:numPr>
          <w:ilvl w:val="0"/>
          <w:numId w:val="0"/>
        </w:numPr>
        <w:ind w:firstLine="640" w:firstLineChars="200"/>
        <w:jc w:val="left"/>
      </w:pPr>
      <w:r>
        <w:rPr>
          <w:rFonts w:hint="eastAsia"/>
        </w:rPr>
        <w:t>十、其他重要事项情况说明</w:t>
      </w:r>
    </w:p>
    <w:p>
      <w:pPr>
        <w:pStyle w:val="7"/>
        <w:ind w:left="0" w:leftChars="0" w:firstLine="320" w:firstLineChars="100"/>
        <w:jc w:val="left"/>
      </w:pPr>
      <w:r>
        <w:t>第三部分</w:t>
      </w:r>
      <w:r>
        <w:rPr>
          <w:rFonts w:hint="eastAsia"/>
          <w:lang w:eastAsia="zh-CN"/>
        </w:rPr>
        <w:t>：</w:t>
      </w:r>
      <w:r>
        <w:rPr>
          <w:u w:color="auto"/>
        </w:rPr>
        <w:t>环江毛南族自治县川山镇村委2024</w:t>
      </w:r>
      <w:r>
        <w:rPr>
          <w:rFonts w:ascii="Times New Roman" w:hAnsi="Times New Roman" w:cs="Times New Roman"/>
          <w:u w:color="auto"/>
        </w:rPr>
        <w:t>年</w:t>
      </w:r>
      <w:r>
        <w:t>部门预算</w:t>
      </w:r>
      <w:r>
        <w:rPr>
          <w:rFonts w:hint="eastAsia"/>
          <w:lang w:val="en-US" w:eastAsia="zh-CN"/>
        </w:rPr>
        <w:t>相关报</w:t>
      </w:r>
      <w:r>
        <w:t>表</w:t>
      </w:r>
    </w:p>
    <w:p>
      <w:pPr>
        <w:pStyle w:val="7"/>
        <w:jc w:val="left"/>
        <w:rPr>
          <w:rFonts w:hint="eastAsia"/>
        </w:rPr>
      </w:pPr>
      <w:r>
        <w:rPr>
          <w:rFonts w:hint="eastAsia"/>
        </w:rPr>
        <w:t>一、部门收支总体情况表</w:t>
      </w:r>
    </w:p>
    <w:p>
      <w:pPr>
        <w:pStyle w:val="7"/>
        <w:jc w:val="left"/>
        <w:rPr>
          <w:rFonts w:hint="eastAsia"/>
        </w:rPr>
      </w:pPr>
      <w:r>
        <w:rPr>
          <w:rFonts w:hint="eastAsia"/>
        </w:rPr>
        <w:t>二、部门收入总体情况表</w:t>
      </w:r>
    </w:p>
    <w:p>
      <w:pPr>
        <w:pStyle w:val="7"/>
        <w:jc w:val="left"/>
        <w:rPr>
          <w:rFonts w:hint="eastAsia"/>
        </w:rPr>
      </w:pPr>
      <w:r>
        <w:rPr>
          <w:rFonts w:hint="eastAsia"/>
        </w:rPr>
        <w:t>三、部门支出总体情况表</w:t>
      </w:r>
    </w:p>
    <w:p>
      <w:pPr>
        <w:pStyle w:val="7"/>
        <w:jc w:val="left"/>
        <w:rPr>
          <w:rFonts w:hint="eastAsia"/>
        </w:rPr>
      </w:pPr>
      <w:r>
        <w:rPr>
          <w:rFonts w:hint="eastAsia"/>
        </w:rPr>
        <w:t>四、财政拨款收支总体情况表</w:t>
      </w:r>
    </w:p>
    <w:p>
      <w:pPr>
        <w:pStyle w:val="7"/>
        <w:jc w:val="left"/>
        <w:rPr>
          <w:rFonts w:hint="eastAsia"/>
        </w:rPr>
      </w:pPr>
      <w:r>
        <w:rPr>
          <w:rFonts w:hint="eastAsia"/>
        </w:rPr>
        <w:t>五、一般公共预算支出情况表</w:t>
      </w:r>
    </w:p>
    <w:p>
      <w:pPr>
        <w:pStyle w:val="7"/>
        <w:jc w:val="left"/>
        <w:rPr>
          <w:rFonts w:hint="eastAsia"/>
        </w:rPr>
      </w:pPr>
      <w:r>
        <w:rPr>
          <w:rFonts w:hint="eastAsia"/>
        </w:rPr>
        <w:t>六、一般公共预算基本支出情况表</w:t>
      </w:r>
    </w:p>
    <w:p>
      <w:pPr>
        <w:pStyle w:val="7"/>
        <w:jc w:val="left"/>
        <w:rPr>
          <w:rFonts w:hint="eastAsia"/>
        </w:rPr>
      </w:pPr>
      <w:r>
        <w:rPr>
          <w:rFonts w:hint="eastAsia"/>
        </w:rPr>
        <w:t>七、一般公开预算“三公”经费支出情况表</w:t>
      </w:r>
    </w:p>
    <w:p>
      <w:pPr>
        <w:pStyle w:val="7"/>
        <w:jc w:val="left"/>
        <w:rPr>
          <w:rFonts w:hint="eastAsia"/>
        </w:rPr>
      </w:pPr>
      <w:r>
        <w:rPr>
          <w:rFonts w:hint="eastAsia"/>
        </w:rPr>
        <w:t>八、政府性基金预算支出情况表</w:t>
      </w:r>
    </w:p>
    <w:p>
      <w:pPr>
        <w:pStyle w:val="7"/>
        <w:jc w:val="left"/>
        <w:rPr>
          <w:rFonts w:hint="eastAsia"/>
        </w:rPr>
      </w:pPr>
      <w:r>
        <w:rPr>
          <w:rFonts w:hint="eastAsia"/>
        </w:rPr>
        <w:t>九、国有资本经营预算支出情况表</w:t>
      </w:r>
    </w:p>
    <w:p>
      <w:pPr>
        <w:pStyle w:val="7"/>
        <w:jc w:val="left"/>
        <w:rPr>
          <w:rFonts w:hint="eastAsia" w:eastAsia="宋体"/>
          <w:lang w:eastAsia="zh-CN"/>
        </w:rPr>
      </w:pPr>
      <w:r>
        <w:rPr>
          <w:rFonts w:hint="eastAsia"/>
        </w:rPr>
        <w:t>十、2024年度预算项目绩效目标公开表</w:t>
      </w:r>
    </w:p>
    <w:p>
      <w:pPr>
        <w:pStyle w:val="7"/>
        <w:ind w:left="0" w:leftChars="0" w:firstLine="320" w:firstLineChars="100"/>
        <w:jc w:val="left"/>
        <w:rPr>
          <w:rFonts w:hint="eastAsia" w:eastAsia="宋体"/>
          <w:lang w:eastAsia="zh-CN"/>
        </w:rPr>
        <w:sectPr>
          <w:footerReference r:id="rId3" w:type="default"/>
          <w:pgSz w:w="11900" w:h="16840"/>
          <w:pgMar w:top="1508" w:right="1674" w:bottom="1508" w:left="1851" w:header="1080" w:footer="3" w:gutter="0"/>
          <w:pgBorders>
            <w:top w:val="none" w:sz="0" w:space="0"/>
            <w:left w:val="none" w:sz="0" w:space="0"/>
            <w:bottom w:val="none" w:sz="0" w:space="0"/>
            <w:right w:val="none" w:sz="0" w:space="0"/>
          </w:pgBorders>
          <w:cols w:space="720" w:num="1"/>
          <w:docGrid w:linePitch="360" w:charSpace="0"/>
        </w:sectPr>
      </w:pPr>
      <w:r>
        <w:t>第四部分</w:t>
      </w:r>
      <w:r>
        <w:rPr>
          <w:rFonts w:hint="eastAsia"/>
          <w:lang w:eastAsia="zh-CN"/>
        </w:rPr>
        <w:t>：</w:t>
      </w:r>
      <w:r>
        <w:t>名词</w:t>
      </w:r>
      <w:r>
        <w:rPr>
          <w:rFonts w:hint="eastAsia"/>
          <w:lang w:val="en-US" w:eastAsia="zh-CN"/>
        </w:rPr>
        <w:t>解释</w:t>
      </w:r>
    </w:p>
    <w:p>
      <w:pPr>
        <w:pStyle w:val="6"/>
        <w:keepNext/>
        <w:keepLines/>
        <w:spacing w:after="560"/>
        <w:jc w:val="both"/>
      </w:pPr>
      <w:bookmarkStart w:id="3" w:name="bookmark14"/>
      <w:bookmarkStart w:id="4" w:name="bookmark13"/>
      <w:bookmarkStart w:id="5" w:name="bookmark12"/>
    </w:p>
    <w:p>
      <w:pPr>
        <w:pStyle w:val="6"/>
        <w:keepNext/>
        <w:keepLines/>
        <w:spacing w:after="560"/>
        <w:jc w:val="center"/>
        <w:rPr>
          <w:b/>
          <w:bCs/>
        </w:rPr>
      </w:pPr>
      <w:r>
        <w:rPr>
          <w:b/>
          <w:bCs/>
        </w:rPr>
        <w:t>第一部分</w:t>
      </w:r>
      <w:r>
        <w:rPr>
          <w:rFonts w:hint="eastAsia"/>
          <w:b/>
          <w:bCs/>
          <w:lang w:eastAsia="zh-CN"/>
        </w:rPr>
        <w:t>：</w:t>
      </w:r>
      <w:r>
        <w:rPr>
          <w:b/>
          <w:u w:color="auto"/>
        </w:rPr>
        <w:t>环江毛南族自治县川山镇村委</w:t>
      </w:r>
      <w:r>
        <w:rPr>
          <w:b/>
          <w:bCs/>
        </w:rPr>
        <w:t>概况</w:t>
      </w:r>
      <w:bookmarkEnd w:id="3"/>
      <w:bookmarkEnd w:id="4"/>
      <w:bookmarkEnd w:id="5"/>
    </w:p>
    <w:p>
      <w:pPr>
        <w:pStyle w:val="7"/>
        <w:spacing w:after="0" w:line="619" w:lineRule="exact"/>
        <w:ind w:firstLine="620"/>
        <w:jc w:val="left"/>
        <w:rPr>
          <w:b/>
          <w:bCs/>
        </w:rPr>
      </w:pPr>
      <w:r>
        <w:rPr>
          <w:rFonts w:hint="eastAsia"/>
          <w:b/>
          <w:bCs/>
          <w:lang w:val="en-US" w:eastAsia="zh-CN"/>
        </w:rPr>
        <w:t>一、</w:t>
      </w:r>
      <w:r>
        <w:rPr>
          <w:b/>
          <w:bCs/>
        </w:rPr>
        <w:t>主要职责</w:t>
      </w:r>
    </w:p>
    <w:p>
      <w:pPr>
        <w:pStyle w:val="8"/>
        <w:spacing w:line="623" w:lineRule="exact"/>
        <w:ind w:left="0" w:leftChars="0" w:firstLine="560" w:firstLineChars="200"/>
        <w:jc w:val="left"/>
        <w:rPr>
          <w:rFonts w:hint="default"/>
          <w:highlight w:val="yellow"/>
          <w:lang w:val="en-US" w:eastAsia="zh-CN"/>
        </w:rPr>
      </w:pPr>
      <w:r>
        <w:rPr>
          <w:rFonts w:hint="eastAsia"/>
          <w:highlight w:val="none"/>
          <w:lang w:val="en-US" w:eastAsia="zh-CN"/>
        </w:rPr>
        <w:t>1.支持和组织村民依法发展各种形式的合作经济和其他经济，承担本村生产的服务和协调工作，促进农村生产建设和经济发展。</w:t>
      </w:r>
    </w:p>
    <w:p>
      <w:pPr>
        <w:pStyle w:val="8"/>
        <w:spacing w:line="623" w:lineRule="exact"/>
        <w:ind w:left="0" w:leftChars="0" w:firstLine="560" w:firstLineChars="200"/>
        <w:jc w:val="left"/>
        <w:rPr>
          <w:rFonts w:hint="default"/>
          <w:highlight w:val="yellow"/>
          <w:lang w:val="en-US" w:eastAsia="zh-CN"/>
        </w:rPr>
      </w:pPr>
      <w:r>
        <w:rPr>
          <w:rFonts w:hint="eastAsia"/>
          <w:highlight w:val="none"/>
          <w:lang w:val="en-US" w:eastAsia="zh-CN"/>
        </w:rPr>
        <w:t>2.依照法律规定，管理本村属于村农民集体所有的土地和其他财产，引导村民合理利用自然资源，保护和改善生态环境。</w:t>
      </w:r>
    </w:p>
    <w:p>
      <w:pPr>
        <w:pStyle w:val="8"/>
        <w:spacing w:line="623" w:lineRule="exact"/>
        <w:ind w:left="0" w:leftChars="0" w:firstLine="560" w:firstLineChars="200"/>
        <w:jc w:val="left"/>
        <w:rPr>
          <w:rFonts w:hint="default"/>
          <w:highlight w:val="yellow"/>
          <w:lang w:val="en-US" w:eastAsia="zh-CN"/>
        </w:rPr>
      </w:pPr>
      <w:r>
        <w:rPr>
          <w:rFonts w:hint="eastAsia"/>
          <w:highlight w:val="none"/>
          <w:lang w:val="en-US" w:eastAsia="zh-CN"/>
        </w:rPr>
        <w:t>3.尊重并支持集体经济组织依法独立进行经济活动的自主权，维护以家庭承包经营为基础、统分结合的双层经营体制，保障集体经济组织和村民、承包经营户、联户或者合伙的合法财产权和其他合法权益。</w:t>
      </w:r>
    </w:p>
    <w:p>
      <w:pPr>
        <w:pStyle w:val="8"/>
        <w:spacing w:line="623" w:lineRule="exact"/>
        <w:ind w:left="0" w:leftChars="0" w:firstLine="560" w:firstLineChars="200"/>
        <w:jc w:val="left"/>
        <w:rPr>
          <w:rFonts w:hint="default"/>
          <w:highlight w:val="yellow"/>
          <w:lang w:val="en-US" w:eastAsia="zh-CN"/>
        </w:rPr>
      </w:pPr>
      <w:r>
        <w:rPr>
          <w:rFonts w:hint="eastAsia"/>
          <w:highlight w:val="none"/>
          <w:lang w:val="en-US" w:eastAsia="zh-CN"/>
        </w:rPr>
        <w:t>4.宣传宪法、法律、法规和国家的政策，教育和推动村民履行法律规定的义务、爱护公共财产，维护村民的合法权益，发展文化教育，普及科技知识，促进男女平等，做好计划生育工作，促进村与村之间的团结、互助，开展多种形式的社会主义精神文明建设活动。</w:t>
      </w:r>
    </w:p>
    <w:p>
      <w:pPr>
        <w:pStyle w:val="8"/>
        <w:spacing w:line="623" w:lineRule="exact"/>
        <w:ind w:left="0" w:leftChars="0" w:firstLine="560" w:firstLineChars="200"/>
        <w:jc w:val="left"/>
        <w:rPr>
          <w:rFonts w:hint="default"/>
          <w:highlight w:val="yellow"/>
          <w:lang w:val="en-US" w:eastAsia="zh-CN"/>
        </w:rPr>
      </w:pPr>
      <w:r>
        <w:rPr>
          <w:rFonts w:hint="eastAsia"/>
          <w:highlight w:val="none"/>
          <w:lang w:val="en-US" w:eastAsia="zh-CN"/>
        </w:rPr>
        <w:t>5.支持服务性、公益性、互助性社会组织依法开展活动，推动农村社区建设。</w:t>
      </w:r>
    </w:p>
    <w:p>
      <w:pPr>
        <w:pStyle w:val="8"/>
        <w:spacing w:line="623" w:lineRule="exact"/>
        <w:ind w:left="0" w:leftChars="0" w:firstLine="560" w:firstLineChars="200"/>
        <w:jc w:val="left"/>
        <w:rPr>
          <w:rFonts w:hint="default"/>
          <w:highlight w:val="yellow"/>
          <w:lang w:val="en-US" w:eastAsia="zh-CN"/>
        </w:rPr>
      </w:pPr>
      <w:r>
        <w:rPr>
          <w:rFonts w:hint="eastAsia"/>
          <w:highlight w:val="none"/>
          <w:lang w:val="en-US" w:eastAsia="zh-CN"/>
        </w:rPr>
        <w:t>6.教育和引导各民族村民增进团结、互相尊重、互相帮助。</w:t>
      </w:r>
    </w:p>
    <w:p>
      <w:pPr>
        <w:pStyle w:val="8"/>
        <w:spacing w:line="623" w:lineRule="exact"/>
        <w:ind w:left="0" w:leftChars="0" w:firstLine="560" w:firstLineChars="200"/>
        <w:jc w:val="left"/>
        <w:rPr>
          <w:rFonts w:hint="default"/>
          <w:highlight w:val="yellow"/>
          <w:lang w:val="en-US" w:eastAsia="zh-CN"/>
        </w:rPr>
      </w:pPr>
      <w:r>
        <w:rPr>
          <w:rFonts w:hint="eastAsia"/>
          <w:highlight w:val="none"/>
          <w:lang w:val="en-US" w:eastAsia="zh-CN"/>
        </w:rPr>
        <w:t>7.遵守宪法、法律、法规和国家的政策，遵守并组织实施村民自治章程、村规民约，执行村民会议、村民代表会议的决定、决议，办事公道，廉洁奉公，热心为村民服务，接受村民监督。</w:t>
      </w:r>
    </w:p>
    <w:p>
      <w:pPr>
        <w:pStyle w:val="8"/>
        <w:spacing w:line="623" w:lineRule="exact"/>
        <w:ind w:left="0" w:leftChars="0" w:firstLine="560" w:firstLineChars="200"/>
        <w:jc w:val="left"/>
        <w:rPr>
          <w:rFonts w:hint="default"/>
          <w:highlight w:val="yellow"/>
          <w:lang w:val="en-US" w:eastAsia="zh-CN"/>
        </w:rPr>
      </w:pPr>
      <w:r>
        <w:rPr>
          <w:rFonts w:hint="eastAsia"/>
          <w:highlight w:val="none"/>
          <w:lang w:val="en-US" w:eastAsia="zh-CN"/>
        </w:rPr>
        <w:t>8.承办乡镇党委、政府和上级相关行政机关依法委托的业务等。</w:t>
      </w:r>
    </w:p>
    <w:p>
      <w:pPr>
        <w:pStyle w:val="7"/>
        <w:tabs>
          <w:tab w:val="left" w:pos="1369"/>
        </w:tabs>
        <w:spacing w:after="0" w:line="623" w:lineRule="exact"/>
        <w:ind w:firstLine="620"/>
        <w:jc w:val="left"/>
        <w:rPr>
          <w:b/>
          <w:bCs/>
        </w:rPr>
      </w:pPr>
      <w:bookmarkStart w:id="6" w:name="bookmark24"/>
      <w:r>
        <w:rPr>
          <w:b/>
          <w:bCs/>
        </w:rPr>
        <w:t>二</w:t>
      </w:r>
      <w:bookmarkEnd w:id="6"/>
      <w:r>
        <w:rPr>
          <w:b/>
          <w:bCs/>
        </w:rPr>
        <w:t>、</w:t>
      </w:r>
      <w:r>
        <w:rPr>
          <w:b/>
          <w:bCs/>
        </w:rPr>
        <w:tab/>
      </w:r>
      <w:r>
        <w:rPr>
          <w:rFonts w:hint="eastAsia"/>
          <w:b/>
          <w:bCs/>
        </w:rPr>
        <w:t>机构设置情况</w:t>
      </w:r>
    </w:p>
    <w:p>
      <w:pPr>
        <w:pStyle w:val="8"/>
        <w:spacing w:line="623" w:lineRule="exact"/>
        <w:ind w:left="0" w:leftChars="0" w:firstLine="560" w:firstLineChars="200"/>
        <w:jc w:val="left"/>
        <w:rPr>
          <w:rFonts w:hint="eastAsia"/>
          <w:highlight w:val="none"/>
          <w:lang w:val="en-US" w:eastAsia="zh-CN"/>
        </w:rPr>
      </w:pPr>
      <w:r>
        <w:rPr>
          <w:rFonts w:hint="eastAsia"/>
          <w:highlight w:val="none"/>
          <w:lang w:val="en-US" w:eastAsia="zh-CN"/>
        </w:rPr>
        <w:t>川山镇村委是川山镇人民政府管理行政村，本单位设有一肩挑、副书记、副主任等岗位。</w:t>
      </w:r>
    </w:p>
    <w:p/>
    <w:p/>
    <w:p/>
    <w:p/>
    <w:p/>
    <w:p/>
    <w:p/>
    <w:p/>
    <w:p/>
    <w:p/>
    <w:p/>
    <w:p/>
    <w:p/>
    <w:p/>
    <w:p/>
    <w:p/>
    <w:p/>
    <w:p/>
    <w:p/>
    <w:p/>
    <w:p/>
    <w:p/>
    <w:p/>
    <w:p/>
    <w:p/>
    <w:p/>
    <w:p/>
    <w:p/>
    <w:p/>
    <w:p/>
    <w:p/>
    <w:p>
      <w:pPr>
        <w:pStyle w:val="6"/>
        <w:keepNext/>
        <w:keepLines/>
        <w:spacing w:before="120" w:after="0" w:line="629" w:lineRule="exact"/>
        <w:jc w:val="center"/>
        <w:rPr>
          <w:b/>
          <w:bCs/>
        </w:rPr>
      </w:pPr>
      <w:bookmarkStart w:id="7" w:name="bookmark68"/>
      <w:bookmarkStart w:id="8" w:name="bookmark70"/>
      <w:bookmarkStart w:id="9" w:name="bookmark69"/>
      <w:bookmarkStart w:id="10" w:name="bookmark27"/>
      <w:bookmarkStart w:id="11" w:name="bookmark28"/>
      <w:bookmarkStart w:id="12" w:name="bookmark26"/>
      <w:r>
        <w:rPr>
          <w:b/>
          <w:bCs/>
        </w:rPr>
        <w:t>第</w:t>
      </w:r>
      <w:r>
        <w:rPr>
          <w:rFonts w:hint="eastAsia"/>
          <w:b/>
          <w:bCs/>
          <w:lang w:val="en-US" w:eastAsia="zh-CN"/>
        </w:rPr>
        <w:t>二</w:t>
      </w:r>
      <w:r>
        <w:rPr>
          <w:b/>
          <w:bCs/>
        </w:rPr>
        <w:t>部分</w:t>
      </w:r>
      <w:r>
        <w:rPr>
          <w:rFonts w:hint="eastAsia"/>
          <w:b/>
          <w:bCs/>
          <w:lang w:eastAsia="zh-CN"/>
        </w:rPr>
        <w:t>：</w:t>
      </w:r>
      <w:bookmarkEnd w:id="7"/>
      <w:bookmarkEnd w:id="8"/>
      <w:bookmarkEnd w:id="9"/>
      <w:r>
        <w:rPr>
          <w:rFonts w:hint="eastAsia"/>
          <w:b/>
          <w:bCs/>
          <w:lang w:eastAsia="zh-CN"/>
        </w:rPr>
        <w:t>环江毛南族自治县川山镇村委</w:t>
      </w:r>
      <w:r>
        <w:rPr>
          <w:b/>
          <w:u w:color="auto"/>
        </w:rPr>
        <w:t>2024年部门预算情况说明</w:t>
      </w:r>
    </w:p>
    <w:p>
      <w:pPr>
        <w:pStyle w:val="7"/>
        <w:numPr>
          <w:ilvl w:val="0"/>
          <w:numId w:val="1"/>
        </w:numPr>
        <w:tabs>
          <w:tab w:val="left" w:pos="1235"/>
        </w:tabs>
        <w:spacing w:after="0" w:line="624" w:lineRule="exact"/>
        <w:ind w:firstLine="580"/>
        <w:jc w:val="left"/>
        <w:rPr>
          <w:b/>
          <w:bCs/>
        </w:rPr>
      </w:pPr>
      <w:r>
        <w:rPr>
          <w:b/>
          <w:bCs/>
        </w:rPr>
        <w:t>部门预算收支总体情况说明</w:t>
      </w:r>
    </w:p>
    <w:p>
      <w:pPr>
        <w:pStyle w:val="7"/>
        <w:numPr>
          <w:ilvl w:val="0"/>
          <w:numId w:val="0"/>
        </w:numPr>
        <w:tabs>
          <w:tab w:val="left" w:pos="1235"/>
        </w:tabs>
        <w:spacing w:after="0" w:line="624" w:lineRule="exact"/>
        <w:jc w:val="left"/>
        <w:rPr>
          <w:b/>
          <w:bCs/>
        </w:rPr>
      </w:pPr>
    </w:p>
    <w:p>
      <w:pPr>
        <w:pStyle w:val="8"/>
        <w:spacing w:line="623" w:lineRule="exact"/>
        <w:ind w:left="0" w:leftChars="0" w:firstLine="560" w:firstLineChars="200"/>
        <w:jc w:val="left"/>
        <w:rPr>
          <w:rFonts w:hint="eastAsia" w:eastAsia="宋体"/>
          <w:b w:val="0"/>
          <w:bCs w:val="0"/>
          <w:sz w:val="28"/>
          <w:szCs w:val="28"/>
          <w:lang w:eastAsia="zh-CN"/>
        </w:rPr>
      </w:pPr>
      <w:r>
        <w:rPr>
          <w:rFonts w:hint="eastAsia"/>
          <w:b w:val="0"/>
          <w:bCs w:val="0"/>
          <w:sz w:val="28"/>
          <w:szCs w:val="28"/>
        </w:rPr>
        <w:t>我部门总收入</w:t>
      </w:r>
      <w:r>
        <w:rPr>
          <w:rFonts w:hint="eastAsia"/>
          <w:sz w:val="28"/>
          <w:szCs w:val="28"/>
          <w:lang w:val="en-US" w:eastAsia="zh-CN"/>
        </w:rPr>
        <w:t>552.70</w:t>
      </w:r>
      <w:r>
        <w:rPr>
          <w:rFonts w:hint="eastAsia"/>
          <w:b w:val="0"/>
          <w:bCs w:val="0"/>
          <w:sz w:val="28"/>
          <w:szCs w:val="28"/>
        </w:rPr>
        <w:t>万元，总支出</w:t>
      </w:r>
      <w:r>
        <w:rPr>
          <w:rFonts w:hint="eastAsia"/>
          <w:sz w:val="28"/>
          <w:szCs w:val="28"/>
          <w:lang w:val="en-US" w:eastAsia="zh-CN"/>
        </w:rPr>
        <w:t>552.70</w:t>
      </w:r>
      <w:r>
        <w:rPr>
          <w:rFonts w:hint="eastAsia"/>
          <w:b w:val="0"/>
          <w:bCs w:val="0"/>
          <w:sz w:val="28"/>
          <w:szCs w:val="28"/>
        </w:rPr>
        <w:t>万元。总收入较2023年度预算数</w:t>
      </w:r>
      <w:r>
        <w:rPr>
          <w:rFonts w:hint="eastAsia"/>
          <w:sz w:val="28"/>
          <w:szCs w:val="28"/>
          <w:lang w:val="en-US" w:eastAsia="zh-CN"/>
        </w:rPr>
        <w:t>930.90</w:t>
      </w:r>
      <w:r>
        <w:rPr>
          <w:rFonts w:hint="eastAsia"/>
          <w:b w:val="0"/>
          <w:bCs w:val="0"/>
          <w:sz w:val="28"/>
          <w:szCs w:val="28"/>
        </w:rPr>
        <w:t>万元，</w:t>
      </w:r>
      <w:r>
        <w:rPr>
          <w:rFonts w:hint="eastAsia"/>
          <w:sz w:val="28"/>
          <w:szCs w:val="28"/>
        </w:rPr>
        <w:t>减少378.20</w:t>
      </w:r>
      <w:r>
        <w:rPr>
          <w:rFonts w:hint="eastAsia"/>
          <w:b w:val="0"/>
          <w:bCs w:val="0"/>
          <w:sz w:val="28"/>
          <w:szCs w:val="28"/>
        </w:rPr>
        <w:t>万元，</w:t>
      </w:r>
      <w:r>
        <w:rPr>
          <w:rFonts w:hint="eastAsia"/>
          <w:sz w:val="28"/>
          <w:szCs w:val="28"/>
        </w:rPr>
        <w:t>下降40.63%</w:t>
      </w:r>
      <w:r>
        <w:rPr>
          <w:rFonts w:hint="eastAsia"/>
          <w:b w:val="0"/>
          <w:bCs w:val="0"/>
          <w:sz w:val="28"/>
          <w:szCs w:val="28"/>
        </w:rPr>
        <w:t>。总支出较2023年度预算数</w:t>
      </w:r>
      <w:r>
        <w:rPr>
          <w:rFonts w:hint="eastAsia"/>
          <w:sz w:val="28"/>
          <w:szCs w:val="28"/>
          <w:lang w:val="en-US" w:eastAsia="zh-CN"/>
        </w:rPr>
        <w:t>930.90</w:t>
      </w:r>
      <w:r>
        <w:rPr>
          <w:rFonts w:hint="eastAsia"/>
          <w:b w:val="0"/>
          <w:bCs w:val="0"/>
          <w:sz w:val="28"/>
          <w:szCs w:val="28"/>
        </w:rPr>
        <w:t>万元，</w:t>
      </w:r>
      <w:r>
        <w:rPr>
          <w:rFonts w:hint="eastAsia"/>
          <w:sz w:val="28"/>
          <w:szCs w:val="28"/>
        </w:rPr>
        <w:t>减少378.20</w:t>
      </w:r>
      <w:r>
        <w:rPr>
          <w:rFonts w:hint="eastAsia"/>
          <w:b w:val="0"/>
          <w:bCs w:val="0"/>
          <w:sz w:val="28"/>
          <w:szCs w:val="28"/>
        </w:rPr>
        <w:t>万元，</w:t>
      </w:r>
      <w:r>
        <w:rPr>
          <w:rFonts w:hint="eastAsia"/>
          <w:sz w:val="28"/>
          <w:szCs w:val="28"/>
        </w:rPr>
        <w:t>下降40.63%</w:t>
      </w:r>
      <w:r>
        <w:rPr>
          <w:rFonts w:hint="eastAsia"/>
          <w:b w:val="0"/>
          <w:bCs w:val="0"/>
          <w:sz w:val="28"/>
          <w:szCs w:val="28"/>
          <w:lang w:eastAsia="zh-CN"/>
        </w:rPr>
        <w:t>。主要原因：人员重复，预算减少。</w:t>
      </w:r>
    </w:p>
    <w:p>
      <w:pPr>
        <w:pStyle w:val="8"/>
        <w:spacing w:line="623" w:lineRule="exact"/>
        <w:ind w:left="0" w:leftChars="0" w:firstLine="0" w:firstLineChars="0"/>
        <w:jc w:val="left"/>
        <w:rPr>
          <w:rFonts w:hint="eastAsia"/>
          <w:b w:val="0"/>
          <w:bCs w:val="0"/>
          <w:sz w:val="28"/>
          <w:szCs w:val="28"/>
          <w:lang w:val="en-US" w:eastAsia="zh-CN"/>
        </w:rPr>
      </w:pPr>
    </w:p>
    <w:p>
      <w:pPr>
        <w:pStyle w:val="7"/>
        <w:tabs>
          <w:tab w:val="left" w:pos="1235"/>
        </w:tabs>
        <w:spacing w:after="0" w:line="624" w:lineRule="exact"/>
        <w:ind w:firstLine="580"/>
        <w:jc w:val="left"/>
        <w:rPr>
          <w:b/>
          <w:bCs/>
          <w:lang w:val="en-US" w:eastAsia="zh-CN"/>
        </w:rPr>
      </w:pPr>
      <w:r>
        <w:rPr>
          <w:rFonts w:hint="eastAsia"/>
          <w:b/>
          <w:bCs/>
          <w:lang w:val="en-US" w:eastAsia="zh-CN"/>
        </w:rPr>
        <w:t>二、</w:t>
      </w:r>
      <w:r>
        <w:rPr>
          <w:b/>
          <w:bCs/>
        </w:rPr>
        <w:t>部门收入总体情况说明</w:t>
      </w:r>
    </w:p>
    <w:p>
      <w:pPr>
        <w:pStyle w:val="8"/>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5175"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8"/>
        <w:spacing w:line="623" w:lineRule="exact"/>
        <w:ind w:left="0" w:leftChars="0" w:firstLine="560" w:firstLineChars="200"/>
        <w:jc w:val="left"/>
        <w:rPr>
          <w:rFonts w:hint="eastAsia" w:ascii="宋体" w:hAnsi="宋体" w:eastAsia="宋体" w:cs="宋体"/>
          <w:sz w:val="28"/>
          <w:szCs w:val="28"/>
          <w:u w:color="auto"/>
        </w:rPr>
      </w:pPr>
      <w:r>
        <w:rPr>
          <w:rFonts w:hint="eastAsia" w:ascii="宋体" w:hAnsi="宋体" w:eastAsia="宋体" w:cs="宋体"/>
          <w:sz w:val="28"/>
          <w:szCs w:val="28"/>
          <w:u w:color="auto"/>
          <w:lang w:eastAsia="zh-CN"/>
        </w:rPr>
        <w:t>2024</w:t>
      </w:r>
      <w:r>
        <w:rPr>
          <w:rFonts w:hint="eastAsia" w:ascii="宋体" w:hAnsi="宋体" w:eastAsia="宋体" w:cs="宋体"/>
          <w:sz w:val="28"/>
          <w:szCs w:val="28"/>
          <w:u w:color="auto"/>
        </w:rPr>
        <w:t>年我部门总收入</w:t>
      </w:r>
      <w:r>
        <w:rPr>
          <w:rFonts w:hint="eastAsia" w:ascii="宋体" w:hAnsi="宋体" w:eastAsia="宋体" w:cs="宋体"/>
          <w:sz w:val="28"/>
          <w:szCs w:val="28"/>
          <w:lang w:val="en-US" w:eastAsia="zh-CN"/>
        </w:rPr>
        <w:t>552.70</w:t>
      </w:r>
      <w:r>
        <w:rPr>
          <w:rFonts w:hint="eastAsia" w:ascii="宋体" w:hAnsi="宋体" w:eastAsia="宋体" w:cs="宋体"/>
          <w:sz w:val="28"/>
          <w:szCs w:val="28"/>
          <w:u w:color="auto"/>
        </w:rPr>
        <w:t>万元，较2023年度预算数</w:t>
      </w:r>
      <w:r>
        <w:rPr>
          <w:rFonts w:hint="eastAsia" w:ascii="宋体" w:hAnsi="宋体" w:eastAsia="宋体" w:cs="宋体"/>
          <w:sz w:val="28"/>
          <w:szCs w:val="28"/>
          <w:lang w:val="en-US" w:eastAsia="zh-CN"/>
        </w:rPr>
        <w:t>930.90</w:t>
      </w:r>
      <w:r>
        <w:rPr>
          <w:rFonts w:hint="eastAsia" w:ascii="宋体" w:hAnsi="宋体" w:eastAsia="宋体" w:cs="宋体"/>
          <w:sz w:val="28"/>
          <w:szCs w:val="28"/>
          <w:u w:color="auto"/>
        </w:rPr>
        <w:t>万元，</w:t>
      </w:r>
      <w:r>
        <w:rPr>
          <w:rFonts w:hint="eastAsia" w:ascii="宋体" w:hAnsi="宋体" w:eastAsia="宋体" w:cs="宋体"/>
          <w:sz w:val="28"/>
          <w:szCs w:val="28"/>
        </w:rPr>
        <w:t>减少378.20</w:t>
      </w:r>
      <w:r>
        <w:rPr>
          <w:rFonts w:hint="eastAsia" w:ascii="宋体" w:hAnsi="宋体" w:eastAsia="宋体" w:cs="宋体"/>
          <w:sz w:val="28"/>
          <w:szCs w:val="28"/>
          <w:u w:color="auto"/>
        </w:rPr>
        <w:t>万元，</w:t>
      </w:r>
      <w:r>
        <w:rPr>
          <w:rFonts w:hint="eastAsia" w:ascii="宋体" w:hAnsi="宋体" w:eastAsia="宋体" w:cs="宋体"/>
          <w:sz w:val="28"/>
          <w:szCs w:val="28"/>
        </w:rPr>
        <w:t>下降40.63%</w:t>
      </w:r>
      <w:r>
        <w:rPr>
          <w:rFonts w:hint="eastAsia" w:ascii="宋体" w:hAnsi="宋体" w:eastAsia="宋体" w:cs="宋体"/>
          <w:sz w:val="28"/>
          <w:szCs w:val="28"/>
          <w:u w:color="auto"/>
        </w:rPr>
        <w:t>。</w:t>
      </w:r>
      <w:r>
        <w:rPr>
          <w:rFonts w:hint="eastAsia"/>
          <w:b w:val="0"/>
          <w:bCs w:val="0"/>
          <w:sz w:val="28"/>
          <w:szCs w:val="28"/>
          <w:lang w:eastAsia="zh-CN"/>
        </w:rPr>
        <w:t>主要原因：人员重复，预算减少。</w:t>
      </w:r>
    </w:p>
    <w:p>
      <w:pPr>
        <w:pStyle w:val="8"/>
        <w:spacing w:line="623" w:lineRule="exact"/>
        <w:ind w:left="0" w:leftChars="0" w:firstLine="0" w:firstLineChars="0"/>
        <w:jc w:val="left"/>
        <w:rPr>
          <w:rFonts w:hint="eastAsia" w:ascii="宋体" w:hAnsi="宋体" w:eastAsia="宋体" w:cs="宋体"/>
          <w:sz w:val="28"/>
          <w:szCs w:val="28"/>
          <w:u w:color="auto"/>
        </w:rPr>
      </w:pPr>
    </w:p>
    <w:p>
      <w:pPr>
        <w:pStyle w:val="7"/>
        <w:tabs>
          <w:tab w:val="left" w:pos="1235"/>
        </w:tabs>
        <w:spacing w:after="0" w:line="624" w:lineRule="exact"/>
        <w:ind w:firstLine="580"/>
        <w:jc w:val="left"/>
        <w:rPr>
          <w:b/>
          <w:bCs/>
        </w:rPr>
      </w:pPr>
      <w:r>
        <w:rPr>
          <w:rFonts w:hint="eastAsia"/>
          <w:b/>
          <w:bCs/>
          <w:lang w:val="en-US" w:eastAsia="zh-CN"/>
        </w:rPr>
        <w:t>三、</w:t>
      </w:r>
      <w:r>
        <w:rPr>
          <w:b/>
          <w:bCs/>
        </w:rPr>
        <w:t>部门支出总体情况说明</w:t>
      </w:r>
    </w:p>
    <w:p>
      <w:pPr>
        <w:pStyle w:val="8"/>
        <w:spacing w:line="240" w:lineRule="auto"/>
        <w:ind w:firstLine="0"/>
        <w:jc w:val="left"/>
        <w:rPr>
          <w:rFonts w:ascii="Times New Roman" w:hAnsi="Times New Roman" w:eastAsia="Times New Roman" w:cs="Times New Roman"/>
          <w:sz w:val="30"/>
          <w:szCs w:val="30"/>
        </w:rPr>
      </w:pPr>
      <w:r>
        <w:rPr>
          <w:rFonts w:ascii="Times New Roman" w:hAnsi="Times New Roman" w:eastAsia="Times New Roman" w:cs="Times New Roman"/>
          <w:sz w:val="30"/>
          <w:szCs w:val="30"/>
        </w:rPr>
        <w:drawing>
          <wp:inline distT="0" distB="0" distL="114300" distR="114300">
            <wp:extent cx="5080000" cy="3810000"/>
            <wp:effectExtent l="4445" t="4445" r="20955" b="14605"/>
            <wp:docPr id="5176"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8"/>
        <w:spacing w:line="623" w:lineRule="exact"/>
        <w:ind w:left="0" w:leftChars="0" w:firstLine="560" w:firstLineChars="200"/>
        <w:jc w:val="left"/>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sz w:val="28"/>
          <w:szCs w:val="28"/>
          <w:lang w:eastAsia="zh-CN"/>
        </w:rPr>
        <w:t>2024</w:t>
      </w:r>
      <w:r>
        <w:rPr>
          <w:rFonts w:ascii="宋体" w:hAnsi="宋体" w:eastAsia="宋体" w:cs="宋体"/>
          <w:sz w:val="28"/>
          <w:u w:color="auto"/>
        </w:rPr>
        <w:t>年我部门总支出</w:t>
      </w:r>
      <w:r>
        <w:rPr>
          <w:rFonts w:hint="eastAsia" w:ascii="宋体" w:hAnsi="宋体" w:eastAsia="宋体" w:cs="宋体"/>
          <w:sz w:val="28"/>
          <w:szCs w:val="28"/>
          <w:lang w:val="en-US" w:eastAsia="zh-CN"/>
        </w:rPr>
        <w:t>552.70</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930.90</w:t>
      </w:r>
      <w:r>
        <w:rPr>
          <w:rFonts w:hint="eastAsia" w:ascii="宋体" w:hAnsi="宋体" w:eastAsia="宋体" w:cs="宋体"/>
          <w:sz w:val="28"/>
          <w:szCs w:val="28"/>
          <w:lang w:eastAsia="zh-CN"/>
        </w:rPr>
        <w:t>万元，</w:t>
      </w:r>
      <w:r>
        <w:rPr>
          <w:rFonts w:hint="eastAsia" w:ascii="宋体" w:hAnsi="宋体" w:eastAsia="宋体" w:cs="宋体"/>
          <w:sz w:val="28"/>
          <w:szCs w:val="28"/>
        </w:rPr>
        <w:t>减少378.20</w:t>
      </w:r>
      <w:r>
        <w:rPr>
          <w:rFonts w:hint="eastAsia" w:ascii="宋体" w:hAnsi="宋体" w:eastAsia="宋体" w:cs="宋体"/>
          <w:sz w:val="28"/>
          <w:szCs w:val="28"/>
          <w:lang w:eastAsia="zh-CN"/>
        </w:rPr>
        <w:t>万元，</w:t>
      </w:r>
      <w:r>
        <w:rPr>
          <w:rFonts w:hint="eastAsia" w:ascii="宋体" w:hAnsi="宋体" w:eastAsia="宋体" w:cs="宋体"/>
          <w:sz w:val="28"/>
          <w:szCs w:val="28"/>
        </w:rPr>
        <w:t>下降40.63%</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主要用于村委为保证日常运转发生的人员经费支出</w:t>
      </w:r>
      <w:r>
        <w:rPr>
          <w:rFonts w:hint="eastAsia" w:ascii="宋体" w:hAnsi="宋体" w:eastAsia="宋体" w:cs="宋体"/>
          <w:color w:val="000000" w:themeColor="text1"/>
          <w:sz w:val="28"/>
          <w:szCs w:val="28"/>
          <w:lang w:eastAsia="zh-CN"/>
          <w14:textFill>
            <w14:solidFill>
              <w14:schemeClr w14:val="tx1"/>
            </w14:solidFill>
          </w14:textFill>
        </w:rPr>
        <w:t>。</w:t>
      </w:r>
    </w:p>
    <w:p>
      <w:pPr>
        <w:pStyle w:val="8"/>
        <w:spacing w:line="623" w:lineRule="exact"/>
        <w:ind w:left="0" w:leftChars="0" w:firstLine="560" w:firstLineChars="200"/>
        <w:jc w:val="left"/>
        <w:rPr>
          <w:rFonts w:hint="eastAsia" w:ascii="宋体" w:hAnsi="宋体" w:eastAsia="宋体" w:cs="宋体"/>
          <w:color w:val="000000" w:themeColor="text1"/>
          <w:sz w:val="28"/>
          <w:szCs w:val="28"/>
          <w:lang w:eastAsia="zh-CN"/>
          <w14:textFill>
            <w14:solidFill>
              <w14:schemeClr w14:val="tx1"/>
            </w14:solidFill>
          </w14:textFill>
        </w:rPr>
      </w:pPr>
    </w:p>
    <w:p>
      <w:pPr>
        <w:pStyle w:val="8"/>
        <w:spacing w:after="140" w:line="240" w:lineRule="auto"/>
        <w:ind w:firstLine="0"/>
        <w:jc w:val="left"/>
      </w:pPr>
      <w:r>
        <w:t>（一）按支出功能分类科目划分，共分为</w:t>
      </w:r>
      <w:r>
        <w:rPr>
          <w:rFonts w:hint="eastAsia"/>
          <w:lang w:val="en-US" w:eastAsia="zh-CN"/>
        </w:rPr>
        <w:t>1</w:t>
      </w:r>
      <w:r>
        <w:t>类，其中:</w:t>
      </w:r>
    </w:p>
    <w:p>
      <w:pPr>
        <w:pStyle w:val="8"/>
        <w:spacing w:line="623" w:lineRule="exact"/>
        <w:ind w:left="0" w:leftChars="0" w:firstLine="560" w:firstLineChars="200"/>
        <w:jc w:val="left"/>
        <w:rPr>
          <w:rFonts w:hint="eastAsia"/>
        </w:rPr>
      </w:pPr>
      <w:r>
        <w:rPr>
          <w:rFonts w:hint="eastAsia"/>
        </w:rPr>
        <w:t>(</w:t>
      </w:r>
      <w:r>
        <w:rPr>
          <w:u w:color="auto"/>
        </w:rPr>
        <w:t>1)农林水支出</w:t>
      </w:r>
      <w:r>
        <w:rPr>
          <w:rFonts w:hint="eastAsia"/>
          <w:lang w:val="en-US" w:eastAsia="zh-CN"/>
        </w:rPr>
        <w:t>552.70</w:t>
      </w:r>
      <w:r>
        <w:rPr>
          <w:rFonts w:hint="eastAsia"/>
        </w:rPr>
        <w:t>万元，占支出总预算</w:t>
      </w:r>
      <w:r>
        <w:rPr>
          <w:rFonts w:hint="eastAsia"/>
          <w:lang w:val="en-US" w:eastAsia="zh-CN"/>
        </w:rPr>
        <w:t>100.00%</w:t>
      </w:r>
      <w:r>
        <w:rPr>
          <w:rFonts w:hint="eastAsia"/>
        </w:rPr>
        <w:t>,比上年</w:t>
      </w:r>
      <w:r>
        <w:rPr>
          <w:rFonts w:hint="eastAsia"/>
          <w:lang w:val="en-US" w:eastAsia="zh-CN"/>
        </w:rPr>
        <w:t>减少378.20</w:t>
      </w:r>
      <w:r>
        <w:rPr>
          <w:rFonts w:hint="eastAsia"/>
        </w:rPr>
        <w:t>万元，</w:t>
      </w:r>
      <w:r>
        <w:rPr>
          <w:rFonts w:hint="eastAsia"/>
          <w:lang w:val="en-US" w:eastAsia="zh-CN"/>
        </w:rPr>
        <w:t>减少40.63%</w:t>
      </w:r>
      <w:r>
        <w:rPr>
          <w:rFonts w:hint="eastAsia"/>
        </w:rPr>
        <w:t>,</w:t>
      </w:r>
      <w:r>
        <w:rPr>
          <w:rFonts w:hint="eastAsia"/>
          <w:highlight w:val="none"/>
        </w:rPr>
        <w:t>主要原因是：</w:t>
      </w:r>
      <w:r>
        <w:rPr>
          <w:rFonts w:hint="eastAsia"/>
          <w:highlight w:val="none"/>
          <w:lang w:val="en-US" w:eastAsia="zh-CN"/>
        </w:rPr>
        <w:t>主要用于村委为保证日常运转发生的人员经费支出。确保村委正常运转的办公费、印刷费、水电费、培训费、差旅费、会议费等日常公用经费支出。</w:t>
      </w:r>
    </w:p>
    <w:p>
      <w:pPr>
        <w:pStyle w:val="8"/>
        <w:spacing w:line="635" w:lineRule="exact"/>
        <w:ind w:firstLine="740"/>
        <w:jc w:val="left"/>
      </w:pPr>
      <w:r>
        <w:t>(二)按支出结构分类划分，分为基本支出预算和项目支出预算。</w:t>
      </w:r>
    </w:p>
    <w:p>
      <w:pPr>
        <w:pStyle w:val="8"/>
        <w:spacing w:line="635" w:lineRule="exact"/>
        <w:ind w:firstLine="600"/>
        <w:jc w:val="left"/>
      </w:pPr>
      <w:r>
        <w:rPr>
          <w:rFonts w:ascii="Times New Roman" w:hAnsi="Times New Roman" w:eastAsia="Times New Roman" w:cs="Times New Roman"/>
          <w:sz w:val="30"/>
          <w:szCs w:val="30"/>
        </w:rPr>
        <w:t>1</w:t>
      </w:r>
      <w:r>
        <w:t>.基本支出预算。</w:t>
      </w:r>
    </w:p>
    <w:p>
      <w:pPr>
        <w:pStyle w:val="8"/>
        <w:spacing w:line="619" w:lineRule="exact"/>
        <w:ind w:firstLine="600"/>
        <w:jc w:val="left"/>
        <w:rPr>
          <w:rFonts w:hint="eastAsia"/>
          <w:lang w:val="en-US" w:eastAsia="zh-CN"/>
        </w:rPr>
      </w:pPr>
      <w:r>
        <w:rPr>
          <w:rFonts w:hint="eastAsia"/>
        </w:rPr>
        <w:t>基本支出预算</w:t>
      </w:r>
      <w:r>
        <w:rPr>
          <w:rFonts w:hint="eastAsia"/>
          <w:lang w:val="en-US" w:eastAsia="zh-CN"/>
        </w:rPr>
        <w:t>552.70</w:t>
      </w:r>
      <w:r>
        <w:rPr>
          <w:rFonts w:hint="eastAsia"/>
        </w:rPr>
        <w:t>万元，占支出预算</w:t>
      </w:r>
      <w:r>
        <w:rPr>
          <w:u w:color="auto"/>
        </w:rPr>
        <w:t>100.00%,比上年减少378.20万元，减少40.63%</w:t>
      </w:r>
      <w:r>
        <w:t>。</w:t>
      </w:r>
      <w:r>
        <w:rPr>
          <w:rFonts w:hint="eastAsia"/>
          <w:lang w:val="en-US" w:eastAsia="zh-CN"/>
        </w:rPr>
        <w:t>其中：</w:t>
      </w:r>
    </w:p>
    <w:p>
      <w:pPr>
        <w:pStyle w:val="9"/>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1)商品和服务支出</w:t>
      </w:r>
      <w:r>
        <w:rPr>
          <w:rFonts w:hint="eastAsia" w:ascii="宋体" w:hAnsi="宋体" w:eastAsia="宋体" w:cs="宋体"/>
          <w:sz w:val="28"/>
          <w:szCs w:val="28"/>
          <w:lang w:val="en-US" w:eastAsia="zh-CN"/>
        </w:rPr>
        <w:t>59.50</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10.77%</w:t>
      </w:r>
      <w:r>
        <w:rPr>
          <w:rFonts w:hint="eastAsia"/>
        </w:rPr>
        <w:t>,</w:t>
      </w:r>
      <w:r>
        <w:t>比上年</w:t>
      </w:r>
      <w:r>
        <w:rPr>
          <w:rFonts w:hint="eastAsia"/>
        </w:rPr>
        <w:t>增长1.00</w:t>
      </w:r>
      <w:r>
        <w:t>万元，</w:t>
      </w:r>
      <w:r>
        <w:rPr>
          <w:rFonts w:hint="eastAsia"/>
        </w:rPr>
        <w:t>增长1.71%</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主要用于确保本部门正常运转的办公费、印刷费、水电费、培训费、差旅费、会议费等日常公用经费支出。</w:t>
      </w:r>
    </w:p>
    <w:p>
      <w:pPr>
        <w:pStyle w:val="9"/>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2)对个人和家庭的补助</w:t>
      </w:r>
      <w:r>
        <w:rPr>
          <w:rFonts w:hint="eastAsia" w:ascii="宋体" w:hAnsi="宋体" w:eastAsia="宋体" w:cs="宋体"/>
          <w:sz w:val="28"/>
          <w:szCs w:val="28"/>
          <w:lang w:val="en-US" w:eastAsia="zh-CN"/>
        </w:rPr>
        <w:t>493.20</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89.23%</w:t>
      </w:r>
      <w:r>
        <w:rPr>
          <w:rFonts w:hint="eastAsia"/>
        </w:rPr>
        <w:t>,</w:t>
      </w:r>
      <w:r>
        <w:t>比上年</w:t>
      </w:r>
      <w:r>
        <w:rPr>
          <w:rFonts w:hint="eastAsia"/>
        </w:rPr>
        <w:t>减少379.20</w:t>
      </w:r>
      <w:r>
        <w:t>万元，</w:t>
      </w:r>
      <w:r>
        <w:rPr>
          <w:rFonts w:hint="eastAsia"/>
        </w:rPr>
        <w:t>减少43.47%</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要用于村委为保证日常运转发生的人员经费支出。</w:t>
      </w:r>
    </w:p>
    <w:p>
      <w:pPr>
        <w:pStyle w:val="8"/>
        <w:numPr>
          <w:ilvl w:val="0"/>
          <w:numId w:val="2"/>
        </w:numPr>
        <w:spacing w:line="614" w:lineRule="exact"/>
        <w:ind w:firstLine="600"/>
        <w:jc w:val="left"/>
      </w:pPr>
      <w:r>
        <w:t>项目支出预算。</w:t>
      </w:r>
    </w:p>
    <w:p>
      <w:pPr>
        <w:pStyle w:val="8"/>
        <w:spacing w:line="619" w:lineRule="exact"/>
        <w:ind w:firstLine="600"/>
        <w:jc w:val="left"/>
        <w:rPr>
          <w:rFonts w:hint="eastAsia"/>
          <w:lang w:val="en-US" w:eastAsia="zh-CN"/>
        </w:rPr>
      </w:pPr>
      <w:r>
        <w:rPr>
          <w:rFonts w:hint="eastAsia"/>
        </w:rPr>
        <w:t>项目支出预算</w:t>
      </w:r>
      <w:r>
        <w:rPr>
          <w:rFonts w:hint="eastAsia"/>
          <w:lang w:val="en-US" w:eastAsia="zh-CN"/>
        </w:rPr>
        <w:t>0.00</w:t>
      </w:r>
      <w:r>
        <w:rPr>
          <w:rFonts w:hint="eastAsia"/>
        </w:rPr>
        <w:t>万元，占支出预算</w:t>
      </w:r>
      <w:r>
        <w:rPr>
          <w:u w:color="auto"/>
        </w:rPr>
        <w:t>0.00%</w:t>
      </w:r>
      <w:r>
        <w:rPr>
          <w:rFonts w:hint="eastAsia"/>
        </w:rPr>
        <w:t>,比上年</w:t>
      </w:r>
      <w:r>
        <w:rPr>
          <w:u w:color="auto"/>
        </w:rPr>
        <w:t>增长0.00</w:t>
      </w:r>
      <w:r>
        <w:rPr>
          <w:rFonts w:hint="eastAsia"/>
        </w:rPr>
        <w:t>万元，</w:t>
      </w:r>
      <w:r>
        <w:rPr>
          <w:u w:color="auto"/>
        </w:rPr>
        <w:t>增长0%</w:t>
      </w:r>
      <w:r>
        <w:t>。</w:t>
      </w:r>
    </w:p>
    <w:p>
      <w:pPr>
        <w:pStyle w:val="7"/>
        <w:numPr>
          <w:ilvl w:val="0"/>
          <w:numId w:val="0"/>
        </w:numPr>
        <w:tabs>
          <w:tab w:val="left" w:pos="1238"/>
        </w:tabs>
        <w:spacing w:after="0" w:line="625" w:lineRule="exact"/>
        <w:jc w:val="left"/>
        <w:rPr>
          <w:b/>
          <w:bCs/>
        </w:rPr>
      </w:pPr>
    </w:p>
    <w:p>
      <w:pPr>
        <w:pStyle w:val="7"/>
        <w:numPr>
          <w:ilvl w:val="0"/>
          <w:numId w:val="0"/>
        </w:numPr>
        <w:tabs>
          <w:tab w:val="left" w:pos="1238"/>
        </w:tabs>
        <w:spacing w:after="0" w:line="625" w:lineRule="exact"/>
        <w:jc w:val="left"/>
        <w:rPr>
          <w:b/>
          <w:bCs/>
        </w:rPr>
      </w:pPr>
    </w:p>
    <w:p>
      <w:pPr>
        <w:pStyle w:val="7"/>
        <w:numPr>
          <w:ilvl w:val="0"/>
          <w:numId w:val="0"/>
        </w:numPr>
        <w:tabs>
          <w:tab w:val="left" w:pos="1238"/>
        </w:tabs>
        <w:spacing w:after="0" w:line="625" w:lineRule="exact"/>
        <w:jc w:val="left"/>
        <w:rPr>
          <w:b/>
          <w:bCs/>
        </w:rPr>
      </w:pPr>
    </w:p>
    <w:p>
      <w:pPr>
        <w:pStyle w:val="7"/>
        <w:numPr>
          <w:ilvl w:val="0"/>
          <w:numId w:val="0"/>
        </w:numPr>
        <w:tabs>
          <w:tab w:val="left" w:pos="1238"/>
        </w:tabs>
        <w:spacing w:after="0" w:line="625" w:lineRule="exact"/>
        <w:jc w:val="left"/>
        <w:rPr>
          <w:b/>
          <w:bCs/>
        </w:rPr>
      </w:pPr>
    </w:p>
    <w:p>
      <w:pPr>
        <w:pStyle w:val="7"/>
        <w:numPr>
          <w:ilvl w:val="0"/>
          <w:numId w:val="0"/>
        </w:numPr>
        <w:tabs>
          <w:tab w:val="left" w:pos="1238"/>
        </w:tabs>
        <w:spacing w:after="0" w:line="625" w:lineRule="exact"/>
        <w:jc w:val="left"/>
        <w:rPr>
          <w:b/>
          <w:bCs/>
        </w:rPr>
      </w:pPr>
    </w:p>
    <w:p>
      <w:pPr>
        <w:pStyle w:val="7"/>
        <w:numPr>
          <w:ilvl w:val="0"/>
          <w:numId w:val="0"/>
        </w:numPr>
        <w:tabs>
          <w:tab w:val="left" w:pos="1238"/>
        </w:tabs>
        <w:spacing w:after="0" w:line="625" w:lineRule="exact"/>
        <w:jc w:val="left"/>
        <w:rPr>
          <w:b/>
          <w:bCs/>
        </w:rPr>
      </w:pPr>
    </w:p>
    <w:p>
      <w:pPr>
        <w:pStyle w:val="7"/>
        <w:numPr>
          <w:ilvl w:val="0"/>
          <w:numId w:val="0"/>
        </w:numPr>
        <w:tabs>
          <w:tab w:val="left" w:pos="1238"/>
        </w:tabs>
        <w:spacing w:after="0" w:line="625" w:lineRule="exact"/>
        <w:jc w:val="left"/>
        <w:rPr>
          <w:b/>
          <w:bCs/>
        </w:rPr>
      </w:pPr>
    </w:p>
    <w:p>
      <w:pPr>
        <w:pStyle w:val="7"/>
        <w:numPr>
          <w:ilvl w:val="0"/>
          <w:numId w:val="0"/>
        </w:numPr>
        <w:tabs>
          <w:tab w:val="left" w:pos="1238"/>
        </w:tabs>
        <w:spacing w:after="0" w:line="625" w:lineRule="exact"/>
        <w:jc w:val="left"/>
        <w:rPr>
          <w:b/>
          <w:bCs/>
        </w:rPr>
      </w:pPr>
    </w:p>
    <w:p>
      <w:pPr>
        <w:pStyle w:val="7"/>
        <w:numPr>
          <w:ilvl w:val="0"/>
          <w:numId w:val="0"/>
        </w:numPr>
        <w:tabs>
          <w:tab w:val="left" w:pos="1238"/>
        </w:tabs>
        <w:spacing w:after="0" w:line="625" w:lineRule="exact"/>
        <w:jc w:val="left"/>
        <w:rPr>
          <w:b/>
          <w:bCs/>
        </w:rPr>
      </w:pPr>
    </w:p>
    <w:p>
      <w:pPr>
        <w:pStyle w:val="7"/>
        <w:numPr>
          <w:ilvl w:val="0"/>
          <w:numId w:val="0"/>
        </w:numPr>
        <w:tabs>
          <w:tab w:val="left" w:pos="1238"/>
        </w:tabs>
        <w:spacing w:after="0" w:line="625" w:lineRule="exact"/>
        <w:jc w:val="left"/>
        <w:rPr>
          <w:b/>
          <w:bCs/>
        </w:rPr>
      </w:pPr>
    </w:p>
    <w:p>
      <w:pPr>
        <w:pStyle w:val="7"/>
        <w:numPr>
          <w:ilvl w:val="0"/>
          <w:numId w:val="0"/>
        </w:numPr>
        <w:tabs>
          <w:tab w:val="left" w:pos="1238"/>
        </w:tabs>
        <w:spacing w:after="0" w:line="625" w:lineRule="exact"/>
        <w:jc w:val="left"/>
        <w:rPr>
          <w:b/>
          <w:bCs/>
        </w:rPr>
      </w:pPr>
    </w:p>
    <w:p>
      <w:pPr>
        <w:pStyle w:val="7"/>
        <w:tabs>
          <w:tab w:val="left" w:pos="1235"/>
        </w:tabs>
        <w:spacing w:after="0" w:line="624" w:lineRule="exact"/>
        <w:ind w:firstLine="580"/>
        <w:jc w:val="left"/>
        <w:rPr>
          <w:b/>
          <w:bCs/>
        </w:rPr>
      </w:pPr>
      <w:r>
        <w:rPr>
          <w:rFonts w:hint="eastAsia"/>
          <w:b/>
          <w:bCs/>
          <w:lang w:val="en-US" w:eastAsia="zh-CN"/>
        </w:rPr>
        <w:t>四、</w:t>
      </w:r>
      <w:r>
        <w:rPr>
          <w:b/>
          <w:bCs/>
        </w:rPr>
        <w:t>财政拨款收支总体情况说明</w:t>
      </w:r>
    </w:p>
    <w:p>
      <w:pPr>
        <w:pStyle w:val="8"/>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5177"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7"/>
        <w:tabs>
          <w:tab w:val="left" w:pos="1235"/>
        </w:tabs>
        <w:spacing w:after="0" w:line="624" w:lineRule="exact"/>
        <w:ind w:firstLine="580"/>
        <w:jc w:val="left"/>
        <w:rPr>
          <w:rFonts w:hint="eastAsia" w:cs="宋体"/>
          <w:sz w:val="28"/>
          <w:szCs w:val="28"/>
          <w:lang w:eastAsia="zh-CN"/>
        </w:rPr>
      </w:pPr>
      <w:r>
        <w:rPr>
          <w:rFonts w:hint="eastAsia" w:ascii="宋体" w:hAnsi="宋体" w:eastAsia="宋体" w:cs="宋体"/>
          <w:sz w:val="28"/>
          <w:szCs w:val="28"/>
          <w:lang w:eastAsia="zh-CN"/>
        </w:rPr>
        <w:t>2024</w:t>
      </w:r>
      <w:r>
        <w:rPr>
          <w:rFonts w:hint="eastAsia" w:ascii="宋体" w:hAnsi="宋体" w:eastAsia="宋体" w:cs="宋体"/>
          <w:sz w:val="28"/>
          <w:szCs w:val="28"/>
          <w:u w:color="auto"/>
        </w:rPr>
        <w:t>年</w:t>
      </w:r>
      <w:r>
        <w:rPr>
          <w:rFonts w:hint="eastAsia" w:ascii="宋体" w:hAnsi="宋体" w:eastAsia="宋体" w:cs="宋体"/>
          <w:sz w:val="28"/>
          <w:szCs w:val="28"/>
        </w:rPr>
        <w:t>财政拨款收入我部门财政拨款总收入</w:t>
      </w:r>
      <w:r>
        <w:rPr>
          <w:rFonts w:hint="eastAsia" w:ascii="宋体" w:hAnsi="宋体" w:eastAsia="宋体" w:cs="宋体"/>
          <w:sz w:val="28"/>
          <w:szCs w:val="28"/>
          <w:lang w:val="en-US" w:eastAsia="zh-CN" w:bidi="en-US"/>
        </w:rPr>
        <w:t>552.70</w:t>
      </w:r>
      <w:r>
        <w:rPr>
          <w:rFonts w:hint="eastAsia" w:ascii="宋体" w:hAnsi="宋体" w:eastAsia="宋体" w:cs="宋体"/>
          <w:sz w:val="28"/>
          <w:szCs w:val="28"/>
        </w:rPr>
        <w:t>万元，总支出</w:t>
      </w:r>
      <w:r>
        <w:rPr>
          <w:rFonts w:hint="eastAsia" w:ascii="宋体" w:hAnsi="宋体" w:eastAsia="宋体" w:cs="宋体"/>
          <w:sz w:val="28"/>
          <w:szCs w:val="28"/>
          <w:lang w:val="en-US" w:eastAsia="zh-CN" w:bidi="en-US"/>
        </w:rPr>
        <w:t>552.70</w:t>
      </w:r>
      <w:r>
        <w:rPr>
          <w:rFonts w:hint="eastAsia" w:ascii="宋体" w:hAnsi="宋体" w:eastAsia="宋体" w:cs="宋体"/>
          <w:sz w:val="28"/>
          <w:szCs w:val="28"/>
        </w:rPr>
        <w:t>万元。财政拨款总收入较2023年度预算数</w:t>
      </w:r>
      <w:r>
        <w:rPr>
          <w:rFonts w:hint="eastAsia" w:ascii="宋体" w:hAnsi="宋体" w:eastAsia="宋体" w:cs="宋体"/>
          <w:sz w:val="28"/>
          <w:szCs w:val="28"/>
          <w:lang w:val="en-US" w:eastAsia="zh-CN" w:bidi="en-US"/>
        </w:rPr>
        <w:t>930.90</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减少378.20</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下降40.63%</w:t>
      </w:r>
      <w:r>
        <w:rPr>
          <w:rFonts w:hint="eastAsia" w:ascii="宋体" w:hAnsi="宋体" w:eastAsia="宋体" w:cs="宋体"/>
          <w:sz w:val="28"/>
          <w:szCs w:val="28"/>
        </w:rPr>
        <w:t>。财政拨款总支出较2023年度预算数</w:t>
      </w:r>
      <w:r>
        <w:rPr>
          <w:rFonts w:hint="eastAsia" w:ascii="宋体" w:hAnsi="宋体" w:eastAsia="宋体" w:cs="宋体"/>
          <w:sz w:val="28"/>
          <w:szCs w:val="28"/>
          <w:lang w:val="en-US" w:eastAsia="zh-CN" w:bidi="en-US"/>
        </w:rPr>
        <w:t>930.90</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减少378.20</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下降40.63%</w:t>
      </w:r>
      <w:r>
        <w:rPr>
          <w:rFonts w:hint="eastAsia" w:cs="宋体"/>
          <w:sz w:val="28"/>
          <w:szCs w:val="28"/>
          <w:lang w:eastAsia="zh-CN"/>
        </w:rPr>
        <w:t>。</w:t>
      </w:r>
      <w:r>
        <w:rPr>
          <w:rFonts w:hint="eastAsia"/>
          <w:b w:val="0"/>
          <w:bCs w:val="0"/>
          <w:sz w:val="28"/>
          <w:szCs w:val="28"/>
          <w:lang w:eastAsia="zh-CN"/>
        </w:rPr>
        <w:t>主要原因：人员重复，预算减少。</w:t>
      </w:r>
    </w:p>
    <w:p>
      <w:pPr>
        <w:pStyle w:val="7"/>
        <w:tabs>
          <w:tab w:val="left" w:pos="1235"/>
        </w:tabs>
        <w:spacing w:after="0" w:line="624" w:lineRule="exact"/>
        <w:ind w:firstLine="580"/>
        <w:jc w:val="left"/>
        <w:rPr>
          <w:rFonts w:hint="eastAsia" w:cs="宋体"/>
          <w:sz w:val="28"/>
          <w:szCs w:val="28"/>
          <w:lang w:eastAsia="zh-CN"/>
        </w:rPr>
      </w:pPr>
    </w:p>
    <w:p>
      <w:pPr>
        <w:pStyle w:val="7"/>
        <w:tabs>
          <w:tab w:val="left" w:pos="1235"/>
        </w:tabs>
        <w:spacing w:after="0" w:line="624" w:lineRule="exact"/>
        <w:ind w:firstLine="580"/>
        <w:jc w:val="left"/>
        <w:rPr>
          <w:rFonts w:hint="eastAsia" w:cs="宋体"/>
          <w:sz w:val="28"/>
          <w:szCs w:val="28"/>
          <w:lang w:eastAsia="zh-CN"/>
        </w:rPr>
      </w:pPr>
    </w:p>
    <w:p>
      <w:pPr>
        <w:pStyle w:val="7"/>
        <w:tabs>
          <w:tab w:val="left" w:pos="1235"/>
        </w:tabs>
        <w:spacing w:after="0" w:line="624" w:lineRule="exact"/>
        <w:ind w:firstLine="580"/>
        <w:jc w:val="left"/>
        <w:rPr>
          <w:rFonts w:hint="eastAsia" w:cs="宋体"/>
          <w:sz w:val="28"/>
          <w:szCs w:val="28"/>
          <w:lang w:eastAsia="zh-CN"/>
        </w:rPr>
      </w:pPr>
    </w:p>
    <w:p>
      <w:pPr>
        <w:pStyle w:val="7"/>
        <w:tabs>
          <w:tab w:val="left" w:pos="1235"/>
        </w:tabs>
        <w:spacing w:after="0" w:line="624" w:lineRule="exact"/>
        <w:ind w:firstLine="580"/>
        <w:jc w:val="left"/>
        <w:rPr>
          <w:rFonts w:hint="eastAsia" w:cs="宋体"/>
          <w:sz w:val="28"/>
          <w:szCs w:val="28"/>
          <w:lang w:eastAsia="zh-CN"/>
        </w:rPr>
      </w:pPr>
    </w:p>
    <w:p>
      <w:pPr>
        <w:pStyle w:val="7"/>
        <w:tabs>
          <w:tab w:val="left" w:pos="1235"/>
        </w:tabs>
        <w:spacing w:after="0" w:line="624" w:lineRule="exact"/>
        <w:ind w:left="0" w:leftChars="0" w:firstLine="0" w:firstLineChars="0"/>
        <w:jc w:val="left"/>
        <w:rPr>
          <w:rFonts w:hint="eastAsia" w:cs="宋体"/>
          <w:sz w:val="28"/>
          <w:szCs w:val="28"/>
          <w:lang w:eastAsia="zh-CN"/>
        </w:rPr>
      </w:pPr>
    </w:p>
    <w:p>
      <w:pPr>
        <w:pStyle w:val="7"/>
        <w:tabs>
          <w:tab w:val="left" w:pos="1235"/>
        </w:tabs>
        <w:spacing w:after="0" w:line="624" w:lineRule="exact"/>
        <w:ind w:firstLine="580"/>
        <w:jc w:val="left"/>
        <w:rPr>
          <w:b/>
          <w:bCs/>
        </w:rPr>
      </w:pPr>
      <w:r>
        <w:rPr>
          <w:rFonts w:hint="eastAsia"/>
          <w:b/>
          <w:bCs/>
          <w:lang w:val="en-US" w:eastAsia="zh-CN"/>
        </w:rPr>
        <w:t>五、</w:t>
      </w:r>
      <w:r>
        <w:rPr>
          <w:b/>
          <w:bCs/>
        </w:rPr>
        <w:t>一般公共预算支出情况说明</w:t>
      </w:r>
    </w:p>
    <w:p>
      <w:pPr>
        <w:pStyle w:val="8"/>
        <w:spacing w:line="240" w:lineRule="auto"/>
        <w:ind w:firstLine="0"/>
        <w:jc w:val="left"/>
        <w:rPr>
          <w:lang w:eastAsia="zh-CN"/>
        </w:rPr>
      </w:pPr>
      <w:r>
        <w:rPr>
          <w:lang w:eastAsia="zh-CN"/>
        </w:rPr>
        <w:drawing>
          <wp:inline distT="0" distB="0" distL="114300" distR="114300">
            <wp:extent cx="5080000" cy="3810000"/>
            <wp:effectExtent l="4445" t="4445" r="20955" b="14605"/>
            <wp:docPr id="5178"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lang w:val="en-US" w:eastAsia="zh-CN"/>
        </w:rPr>
        <w:t>年</w:t>
      </w:r>
      <w:r>
        <w:rPr>
          <w:rFonts w:hint="eastAsia" w:ascii="宋体" w:hAnsi="宋体" w:eastAsia="宋体" w:cs="宋体"/>
          <w:sz w:val="28"/>
          <w:szCs w:val="28"/>
        </w:rPr>
        <w:t>一般公共预算支出共</w:t>
      </w:r>
      <w:r>
        <w:rPr>
          <w:rFonts w:hint="eastAsia" w:ascii="宋体" w:hAnsi="宋体" w:eastAsia="宋体" w:cs="宋体"/>
          <w:sz w:val="28"/>
          <w:szCs w:val="28"/>
          <w:lang w:val="en-US" w:eastAsia="zh-CN"/>
        </w:rPr>
        <w:t>552.70</w:t>
      </w:r>
      <w:r>
        <w:rPr>
          <w:rFonts w:hint="eastAsia" w:ascii="宋体" w:hAnsi="宋体" w:eastAsia="宋体" w:cs="宋体"/>
          <w:sz w:val="28"/>
          <w:szCs w:val="28"/>
        </w:rPr>
        <w:t>万元，较2023年度预算数</w:t>
      </w:r>
      <w:r>
        <w:rPr>
          <w:rFonts w:hint="eastAsia" w:ascii="宋体" w:hAnsi="宋体" w:eastAsia="宋体" w:cs="宋体"/>
          <w:sz w:val="28"/>
          <w:szCs w:val="28"/>
          <w:lang w:val="en-US" w:eastAsia="zh-CN"/>
        </w:rPr>
        <w:t>930.90</w:t>
      </w:r>
      <w:r>
        <w:rPr>
          <w:rFonts w:hint="eastAsia" w:ascii="宋体" w:hAnsi="宋体" w:eastAsia="宋体" w:cs="宋体"/>
          <w:sz w:val="28"/>
          <w:szCs w:val="28"/>
        </w:rPr>
        <w:t>万元，</w:t>
      </w:r>
      <w:r>
        <w:rPr>
          <w:rFonts w:hint="eastAsia" w:ascii="宋体" w:hAnsi="宋体" w:eastAsia="宋体" w:cs="宋体"/>
          <w:sz w:val="28"/>
          <w:szCs w:val="28"/>
          <w:lang w:val="en-US" w:eastAsia="zh-CN"/>
        </w:rPr>
        <w:t>减少378.20</w:t>
      </w:r>
      <w:r>
        <w:rPr>
          <w:rFonts w:hint="eastAsia" w:ascii="宋体" w:hAnsi="宋体" w:eastAsia="宋体" w:cs="宋体"/>
          <w:sz w:val="28"/>
          <w:szCs w:val="28"/>
        </w:rPr>
        <w:t>万元，</w:t>
      </w:r>
      <w:r>
        <w:rPr>
          <w:rFonts w:hint="eastAsia" w:ascii="宋体" w:hAnsi="宋体" w:eastAsia="宋体" w:cs="宋体"/>
          <w:sz w:val="28"/>
          <w:szCs w:val="28"/>
          <w:lang w:val="en-US" w:eastAsia="zh-CN"/>
        </w:rPr>
        <w:t>下降40.63%</w:t>
      </w:r>
      <w:r>
        <w:rPr>
          <w:rFonts w:hint="eastAsia" w:ascii="宋体" w:hAnsi="宋体" w:eastAsia="宋体" w:cs="宋体"/>
          <w:sz w:val="28"/>
          <w:szCs w:val="28"/>
        </w:rPr>
        <w:t>。中央提前下达2024年一般公共预算转移支付资金安排的支出</w:t>
      </w:r>
      <w:r>
        <w:rPr>
          <w:rFonts w:hint="eastAsia" w:ascii="宋体" w:hAnsi="宋体" w:eastAsia="宋体" w:cs="宋体"/>
          <w:sz w:val="28"/>
          <w:szCs w:val="28"/>
          <w:lang w:val="en-US" w:eastAsia="zh-CN"/>
        </w:rPr>
        <w:t>0.00</w:t>
      </w:r>
      <w:r>
        <w:rPr>
          <w:rFonts w:hint="eastAsia" w:ascii="宋体" w:hAnsi="宋体" w:eastAsia="宋体" w:cs="宋体"/>
          <w:sz w:val="28"/>
          <w:szCs w:val="28"/>
        </w:rPr>
        <w:t>万元。具体情况为：</w:t>
      </w:r>
    </w:p>
    <w:p>
      <w:pPr>
        <w:pStyle w:val="8"/>
        <w:spacing w:line="623" w:lineRule="exact"/>
        <w:ind w:left="0" w:leftChars="0" w:firstLine="560" w:firstLineChars="200"/>
        <w:jc w:val="left"/>
        <w:rPr>
          <w:rFonts w:hint="eastAsia" w:cs="宋体"/>
          <w:sz w:val="28"/>
          <w:u w:color="auto"/>
          <w:lang w:eastAsia="zh-CN"/>
        </w:rPr>
      </w:pPr>
      <w:r>
        <w:rPr>
          <w:rFonts w:hint="eastAsia" w:ascii="宋体" w:hAnsi="宋体" w:eastAsia="宋体" w:cs="宋体"/>
          <w:sz w:val="28"/>
          <w:szCs w:val="28"/>
        </w:rPr>
        <w:t>农林水支出（类）支出</w:t>
      </w:r>
      <w:r>
        <w:rPr>
          <w:rFonts w:ascii="宋体" w:hAnsi="宋体" w:eastAsia="宋体" w:cs="宋体"/>
          <w:sz w:val="28"/>
          <w:u w:color="auto"/>
        </w:rPr>
        <w:t>552.70</w:t>
      </w:r>
      <w:r>
        <w:rPr>
          <w:rFonts w:hint="eastAsia" w:ascii="宋体" w:hAnsi="宋体" w:eastAsia="宋体" w:cs="宋体"/>
          <w:sz w:val="28"/>
          <w:szCs w:val="28"/>
        </w:rPr>
        <w:t>万元，占支出总预算的</w:t>
      </w:r>
      <w:r>
        <w:rPr>
          <w:rFonts w:ascii="宋体" w:hAnsi="宋体" w:eastAsia="宋体" w:cs="宋体"/>
          <w:sz w:val="28"/>
          <w:u w:color="auto"/>
        </w:rPr>
        <w:t>100.00%</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930.90</w:t>
      </w:r>
      <w:r>
        <w:rPr>
          <w:rFonts w:hint="eastAsia" w:ascii="宋体" w:hAnsi="宋体" w:eastAsia="宋体" w:cs="宋体"/>
          <w:sz w:val="28"/>
          <w:szCs w:val="28"/>
        </w:rPr>
        <w:t>万元，</w:t>
      </w:r>
      <w:r>
        <w:rPr>
          <w:rFonts w:ascii="宋体" w:hAnsi="宋体" w:eastAsia="宋体" w:cs="宋体"/>
          <w:sz w:val="28"/>
          <w:u w:color="auto"/>
        </w:rPr>
        <w:t>减少378.20</w:t>
      </w:r>
      <w:r>
        <w:rPr>
          <w:rFonts w:hint="eastAsia" w:ascii="宋体" w:hAnsi="宋体" w:eastAsia="宋体" w:cs="宋体"/>
          <w:sz w:val="28"/>
          <w:szCs w:val="28"/>
        </w:rPr>
        <w:t>万元，</w:t>
      </w:r>
      <w:r>
        <w:rPr>
          <w:rFonts w:ascii="宋体" w:hAnsi="宋体" w:eastAsia="宋体" w:cs="宋体"/>
          <w:sz w:val="28"/>
          <w:u w:color="auto"/>
        </w:rPr>
        <w:t>减少40.63%</w:t>
      </w:r>
      <w:r>
        <w:rPr>
          <w:rFonts w:hint="eastAsia" w:cs="宋体"/>
          <w:sz w:val="28"/>
          <w:u w:color="auto"/>
          <w:lang w:eastAsia="zh-CN"/>
        </w:rPr>
        <w:t>。</w:t>
      </w:r>
    </w:p>
    <w:p>
      <w:pPr>
        <w:pStyle w:val="8"/>
        <w:spacing w:line="623" w:lineRule="exact"/>
        <w:ind w:left="0" w:leftChars="0" w:firstLine="562" w:firstLineChars="200"/>
        <w:jc w:val="left"/>
        <w:rPr>
          <w:rFonts w:hint="eastAsia"/>
          <w:b/>
          <w:bCs/>
          <w:lang w:val="en-US" w:eastAsia="zh-CN"/>
        </w:rPr>
      </w:pPr>
    </w:p>
    <w:p>
      <w:pPr>
        <w:pStyle w:val="8"/>
        <w:spacing w:line="623" w:lineRule="exact"/>
        <w:ind w:left="0" w:leftChars="0" w:firstLine="562" w:firstLineChars="200"/>
        <w:jc w:val="left"/>
        <w:rPr>
          <w:rFonts w:hint="eastAsia"/>
          <w:b/>
          <w:bCs/>
          <w:lang w:val="en-US" w:eastAsia="zh-CN"/>
        </w:rPr>
      </w:pPr>
    </w:p>
    <w:p>
      <w:pPr>
        <w:pStyle w:val="8"/>
        <w:spacing w:line="623" w:lineRule="exact"/>
        <w:ind w:left="0" w:leftChars="0" w:firstLine="562" w:firstLineChars="200"/>
        <w:jc w:val="left"/>
        <w:rPr>
          <w:rFonts w:hint="eastAsia"/>
          <w:b/>
          <w:bCs/>
          <w:lang w:val="en-US" w:eastAsia="zh-CN"/>
        </w:rPr>
      </w:pPr>
    </w:p>
    <w:p>
      <w:pPr>
        <w:pStyle w:val="8"/>
        <w:spacing w:line="623" w:lineRule="exact"/>
        <w:ind w:left="0" w:leftChars="0" w:firstLine="562" w:firstLineChars="200"/>
        <w:jc w:val="left"/>
        <w:rPr>
          <w:rFonts w:hint="eastAsia"/>
          <w:b/>
          <w:bCs/>
          <w:lang w:val="en-US" w:eastAsia="zh-CN"/>
        </w:rPr>
      </w:pPr>
    </w:p>
    <w:p>
      <w:pPr>
        <w:pStyle w:val="8"/>
        <w:spacing w:line="623" w:lineRule="exact"/>
        <w:ind w:left="0" w:leftChars="0" w:firstLine="562" w:firstLineChars="200"/>
        <w:jc w:val="left"/>
        <w:rPr>
          <w:rFonts w:hint="eastAsia"/>
          <w:b/>
          <w:bCs/>
          <w:lang w:val="en-US" w:eastAsia="zh-CN"/>
        </w:rPr>
      </w:pPr>
    </w:p>
    <w:p>
      <w:pPr>
        <w:pStyle w:val="8"/>
        <w:spacing w:line="623" w:lineRule="exact"/>
        <w:ind w:left="0" w:leftChars="0" w:firstLine="562" w:firstLineChars="200"/>
        <w:jc w:val="left"/>
        <w:rPr>
          <w:rFonts w:hint="eastAsia"/>
          <w:b/>
          <w:bCs/>
          <w:lang w:val="en-US" w:eastAsia="zh-CN"/>
        </w:rPr>
      </w:pPr>
    </w:p>
    <w:p>
      <w:pPr>
        <w:pStyle w:val="8"/>
        <w:spacing w:line="623" w:lineRule="exact"/>
        <w:ind w:left="0" w:leftChars="0" w:firstLine="562" w:firstLineChars="200"/>
        <w:jc w:val="left"/>
        <w:rPr>
          <w:b/>
          <w:bCs/>
        </w:rPr>
      </w:pPr>
      <w:r>
        <w:rPr>
          <w:rFonts w:hint="eastAsia"/>
          <w:b/>
          <w:bCs/>
          <w:lang w:val="en-US" w:eastAsia="zh-CN"/>
        </w:rPr>
        <w:t>六、</w:t>
      </w:r>
      <w:r>
        <w:rPr>
          <w:b/>
          <w:bCs/>
        </w:rPr>
        <w:t>一般公共预算基本支出情况说明</w:t>
      </w:r>
    </w:p>
    <w:p>
      <w:pPr>
        <w:pStyle w:val="7"/>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5179"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8"/>
        <w:spacing w:line="623" w:lineRule="exact"/>
        <w:ind w:left="0" w:leftChars="0" w:firstLine="560" w:firstLineChars="200"/>
        <w:jc w:val="left"/>
        <w:rPr>
          <w:rFonts w:hint="eastAsia"/>
          <w:lang w:val="en-US" w:eastAsia="zh-CN"/>
        </w:rPr>
      </w:pPr>
      <w:r>
        <w:rPr>
          <w:rFonts w:hint="eastAsia"/>
          <w:lang w:val="en-US" w:eastAsia="zh-CN"/>
        </w:rPr>
        <w:t>2024</w:t>
      </w:r>
      <w:r>
        <w:rPr>
          <w:u w:color="auto"/>
        </w:rPr>
        <w:t>年</w:t>
      </w:r>
      <w:r>
        <w:rPr>
          <w:rFonts w:hint="eastAsia"/>
        </w:rPr>
        <w:t>一般公共预算基本支出共</w:t>
      </w:r>
      <w:r>
        <w:rPr>
          <w:rFonts w:hint="eastAsia"/>
          <w:lang w:val="en-US" w:eastAsia="zh-CN"/>
        </w:rPr>
        <w:t>552.70</w:t>
      </w:r>
      <w:r>
        <w:rPr>
          <w:rFonts w:hint="eastAsia"/>
        </w:rPr>
        <w:t>万元，较2023年度预算数</w:t>
      </w:r>
      <w:r>
        <w:rPr>
          <w:rFonts w:hint="eastAsia"/>
          <w:lang w:val="en-US" w:eastAsia="zh-CN"/>
        </w:rPr>
        <w:t>930.90</w:t>
      </w:r>
      <w:r>
        <w:rPr>
          <w:rFonts w:hint="eastAsia"/>
        </w:rPr>
        <w:t>万元</w:t>
      </w:r>
      <w:r>
        <w:rPr>
          <w:rFonts w:hint="eastAsia"/>
          <w:lang w:val="en-US" w:eastAsia="zh-CN"/>
        </w:rPr>
        <w:t>,</w:t>
      </w:r>
      <w:r>
        <w:rPr>
          <w:u w:color="auto"/>
        </w:rPr>
        <w:t>减少378.20</w:t>
      </w:r>
      <w:r>
        <w:rPr>
          <w:rFonts w:hint="eastAsia"/>
        </w:rPr>
        <w:t>万元，</w:t>
      </w:r>
      <w:r>
        <w:rPr>
          <w:rFonts w:hint="eastAsia"/>
          <w:lang w:val="en-US" w:eastAsia="zh-CN"/>
        </w:rPr>
        <w:t>下降40.63%</w:t>
      </w:r>
      <w:r>
        <w:rPr>
          <w:rFonts w:hint="eastAsia"/>
        </w:rPr>
        <w:t>具体情况为：</w:t>
      </w:r>
    </w:p>
    <w:p>
      <w:pPr>
        <w:pStyle w:val="8"/>
        <w:spacing w:line="626" w:lineRule="exact"/>
        <w:ind w:firstLine="600"/>
        <w:jc w:val="left"/>
        <w:rPr>
          <w:rFonts w:hint="eastAsia" w:eastAsia="宋体"/>
          <w:lang w:val="en-US" w:eastAsia="zh-CN"/>
        </w:rPr>
      </w:pPr>
      <w:r>
        <w:rPr>
          <w:rFonts w:hint="eastAsia"/>
          <w:lang w:val="en-US" w:eastAsia="zh-CN"/>
        </w:rPr>
        <w:t>商品和服务支出</w:t>
      </w:r>
      <w:r>
        <w:rPr>
          <w:rFonts w:hint="eastAsia"/>
        </w:rPr>
        <w:t>支出预算</w:t>
      </w:r>
      <w:r>
        <w:rPr>
          <w:rFonts w:hint="eastAsia"/>
          <w:lang w:val="en-US" w:eastAsia="zh-CN"/>
        </w:rPr>
        <w:t>59.50</w:t>
      </w:r>
      <w:r>
        <w:t>万元</w:t>
      </w:r>
      <w:r>
        <w:rPr>
          <w:rFonts w:hint="eastAsia"/>
          <w:lang w:eastAsia="zh-CN"/>
        </w:rPr>
        <w:t>，</w:t>
      </w:r>
      <w:r>
        <w:rPr>
          <w:rFonts w:hint="eastAsia"/>
        </w:rPr>
        <w:t>占基本支出预算的</w:t>
      </w:r>
      <w:r>
        <w:rPr>
          <w:rFonts w:hint="eastAsia"/>
          <w:lang w:val="en-US" w:eastAsia="zh-CN"/>
        </w:rPr>
        <w:t>10.77%</w:t>
      </w:r>
      <w:r>
        <w:rPr>
          <w:rFonts w:hint="eastAsia"/>
        </w:rPr>
        <w:t>，较2023年度预算数</w:t>
      </w:r>
      <w:r>
        <w:rPr>
          <w:rFonts w:hint="eastAsia"/>
          <w:lang w:val="en-US" w:eastAsia="zh-CN"/>
        </w:rPr>
        <w:t>58.50</w:t>
      </w:r>
      <w:r>
        <w:rPr>
          <w:rFonts w:hint="eastAsia"/>
        </w:rPr>
        <w:t>万元，</w:t>
      </w:r>
      <w:r>
        <w:rPr>
          <w:rFonts w:hint="eastAsia"/>
          <w:lang w:val="en-US" w:eastAsia="zh-CN"/>
        </w:rPr>
        <w:t>增长1.00</w:t>
      </w:r>
      <w:r>
        <w:rPr>
          <w:rFonts w:hint="eastAsia"/>
        </w:rPr>
        <w:t>万元，</w:t>
      </w:r>
      <w:r>
        <w:rPr>
          <w:rFonts w:hint="eastAsia"/>
          <w:lang w:val="en-US" w:eastAsia="zh-CN"/>
        </w:rPr>
        <w:t>增长1.71%</w:t>
      </w:r>
      <w:r>
        <w:rPr>
          <w:rFonts w:hint="eastAsia"/>
          <w:lang w:eastAsia="zh-CN"/>
        </w:rPr>
        <w:t>。</w:t>
      </w:r>
    </w:p>
    <w:p>
      <w:pPr>
        <w:pStyle w:val="8"/>
        <w:spacing w:line="626" w:lineRule="exact"/>
        <w:ind w:firstLine="600"/>
        <w:jc w:val="left"/>
        <w:rPr>
          <w:rFonts w:hint="eastAsia"/>
          <w:lang w:eastAsia="zh-CN"/>
        </w:rPr>
      </w:pPr>
      <w:r>
        <w:rPr>
          <w:rFonts w:hint="eastAsia"/>
          <w:lang w:val="en-US" w:eastAsia="zh-CN"/>
        </w:rPr>
        <w:t>对个人和家庭的补助</w:t>
      </w:r>
      <w:r>
        <w:rPr>
          <w:rFonts w:hint="eastAsia"/>
        </w:rPr>
        <w:t>支出预算</w:t>
      </w:r>
      <w:r>
        <w:rPr>
          <w:rFonts w:hint="eastAsia"/>
          <w:lang w:val="en-US" w:eastAsia="zh-CN"/>
        </w:rPr>
        <w:t>493.20</w:t>
      </w:r>
      <w:r>
        <w:t>万元</w:t>
      </w:r>
      <w:r>
        <w:rPr>
          <w:rFonts w:hint="eastAsia"/>
          <w:lang w:eastAsia="zh-CN"/>
        </w:rPr>
        <w:t>，</w:t>
      </w:r>
      <w:r>
        <w:rPr>
          <w:rFonts w:hint="eastAsia"/>
        </w:rPr>
        <w:t>占基本支出预算的</w:t>
      </w:r>
      <w:r>
        <w:rPr>
          <w:rFonts w:hint="eastAsia"/>
          <w:lang w:val="en-US" w:eastAsia="zh-CN"/>
        </w:rPr>
        <w:t>89.23%</w:t>
      </w:r>
      <w:r>
        <w:rPr>
          <w:rFonts w:hint="eastAsia"/>
        </w:rPr>
        <w:t>，较2023年度预算数</w:t>
      </w:r>
      <w:r>
        <w:rPr>
          <w:rFonts w:hint="eastAsia"/>
          <w:lang w:val="en-US" w:eastAsia="zh-CN"/>
        </w:rPr>
        <w:t>872.40</w:t>
      </w:r>
      <w:r>
        <w:rPr>
          <w:rFonts w:hint="eastAsia"/>
        </w:rPr>
        <w:t>万元，</w:t>
      </w:r>
      <w:r>
        <w:rPr>
          <w:rFonts w:hint="eastAsia"/>
          <w:lang w:val="en-US" w:eastAsia="zh-CN"/>
        </w:rPr>
        <w:t>减少379.20</w:t>
      </w:r>
      <w:r>
        <w:rPr>
          <w:rFonts w:hint="eastAsia"/>
        </w:rPr>
        <w:t>万元，</w:t>
      </w:r>
      <w:r>
        <w:rPr>
          <w:rFonts w:hint="eastAsia"/>
          <w:lang w:val="en-US" w:eastAsia="zh-CN"/>
        </w:rPr>
        <w:t>减少43.47%</w:t>
      </w:r>
      <w:r>
        <w:rPr>
          <w:rFonts w:hint="eastAsia"/>
          <w:lang w:eastAsia="zh-CN"/>
        </w:rPr>
        <w:t>。</w:t>
      </w:r>
      <w:r>
        <w:rPr>
          <w:rFonts w:hint="eastAsia"/>
          <w:b w:val="0"/>
          <w:bCs w:val="0"/>
          <w:sz w:val="28"/>
          <w:szCs w:val="28"/>
          <w:lang w:eastAsia="zh-CN"/>
        </w:rPr>
        <w:t>主要原因：人员重复，预算减少。</w:t>
      </w:r>
    </w:p>
    <w:p>
      <w:pPr>
        <w:pStyle w:val="8"/>
        <w:spacing w:line="626" w:lineRule="exact"/>
        <w:ind w:firstLine="600"/>
        <w:jc w:val="left"/>
        <w:rPr>
          <w:rFonts w:hint="eastAsia"/>
          <w:lang w:eastAsia="zh-CN"/>
        </w:rPr>
      </w:pPr>
    </w:p>
    <w:p>
      <w:pPr>
        <w:pStyle w:val="8"/>
        <w:spacing w:line="626" w:lineRule="exact"/>
        <w:ind w:firstLine="600"/>
        <w:jc w:val="left"/>
        <w:rPr>
          <w:rFonts w:hint="eastAsia"/>
          <w:lang w:eastAsia="zh-CN"/>
        </w:rPr>
      </w:pPr>
    </w:p>
    <w:p>
      <w:pPr>
        <w:pStyle w:val="8"/>
        <w:spacing w:line="626" w:lineRule="exact"/>
        <w:ind w:firstLine="600"/>
        <w:jc w:val="left"/>
        <w:rPr>
          <w:rFonts w:hint="eastAsia"/>
          <w:lang w:eastAsia="zh-CN"/>
        </w:rPr>
      </w:pPr>
    </w:p>
    <w:p>
      <w:pPr>
        <w:pStyle w:val="8"/>
        <w:spacing w:line="626" w:lineRule="exact"/>
        <w:ind w:firstLine="600"/>
        <w:jc w:val="left"/>
        <w:rPr>
          <w:rFonts w:hint="eastAsia"/>
          <w:lang w:val="en-US" w:eastAsia="zh-CN"/>
        </w:rPr>
      </w:pPr>
    </w:p>
    <w:p>
      <w:pPr>
        <w:pStyle w:val="7"/>
        <w:tabs>
          <w:tab w:val="left" w:pos="1235"/>
        </w:tabs>
        <w:spacing w:after="0" w:line="624" w:lineRule="exact"/>
        <w:ind w:firstLine="580"/>
        <w:jc w:val="left"/>
        <w:rPr>
          <w:rFonts w:hint="eastAsia"/>
          <w:b/>
          <w:bCs/>
        </w:rPr>
      </w:pPr>
      <w:r>
        <w:rPr>
          <w:rFonts w:hint="eastAsia"/>
          <w:b/>
          <w:bCs/>
          <w:lang w:val="en-US" w:eastAsia="zh-CN"/>
        </w:rPr>
        <w:t>七、</w:t>
      </w:r>
      <w:r>
        <w:rPr>
          <w:b/>
          <w:bCs/>
        </w:rPr>
        <w:t>一般公共预算</w:t>
      </w:r>
      <w:r>
        <w:rPr>
          <w:b/>
          <w:bCs/>
          <w:lang w:val="zh-CN" w:eastAsia="zh-CN" w:bidi="zh-CN"/>
        </w:rPr>
        <w:t>“三</w:t>
      </w:r>
      <w:r>
        <w:rPr>
          <w:b/>
          <w:bCs/>
        </w:rPr>
        <w:t>公”</w:t>
      </w:r>
      <w:r>
        <w:rPr>
          <w:rFonts w:hint="eastAsia"/>
          <w:b/>
          <w:bCs/>
        </w:rPr>
        <w:t>经费支出情况说明</w:t>
      </w:r>
    </w:p>
    <w:p>
      <w:pPr>
        <w:pStyle w:val="7"/>
        <w:numPr>
          <w:ilvl w:val="0"/>
          <w:numId w:val="0"/>
        </w:numPr>
        <w:spacing w:after="0"/>
        <w:jc w:val="left"/>
        <w:rPr>
          <w:rFonts w:hint="eastAsia"/>
          <w:b/>
          <w:bCs/>
        </w:rPr>
      </w:pPr>
    </w:p>
    <w:p>
      <w:pPr>
        <w:pStyle w:val="7"/>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20955" b="14605"/>
            <wp:docPr id="5180"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7"/>
        <w:tabs>
          <w:tab w:val="left" w:pos="1253"/>
        </w:tabs>
        <w:spacing w:after="0" w:line="629" w:lineRule="exact"/>
        <w:ind w:firstLine="600"/>
        <w:jc w:val="left"/>
        <w:rPr>
          <w:rFonts w:hint="eastAsia"/>
          <w:b w:val="0"/>
          <w:bCs w:val="0"/>
          <w:sz w:val="28"/>
          <w:szCs w:val="28"/>
          <w:lang w:eastAsia="zh-CN"/>
        </w:rPr>
      </w:pPr>
      <w:bookmarkStart w:id="13" w:name="bookmark90"/>
      <w:r>
        <w:rPr>
          <w:rFonts w:hint="eastAsia"/>
          <w:b w:val="0"/>
          <w:bCs w:val="0"/>
          <w:sz w:val="28"/>
          <w:szCs w:val="28"/>
          <w:lang w:eastAsia="zh-CN"/>
        </w:rPr>
        <w:t>（</w:t>
      </w:r>
      <w:r>
        <w:rPr>
          <w:rFonts w:hint="eastAsia"/>
          <w:b w:val="0"/>
          <w:bCs w:val="0"/>
          <w:sz w:val="28"/>
          <w:szCs w:val="28"/>
          <w:lang w:val="en-US" w:eastAsia="zh-CN"/>
        </w:rPr>
        <w:t>一</w:t>
      </w:r>
      <w:r>
        <w:rPr>
          <w:rFonts w:hint="eastAsia"/>
          <w:b w:val="0"/>
          <w:bCs w:val="0"/>
          <w:sz w:val="28"/>
          <w:szCs w:val="28"/>
          <w:lang w:eastAsia="zh-CN"/>
        </w:rPr>
        <w:t>）</w:t>
      </w:r>
      <w:r>
        <w:rPr>
          <w:sz w:val="28"/>
          <w:u w:color="auto"/>
        </w:rPr>
        <w:t>2024年部门预算共安排</w:t>
      </w:r>
      <w:r>
        <w:rPr>
          <w:rFonts w:hint="eastAsia"/>
          <w:b w:val="0"/>
          <w:bCs w:val="0"/>
          <w:sz w:val="28"/>
          <w:szCs w:val="28"/>
          <w:lang w:val="zh-CN" w:eastAsia="zh-CN"/>
        </w:rPr>
        <w:t>“三公</w:t>
      </w:r>
      <w:r>
        <w:rPr>
          <w:rFonts w:hint="eastAsia"/>
          <w:b w:val="0"/>
          <w:bCs w:val="0"/>
          <w:sz w:val="28"/>
          <w:szCs w:val="28"/>
          <w:lang w:val="en-US" w:eastAsia="zh-CN"/>
        </w:rPr>
        <w:t>"</w:t>
      </w:r>
      <w:r>
        <w:rPr>
          <w:rFonts w:hint="eastAsia"/>
          <w:b w:val="0"/>
          <w:bCs w:val="0"/>
          <w:sz w:val="28"/>
          <w:szCs w:val="28"/>
          <w:lang w:eastAsia="zh-CN"/>
        </w:rPr>
        <w:t>经费支出预算</w:t>
      </w:r>
      <w:r>
        <w:rPr>
          <w:rFonts w:hint="eastAsia"/>
          <w:b w:val="0"/>
          <w:bCs w:val="0"/>
          <w:sz w:val="28"/>
          <w:szCs w:val="28"/>
          <w:lang w:val="en-US" w:eastAsia="zh-CN"/>
        </w:rPr>
        <w:t>0.00</w:t>
      </w:r>
      <w:r>
        <w:rPr>
          <w:rFonts w:hint="eastAsia"/>
          <w:b w:val="0"/>
          <w:bCs w:val="0"/>
          <w:sz w:val="28"/>
          <w:szCs w:val="28"/>
          <w:lang w:eastAsia="zh-CN"/>
        </w:rPr>
        <w:t>万元（全口径），其中：因公出国（境）经费支出预算</w:t>
      </w:r>
      <w:r>
        <w:rPr>
          <w:rFonts w:hint="eastAsia"/>
          <w:b w:val="0"/>
          <w:bCs w:val="0"/>
          <w:sz w:val="28"/>
          <w:szCs w:val="28"/>
          <w:lang w:val="en-US" w:eastAsia="zh-CN"/>
        </w:rPr>
        <w:t>0.00</w:t>
      </w:r>
      <w:r>
        <w:rPr>
          <w:rFonts w:hint="eastAsia"/>
          <w:b w:val="0"/>
          <w:bCs w:val="0"/>
          <w:sz w:val="28"/>
          <w:szCs w:val="28"/>
          <w:lang w:eastAsia="zh-CN"/>
        </w:rPr>
        <w:t>万元，公务接待费支出预算</w:t>
      </w:r>
      <w:r>
        <w:rPr>
          <w:rFonts w:hint="eastAsia"/>
          <w:b w:val="0"/>
          <w:bCs w:val="0"/>
          <w:sz w:val="28"/>
          <w:szCs w:val="28"/>
          <w:lang w:val="en-US" w:eastAsia="zh-CN"/>
        </w:rPr>
        <w:t>0.00</w:t>
      </w:r>
      <w:r>
        <w:rPr>
          <w:rFonts w:hint="eastAsia"/>
          <w:b w:val="0"/>
          <w:bCs w:val="0"/>
          <w:sz w:val="28"/>
          <w:szCs w:val="28"/>
          <w:lang w:eastAsia="zh-CN"/>
        </w:rPr>
        <w:t>万元，公务用车购置及运行费支出预算</w:t>
      </w:r>
      <w:r>
        <w:rPr>
          <w:rFonts w:hint="eastAsia"/>
          <w:b w:val="0"/>
          <w:bCs w:val="0"/>
          <w:sz w:val="28"/>
          <w:szCs w:val="28"/>
          <w:lang w:val="en-US" w:eastAsia="zh-CN"/>
        </w:rPr>
        <w:t>0.00</w:t>
      </w:r>
      <w:r>
        <w:rPr>
          <w:rFonts w:hint="eastAsia"/>
          <w:b w:val="0"/>
          <w:bCs w:val="0"/>
          <w:sz w:val="28"/>
          <w:szCs w:val="28"/>
          <w:lang w:eastAsia="zh-CN"/>
        </w:rPr>
        <w:t>万元（公务用车购置费</w:t>
      </w:r>
      <w:r>
        <w:rPr>
          <w:rFonts w:hint="eastAsia"/>
          <w:b w:val="0"/>
          <w:bCs w:val="0"/>
          <w:sz w:val="28"/>
          <w:szCs w:val="28"/>
          <w:lang w:val="en-US" w:eastAsia="zh-CN"/>
        </w:rPr>
        <w:t>0.00</w:t>
      </w:r>
      <w:r>
        <w:rPr>
          <w:rFonts w:hint="eastAsia"/>
          <w:b w:val="0"/>
          <w:bCs w:val="0"/>
          <w:sz w:val="28"/>
          <w:szCs w:val="28"/>
          <w:lang w:eastAsia="zh-CN"/>
        </w:rPr>
        <w:t>万元,公务用车运行维护费</w:t>
      </w:r>
      <w:r>
        <w:rPr>
          <w:rFonts w:hint="eastAsia"/>
          <w:b w:val="0"/>
          <w:bCs w:val="0"/>
          <w:sz w:val="28"/>
          <w:szCs w:val="28"/>
          <w:lang w:val="en-US" w:eastAsia="zh-CN"/>
        </w:rPr>
        <w:t>0.00</w:t>
      </w:r>
      <w:r>
        <w:rPr>
          <w:rFonts w:hint="eastAsia"/>
          <w:b w:val="0"/>
          <w:bCs w:val="0"/>
          <w:sz w:val="28"/>
          <w:szCs w:val="28"/>
          <w:lang w:eastAsia="zh-CN"/>
        </w:rPr>
        <w:t>万元）。</w:t>
      </w:r>
    </w:p>
    <w:p>
      <w:pPr>
        <w:pStyle w:val="7"/>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w:t>
      </w:r>
      <w:r>
        <w:rPr>
          <w:rFonts w:hint="eastAsia"/>
          <w:b w:val="0"/>
          <w:bCs w:val="0"/>
          <w:sz w:val="28"/>
          <w:szCs w:val="28"/>
          <w:lang w:val="en-US" w:eastAsia="zh-CN"/>
        </w:rPr>
        <w:t>二</w:t>
      </w:r>
      <w:r>
        <w:rPr>
          <w:rFonts w:hint="eastAsia"/>
          <w:b w:val="0"/>
          <w:bCs w:val="0"/>
          <w:sz w:val="28"/>
          <w:szCs w:val="28"/>
          <w:lang w:eastAsia="zh-CN"/>
        </w:rPr>
        <w:t>）</w:t>
      </w:r>
      <w:r>
        <w:rPr>
          <w:sz w:val="28"/>
          <w:u w:color="auto"/>
        </w:rPr>
        <w:t>2024</w:t>
      </w:r>
      <w:r>
        <w:rPr>
          <w:rFonts w:hint="eastAsia"/>
          <w:b w:val="0"/>
          <w:bCs w:val="0"/>
          <w:sz w:val="28"/>
          <w:szCs w:val="28"/>
        </w:rPr>
        <w:t>年一般公共预算安排的“三公”经费支出预算</w:t>
      </w:r>
      <w:r>
        <w:rPr>
          <w:rFonts w:hint="eastAsia"/>
          <w:b w:val="0"/>
          <w:bCs w:val="0"/>
          <w:sz w:val="28"/>
          <w:szCs w:val="28"/>
          <w:lang w:val="en-US" w:eastAsia="zh-CN"/>
        </w:rPr>
        <w:t>0.00</w:t>
      </w:r>
      <w:r>
        <w:rPr>
          <w:rFonts w:hint="eastAsia"/>
          <w:b w:val="0"/>
          <w:bCs w:val="0"/>
          <w:sz w:val="28"/>
          <w:szCs w:val="28"/>
        </w:rPr>
        <w:t>万元，同口径较2023年度预算数</w:t>
      </w:r>
      <w:r>
        <w:rPr>
          <w:rFonts w:hint="eastAsia"/>
          <w:b w:val="0"/>
          <w:bCs w:val="0"/>
          <w:sz w:val="28"/>
          <w:szCs w:val="28"/>
          <w:lang w:val="en-US" w:eastAsia="zh-CN"/>
        </w:rPr>
        <w:t>0.00</w:t>
      </w:r>
      <w:r>
        <w:rPr>
          <w:rFonts w:hint="eastAsia"/>
          <w:b w:val="0"/>
          <w:bCs w:val="0"/>
          <w:sz w:val="28"/>
          <w:szCs w:val="28"/>
        </w:rPr>
        <w:t>万元，</w:t>
      </w:r>
      <w:r>
        <w:rPr>
          <w:rFonts w:hint="eastAsia"/>
          <w:b w:val="0"/>
          <w:bCs w:val="0"/>
          <w:sz w:val="28"/>
          <w:szCs w:val="28"/>
          <w:lang w:val="en-US" w:eastAsia="zh-CN"/>
        </w:rPr>
        <w:t>增长0.00</w:t>
      </w:r>
      <w:r>
        <w:rPr>
          <w:rFonts w:hint="eastAsia"/>
          <w:b w:val="0"/>
          <w:bCs w:val="0"/>
          <w:sz w:val="28"/>
          <w:szCs w:val="28"/>
        </w:rPr>
        <w:t>万元，</w:t>
      </w:r>
      <w:r>
        <w:rPr>
          <w:rFonts w:hint="eastAsia"/>
          <w:b w:val="0"/>
          <w:bCs w:val="0"/>
          <w:sz w:val="28"/>
          <w:szCs w:val="28"/>
          <w:lang w:val="en-US" w:eastAsia="zh-CN"/>
        </w:rPr>
        <w:t>增长0%</w:t>
      </w:r>
      <w:r>
        <w:rPr>
          <w:rFonts w:hint="eastAsia"/>
          <w:b w:val="0"/>
          <w:bCs w:val="0"/>
          <w:sz w:val="28"/>
          <w:szCs w:val="28"/>
        </w:rPr>
        <w:t>，具体如下：</w:t>
      </w:r>
    </w:p>
    <w:p>
      <w:pPr>
        <w:pStyle w:val="7"/>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1.因公出国（境）费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w:t>
      </w:r>
    </w:p>
    <w:p>
      <w:pPr>
        <w:pStyle w:val="7"/>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2.公务接待费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w:t>
      </w:r>
    </w:p>
    <w:p>
      <w:pPr>
        <w:pStyle w:val="7"/>
        <w:tabs>
          <w:tab w:val="left" w:pos="1253"/>
        </w:tabs>
        <w:spacing w:after="0" w:line="629" w:lineRule="exact"/>
        <w:ind w:firstLine="600"/>
        <w:jc w:val="left"/>
        <w:rPr>
          <w:rFonts w:hint="eastAsia"/>
          <w:b w:val="0"/>
          <w:bCs w:val="0"/>
          <w:sz w:val="28"/>
          <w:szCs w:val="28"/>
        </w:rPr>
      </w:pPr>
      <w:r>
        <w:rPr>
          <w:rFonts w:hint="eastAsia"/>
          <w:b w:val="0"/>
          <w:bCs w:val="0"/>
          <w:sz w:val="28"/>
          <w:szCs w:val="28"/>
        </w:rPr>
        <w:t>3.公务用车购置及运行费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，其中：</w:t>
      </w:r>
    </w:p>
    <w:p>
      <w:pPr>
        <w:pStyle w:val="7"/>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公务用车购置费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本部门无公务用车</w:t>
      </w:r>
      <w:r>
        <w:rPr>
          <w:rFonts w:hint="eastAsia"/>
          <w:b w:val="0"/>
          <w:bCs w:val="0"/>
          <w:sz w:val="28"/>
          <w:szCs w:val="28"/>
        </w:rPr>
        <w:t>。</w:t>
      </w:r>
    </w:p>
    <w:p>
      <w:pPr>
        <w:pStyle w:val="7"/>
        <w:tabs>
          <w:tab w:val="left" w:pos="1253"/>
        </w:tabs>
        <w:spacing w:after="0" w:line="629" w:lineRule="exact"/>
        <w:ind w:firstLine="600"/>
        <w:jc w:val="left"/>
        <w:rPr>
          <w:rFonts w:hint="eastAsia"/>
          <w:b w:val="0"/>
          <w:bCs w:val="0"/>
          <w:sz w:val="28"/>
          <w:szCs w:val="28"/>
        </w:rPr>
      </w:pPr>
      <w:r>
        <w:rPr>
          <w:rFonts w:hint="eastAsia"/>
          <w:b w:val="0"/>
          <w:bCs w:val="0"/>
          <w:sz w:val="28"/>
          <w:szCs w:val="28"/>
        </w:rPr>
        <w:t>公务用车运行维护费</w:t>
      </w:r>
      <w:r>
        <w:rPr>
          <w:rFonts w:hint="eastAsia"/>
          <w:b w:val="0"/>
          <w:bCs w:val="0"/>
          <w:sz w:val="28"/>
          <w:szCs w:val="28"/>
          <w:lang w:eastAsia="zh-CN"/>
        </w:rPr>
        <w:t>2024</w:t>
      </w:r>
      <w:r>
        <w:rPr>
          <w:rFonts w:hint="eastAsia"/>
          <w:b w:val="0"/>
          <w:bCs w:val="0"/>
          <w:sz w:val="28"/>
          <w:szCs w:val="28"/>
        </w:rPr>
        <w:t>年预算安排</w:t>
      </w:r>
      <w:r>
        <w:rPr>
          <w:sz w:val="28"/>
          <w:szCs w:val="28"/>
          <w:u w:color="auto"/>
        </w:rPr>
        <w:t>0.00</w:t>
      </w:r>
      <w:r>
        <w:rPr>
          <w:rFonts w:hint="eastAsia"/>
          <w:b w:val="0"/>
          <w:bCs w:val="0"/>
          <w:sz w:val="28"/>
          <w:szCs w:val="28"/>
        </w:rPr>
        <w:t>万元，较2023年度预算数</w:t>
      </w:r>
      <w:r>
        <w:rPr>
          <w:sz w:val="28"/>
          <w:szCs w:val="28"/>
          <w:u w:color="auto"/>
        </w:rPr>
        <w:t>0.00</w:t>
      </w:r>
      <w:r>
        <w:rPr>
          <w:rFonts w:hint="eastAsia"/>
          <w:b w:val="0"/>
          <w:bCs w:val="0"/>
          <w:sz w:val="28"/>
          <w:szCs w:val="28"/>
        </w:rPr>
        <w:t>万元，</w:t>
      </w:r>
      <w:r>
        <w:rPr>
          <w:sz w:val="28"/>
          <w:szCs w:val="28"/>
          <w:u w:color="auto"/>
        </w:rPr>
        <w:t>增长0.00</w:t>
      </w:r>
      <w:r>
        <w:rPr>
          <w:rFonts w:hint="eastAsia"/>
          <w:b w:val="0"/>
          <w:bCs w:val="0"/>
          <w:sz w:val="28"/>
          <w:szCs w:val="28"/>
        </w:rPr>
        <w:t>万元，</w:t>
      </w:r>
      <w:r>
        <w:rPr>
          <w:sz w:val="28"/>
          <w:szCs w:val="28"/>
          <w:u w:color="auto"/>
        </w:rPr>
        <w:t>增长0%</w:t>
      </w:r>
      <w:r>
        <w:rPr>
          <w:rFonts w:hint="eastAsia"/>
          <w:b w:val="0"/>
          <w:bCs w:val="0"/>
          <w:sz w:val="28"/>
          <w:szCs w:val="28"/>
        </w:rPr>
        <w:t>，主要原因是</w:t>
      </w:r>
      <w:r>
        <w:rPr>
          <w:rFonts w:hint="eastAsia"/>
          <w:sz w:val="28"/>
          <w:szCs w:val="28"/>
          <w:highlight w:val="none"/>
          <w:lang w:val="en-US" w:eastAsia="zh-CN"/>
        </w:rPr>
        <w:t>本部门无公务用车</w:t>
      </w:r>
      <w:r>
        <w:rPr>
          <w:rFonts w:hint="eastAsia"/>
          <w:b w:val="0"/>
          <w:bCs w:val="0"/>
          <w:sz w:val="28"/>
          <w:szCs w:val="28"/>
        </w:rPr>
        <w:t>。</w:t>
      </w:r>
    </w:p>
    <w:p>
      <w:pPr>
        <w:pStyle w:val="7"/>
        <w:tabs>
          <w:tab w:val="left" w:pos="1235"/>
        </w:tabs>
        <w:spacing w:after="0" w:line="624" w:lineRule="exact"/>
        <w:ind w:firstLine="580"/>
        <w:jc w:val="left"/>
        <w:rPr>
          <w:b/>
          <w:bCs/>
        </w:rPr>
      </w:pPr>
      <w:r>
        <w:rPr>
          <w:b/>
          <w:bCs/>
        </w:rPr>
        <w:t>八</w:t>
      </w:r>
      <w:bookmarkEnd w:id="13"/>
      <w:r>
        <w:rPr>
          <w:b/>
          <w:bCs/>
        </w:rPr>
        <w:t>、</w:t>
      </w:r>
      <w:r>
        <w:rPr>
          <w:b/>
          <w:bCs/>
        </w:rPr>
        <w:tab/>
      </w:r>
      <w:r>
        <w:rPr>
          <w:b/>
          <w:bCs/>
        </w:rPr>
        <w:t>政府性基金预算支出情况说明</w:t>
      </w:r>
    </w:p>
    <w:p>
      <w:pPr>
        <w:pStyle w:val="8"/>
        <w:spacing w:line="629" w:lineRule="exact"/>
        <w:ind w:firstLine="600"/>
        <w:jc w:val="left"/>
        <w:rPr>
          <w:rFonts w:hint="eastAsia" w:eastAsia="宋体"/>
          <w:lang w:eastAsia="zh-CN"/>
        </w:rPr>
      </w:pPr>
      <w:r>
        <w:rPr>
          <w:rFonts w:hint="eastAsia"/>
        </w:rPr>
        <w:t>我部门</w:t>
      </w:r>
      <w:r>
        <w:rPr>
          <w:rFonts w:hint="eastAsia"/>
          <w:b w:val="0"/>
          <w:bCs w:val="0"/>
          <w:sz w:val="28"/>
          <w:szCs w:val="28"/>
          <w:lang w:eastAsia="zh-CN"/>
        </w:rPr>
        <w:t>2024</w:t>
      </w:r>
      <w:r>
        <w:rPr>
          <w:rFonts w:hint="eastAsia"/>
        </w:rPr>
        <w:t>年政府性基金预算支出共</w:t>
      </w:r>
      <w:r>
        <w:rPr>
          <w:rFonts w:hint="eastAsia"/>
          <w:b w:val="0"/>
          <w:bCs w:val="0"/>
          <w:sz w:val="28"/>
          <w:szCs w:val="28"/>
          <w:lang w:eastAsia="zh-CN"/>
        </w:rPr>
        <w:t>0.00</w:t>
      </w:r>
      <w:r>
        <w:rPr>
          <w:rFonts w:hint="eastAsia"/>
        </w:rPr>
        <w:t>万元，较2023年度预算数</w:t>
      </w:r>
      <w:r>
        <w:rPr>
          <w:rFonts w:hint="eastAsia"/>
          <w:b w:val="0"/>
          <w:bCs w:val="0"/>
          <w:sz w:val="28"/>
          <w:szCs w:val="28"/>
          <w:lang w:eastAsia="zh-CN"/>
        </w:rPr>
        <w:t>0.00</w:t>
      </w:r>
      <w:r>
        <w:rPr>
          <w:rFonts w:hint="eastAsia"/>
        </w:rPr>
        <w:t>万元，</w:t>
      </w:r>
      <w:r>
        <w:rPr>
          <w:rFonts w:hint="eastAsia"/>
          <w:b w:val="0"/>
          <w:bCs w:val="0"/>
          <w:sz w:val="28"/>
          <w:szCs w:val="28"/>
          <w:lang w:eastAsia="zh-CN"/>
        </w:rPr>
        <w:t>增加0.00</w:t>
      </w:r>
      <w:r>
        <w:rPr>
          <w:rFonts w:hint="eastAsia"/>
        </w:rPr>
        <w:t>万元，</w:t>
      </w:r>
      <w:r>
        <w:rPr>
          <w:rFonts w:hint="eastAsia"/>
          <w:b w:val="0"/>
          <w:bCs w:val="0"/>
          <w:sz w:val="28"/>
          <w:szCs w:val="28"/>
          <w:lang w:eastAsia="zh-CN"/>
        </w:rPr>
        <w:t>增长0%</w:t>
      </w:r>
      <w:r>
        <w:rPr>
          <w:rFonts w:hint="eastAsia"/>
        </w:rPr>
        <w:t>，主要原因是</w:t>
      </w:r>
      <w:r>
        <w:rPr>
          <w:rFonts w:hint="eastAsia"/>
          <w:highlight w:val="none"/>
          <w:lang w:val="en-US" w:eastAsia="zh-CN"/>
        </w:rPr>
        <w:t>我部门2024年部门预算无政府性基金预算</w:t>
      </w:r>
      <w:r>
        <w:rPr>
          <w:rFonts w:hint="eastAsia"/>
        </w:rPr>
        <w:t>。</w:t>
      </w:r>
    </w:p>
    <w:p>
      <w:pPr>
        <w:pStyle w:val="7"/>
        <w:tabs>
          <w:tab w:val="left" w:pos="1235"/>
        </w:tabs>
        <w:spacing w:after="0" w:line="624" w:lineRule="exact"/>
        <w:ind w:firstLine="580"/>
        <w:jc w:val="left"/>
        <w:rPr>
          <w:b/>
          <w:bCs/>
        </w:rPr>
      </w:pPr>
      <w:bookmarkStart w:id="14" w:name="bookmark91"/>
      <w:r>
        <w:rPr>
          <w:b/>
          <w:bCs/>
        </w:rPr>
        <w:t>九</w:t>
      </w:r>
      <w:bookmarkEnd w:id="14"/>
      <w:r>
        <w:rPr>
          <w:b/>
          <w:bCs/>
        </w:rPr>
        <w:t>、</w:t>
      </w:r>
      <w:r>
        <w:rPr>
          <w:b/>
          <w:bCs/>
        </w:rPr>
        <w:tab/>
      </w:r>
      <w:r>
        <w:rPr>
          <w:b/>
          <w:bCs/>
        </w:rPr>
        <w:t>国有资本经营预算支出情况说明</w:t>
      </w:r>
    </w:p>
    <w:p>
      <w:pPr>
        <w:pStyle w:val="8"/>
        <w:spacing w:line="437" w:lineRule="auto"/>
        <w:ind w:firstLine="600"/>
        <w:jc w:val="left"/>
        <w:rPr>
          <w:rFonts w:hint="eastAsia" w:eastAsia="宋体"/>
          <w:lang w:eastAsia="zh-CN"/>
        </w:rPr>
      </w:pPr>
      <w:r>
        <w:rPr>
          <w:rFonts w:hint="eastAsia"/>
        </w:rPr>
        <w:t>我部门</w:t>
      </w:r>
      <w:r>
        <w:rPr>
          <w:rFonts w:hint="eastAsia"/>
          <w:lang w:eastAsia="zh-CN"/>
        </w:rPr>
        <w:t>2024</w:t>
      </w:r>
      <w:r>
        <w:rPr>
          <w:rFonts w:hint="eastAsia"/>
        </w:rPr>
        <w:t>年国有资本经营预算支出共</w:t>
      </w:r>
      <w:r>
        <w:rPr>
          <w:rFonts w:hint="eastAsia"/>
          <w:lang w:eastAsia="zh-CN"/>
        </w:rPr>
        <w:t>0.00</w:t>
      </w:r>
      <w:r>
        <w:rPr>
          <w:rFonts w:hint="eastAsia"/>
        </w:rPr>
        <w:t>万元，较2023年度预算数</w:t>
      </w:r>
      <w:r>
        <w:rPr>
          <w:rFonts w:hint="eastAsia"/>
          <w:lang w:eastAsia="zh-CN"/>
        </w:rPr>
        <w:t>0.00</w:t>
      </w:r>
      <w:r>
        <w:rPr>
          <w:rFonts w:hint="eastAsia"/>
        </w:rPr>
        <w:t>万元，</w:t>
      </w:r>
      <w:r>
        <w:rPr>
          <w:rFonts w:hint="eastAsia"/>
          <w:lang w:eastAsia="zh-CN"/>
        </w:rPr>
        <w:t>增加0.00</w:t>
      </w:r>
      <w:r>
        <w:rPr>
          <w:rFonts w:hint="eastAsia"/>
        </w:rPr>
        <w:t>万元，</w:t>
      </w:r>
      <w:r>
        <w:rPr>
          <w:rFonts w:hint="eastAsia"/>
          <w:lang w:eastAsia="zh-CN"/>
        </w:rPr>
        <w:t>增长0%</w:t>
      </w:r>
      <w:r>
        <w:rPr>
          <w:rFonts w:hint="eastAsia"/>
        </w:rPr>
        <w:t>，主要原因是</w:t>
      </w:r>
      <w:r>
        <w:rPr>
          <w:rFonts w:hint="eastAsia"/>
          <w:lang w:val="en-US" w:eastAsia="zh-CN"/>
        </w:rPr>
        <w:t>我部门2024年部门预算无国有资本经营预算</w:t>
      </w:r>
      <w:r>
        <w:rPr>
          <w:rFonts w:hint="eastAsia"/>
        </w:rPr>
        <w:t>。</w:t>
      </w:r>
    </w:p>
    <w:p>
      <w:pPr>
        <w:pStyle w:val="7"/>
        <w:tabs>
          <w:tab w:val="left" w:pos="1235"/>
        </w:tabs>
        <w:spacing w:after="0" w:line="624" w:lineRule="exact"/>
        <w:ind w:firstLine="580"/>
        <w:jc w:val="left"/>
        <w:rPr>
          <w:b/>
          <w:bCs/>
        </w:rPr>
      </w:pPr>
      <w:r>
        <w:rPr>
          <w:b/>
          <w:bCs/>
        </w:rPr>
        <w:t>十、其他重要事项</w:t>
      </w:r>
      <w:r>
        <w:rPr>
          <w:rFonts w:hint="eastAsia"/>
          <w:b/>
          <w:bCs/>
          <w:lang w:val="en-US" w:eastAsia="zh-CN"/>
        </w:rPr>
        <w:t>情况</w:t>
      </w:r>
      <w:r>
        <w:rPr>
          <w:b/>
          <w:bCs/>
        </w:rPr>
        <w:t>说明</w:t>
      </w:r>
    </w:p>
    <w:p>
      <w:pPr>
        <w:pStyle w:val="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（一）机关运行经费安排情况说明</w:t>
      </w:r>
    </w:p>
    <w:p>
      <w:pPr>
        <w:pStyle w:val="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b w:val="0"/>
          <w:bCs w:val="0"/>
          <w:sz w:val="28"/>
          <w:szCs w:val="28"/>
          <w:lang w:eastAsia="zh-CN"/>
        </w:rPr>
        <w:t>2024</w:t>
      </w:r>
      <w:r>
        <w:rPr>
          <w:rFonts w:hint="eastAsia" w:ascii="宋体" w:hAnsi="宋体" w:eastAsia="宋体" w:cs="宋体"/>
          <w:sz w:val="28"/>
          <w:szCs w:val="28"/>
          <w:lang w:eastAsia="zh-CN"/>
        </w:rPr>
        <w:t>年本部门机关运行经费预算</w:t>
      </w:r>
      <w:r>
        <w:rPr>
          <w:rFonts w:hint="eastAsia" w:ascii="宋体" w:hAnsi="宋体" w:eastAsia="宋体" w:cs="宋体"/>
          <w:sz w:val="28"/>
          <w:szCs w:val="28"/>
          <w:lang w:val="en-US" w:eastAsia="zh-CN"/>
        </w:rPr>
        <w:t>59.50</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58.50</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增加1.00</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增长1.71%</w:t>
      </w:r>
      <w:r>
        <w:rPr>
          <w:rFonts w:hint="eastAsia" w:ascii="宋体" w:hAnsi="宋体" w:eastAsia="宋体" w:cs="宋体"/>
          <w:sz w:val="28"/>
          <w:szCs w:val="28"/>
          <w:lang w:eastAsia="zh-CN"/>
        </w:rPr>
        <w:t>。</w:t>
      </w:r>
    </w:p>
    <w:p>
      <w:pPr>
        <w:pStyle w:val="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（二）政府采购预算安排情况说明</w:t>
      </w:r>
    </w:p>
    <w:p>
      <w:pPr>
        <w:pStyle w:val="8"/>
        <w:spacing w:line="624" w:lineRule="exact"/>
        <w:ind w:firstLine="600"/>
        <w:jc w:val="left"/>
        <w:rPr>
          <w:rFonts w:hint="default" w:ascii="宋体" w:hAnsi="宋体" w:eastAsia="宋体" w:cs="宋体"/>
          <w:sz w:val="28"/>
          <w:szCs w:val="28"/>
          <w:lang w:val="en-US" w:eastAsia="zh-CN"/>
        </w:rPr>
      </w:pPr>
      <w:r>
        <w:rPr>
          <w:rFonts w:hint="eastAsia" w:ascii="宋体" w:hAnsi="宋体" w:eastAsia="宋体" w:cs="宋体"/>
          <w:sz w:val="28"/>
          <w:szCs w:val="28"/>
          <w:lang w:eastAsia="zh-CN"/>
        </w:rPr>
        <w:t>我部门2024年政府采购预算总金额</w:t>
      </w:r>
      <w:r>
        <w:rPr>
          <w:rFonts w:hint="eastAsia"/>
          <w:highlight w:val="none"/>
          <w:lang w:val="en-US" w:eastAsia="zh-CN"/>
        </w:rPr>
        <w:t>0</w:t>
      </w:r>
      <w:r>
        <w:rPr>
          <w:rFonts w:hint="eastAsia" w:ascii="宋体" w:hAnsi="宋体" w:eastAsia="宋体" w:cs="宋体"/>
          <w:sz w:val="28"/>
          <w:szCs w:val="28"/>
          <w:lang w:eastAsia="zh-CN"/>
        </w:rPr>
        <w:t>万元。其中：货物类采购</w:t>
      </w:r>
      <w:r>
        <w:rPr>
          <w:rFonts w:hint="eastAsia"/>
          <w:highlight w:val="none"/>
          <w:lang w:val="en-US" w:eastAsia="zh-CN"/>
        </w:rPr>
        <w:t>0</w:t>
      </w:r>
      <w:r>
        <w:rPr>
          <w:rFonts w:hint="eastAsia" w:ascii="宋体" w:hAnsi="宋体" w:eastAsia="宋体" w:cs="宋体"/>
          <w:sz w:val="28"/>
          <w:szCs w:val="28"/>
          <w:lang w:eastAsia="zh-CN"/>
        </w:rPr>
        <w:t>万元、工程类采购</w:t>
      </w:r>
      <w:r>
        <w:rPr>
          <w:rFonts w:hint="eastAsia"/>
          <w:highlight w:val="none"/>
          <w:lang w:val="en-US" w:eastAsia="zh-CN"/>
        </w:rPr>
        <w:t>0</w:t>
      </w:r>
      <w:r>
        <w:rPr>
          <w:rFonts w:hint="eastAsia" w:ascii="宋体" w:hAnsi="宋体" w:eastAsia="宋体" w:cs="宋体"/>
          <w:sz w:val="28"/>
          <w:szCs w:val="28"/>
          <w:lang w:eastAsia="zh-CN"/>
        </w:rPr>
        <w:t>万元、服务类采购</w:t>
      </w:r>
      <w:r>
        <w:rPr>
          <w:rFonts w:hint="eastAsia"/>
          <w:highlight w:val="none"/>
          <w:lang w:val="en-US" w:eastAsia="zh-CN"/>
        </w:rPr>
        <w:t>0</w:t>
      </w:r>
      <w:r>
        <w:rPr>
          <w:rFonts w:hint="eastAsia" w:ascii="宋体" w:hAnsi="宋体" w:eastAsia="宋体" w:cs="宋体"/>
          <w:sz w:val="28"/>
          <w:szCs w:val="28"/>
          <w:lang w:eastAsia="zh-CN"/>
        </w:rPr>
        <w:t>万元。</w:t>
      </w:r>
    </w:p>
    <w:p>
      <w:pPr>
        <w:pStyle w:val="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（三）国有资产占用情况说明</w:t>
      </w:r>
    </w:p>
    <w:p>
      <w:pPr>
        <w:pStyle w:val="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截至2023年12月31日，本部门共有车辆</w:t>
      </w:r>
      <w:r>
        <w:rPr>
          <w:rFonts w:hint="eastAsia"/>
          <w:highlight w:val="none"/>
          <w:lang w:val="en-US" w:eastAsia="zh-CN"/>
        </w:rPr>
        <w:t>0</w:t>
      </w:r>
      <w:r>
        <w:rPr>
          <w:rFonts w:hint="eastAsia" w:ascii="宋体" w:hAnsi="宋体" w:eastAsia="宋体" w:cs="宋体"/>
          <w:sz w:val="28"/>
          <w:szCs w:val="28"/>
          <w:lang w:eastAsia="zh-CN"/>
        </w:rPr>
        <w:t>辆，其中，应急机要通信用车</w:t>
      </w:r>
      <w:r>
        <w:rPr>
          <w:rFonts w:hint="eastAsia"/>
          <w:highlight w:val="none"/>
          <w:lang w:val="en-US" w:eastAsia="zh-CN"/>
        </w:rPr>
        <w:t>0</w:t>
      </w:r>
      <w:r>
        <w:rPr>
          <w:rFonts w:hint="eastAsia" w:ascii="宋体" w:hAnsi="宋体" w:eastAsia="宋体" w:cs="宋体"/>
          <w:sz w:val="28"/>
          <w:szCs w:val="28"/>
          <w:lang w:eastAsia="zh-CN"/>
        </w:rPr>
        <w:t>辆、一般执法执勤用车</w:t>
      </w:r>
      <w:r>
        <w:rPr>
          <w:rFonts w:hint="eastAsia"/>
          <w:highlight w:val="none"/>
          <w:lang w:val="en-US" w:eastAsia="zh-CN"/>
        </w:rPr>
        <w:t>0</w:t>
      </w:r>
      <w:r>
        <w:rPr>
          <w:rFonts w:hint="eastAsia" w:ascii="宋体" w:hAnsi="宋体" w:eastAsia="宋体" w:cs="宋体"/>
          <w:sz w:val="28"/>
          <w:szCs w:val="28"/>
          <w:lang w:eastAsia="zh-CN"/>
        </w:rPr>
        <w:t>辆、特种专业技术用车</w:t>
      </w:r>
      <w:r>
        <w:rPr>
          <w:rFonts w:hint="eastAsia"/>
          <w:highlight w:val="none"/>
          <w:lang w:val="en-US" w:eastAsia="zh-CN"/>
        </w:rPr>
        <w:t>0</w:t>
      </w:r>
      <w:r>
        <w:rPr>
          <w:rFonts w:hint="eastAsia" w:ascii="宋体" w:hAnsi="宋体" w:eastAsia="宋体" w:cs="宋体"/>
          <w:sz w:val="28"/>
          <w:szCs w:val="28"/>
          <w:lang w:eastAsia="zh-CN"/>
        </w:rPr>
        <w:t>辆、其他用车</w:t>
      </w:r>
      <w:r>
        <w:rPr>
          <w:rFonts w:hint="eastAsia"/>
          <w:highlight w:val="none"/>
          <w:lang w:val="en-US" w:eastAsia="zh-CN"/>
        </w:rPr>
        <w:t>0</w:t>
      </w:r>
      <w:r>
        <w:rPr>
          <w:rFonts w:hint="eastAsia" w:ascii="宋体" w:hAnsi="宋体" w:eastAsia="宋体" w:cs="宋体"/>
          <w:sz w:val="28"/>
          <w:szCs w:val="28"/>
          <w:lang w:eastAsia="zh-CN"/>
        </w:rPr>
        <w:t>辆，单位价值200万元以上大型设备</w:t>
      </w:r>
      <w:r>
        <w:rPr>
          <w:rFonts w:hint="eastAsia"/>
          <w:highlight w:val="none"/>
          <w:lang w:val="en-US" w:eastAsia="zh-CN"/>
        </w:rPr>
        <w:t>0</w:t>
      </w:r>
      <w:r>
        <w:rPr>
          <w:rFonts w:hint="eastAsia" w:ascii="宋体" w:hAnsi="宋体" w:eastAsia="宋体" w:cs="宋体"/>
          <w:sz w:val="28"/>
          <w:szCs w:val="28"/>
          <w:lang w:eastAsia="zh-CN"/>
        </w:rPr>
        <w:t>台（套）。</w:t>
      </w:r>
    </w:p>
    <w:p>
      <w:pPr>
        <w:pStyle w:val="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（四）预算绩效目标情况说明</w:t>
      </w:r>
    </w:p>
    <w:p>
      <w:pPr>
        <w:pStyle w:val="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1.我部门2024年所有项目支出全面实施绩效目标管理，涉及项目</w:t>
      </w:r>
      <w:r>
        <w:rPr>
          <w:rFonts w:hint="eastAsia"/>
          <w:highlight w:val="none"/>
          <w:lang w:val="en-US" w:eastAsia="zh-CN"/>
        </w:rPr>
        <w:t>0</w:t>
      </w:r>
      <w:r>
        <w:rPr>
          <w:rFonts w:hint="eastAsia" w:ascii="宋体" w:hAnsi="宋体" w:eastAsia="宋体" w:cs="宋体"/>
          <w:sz w:val="28"/>
          <w:szCs w:val="28"/>
          <w:lang w:eastAsia="zh-CN"/>
        </w:rPr>
        <w:t>个，预算资金</w:t>
      </w:r>
      <w:r>
        <w:rPr>
          <w:rFonts w:hint="eastAsia"/>
          <w:highlight w:val="none"/>
          <w:lang w:val="en-US" w:eastAsia="zh-CN"/>
        </w:rPr>
        <w:t>0</w:t>
      </w:r>
      <w:r>
        <w:rPr>
          <w:rFonts w:hint="eastAsia" w:ascii="宋体" w:hAnsi="宋体" w:eastAsia="宋体" w:cs="宋体"/>
          <w:sz w:val="28"/>
          <w:szCs w:val="28"/>
          <w:lang w:eastAsia="zh-CN"/>
        </w:rPr>
        <w:t>万元。绩效目标情况详见报表（日常运转类项目、工资类人员经费项目和涉密项目等除外）。</w:t>
      </w:r>
    </w:p>
    <w:p>
      <w:pPr>
        <w:pStyle w:val="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2.重点项目预算绩效目标说明。</w:t>
      </w:r>
    </w:p>
    <w:p>
      <w:pPr>
        <w:pStyle w:val="8"/>
        <w:spacing w:line="624" w:lineRule="exact"/>
        <w:ind w:left="0" w:leftChars="0" w:firstLine="560" w:firstLineChars="200"/>
        <w:jc w:val="left"/>
        <w:rPr>
          <w:rFonts w:hint="eastAsia" w:ascii="宋体" w:hAnsi="宋体" w:eastAsia="宋体" w:cs="宋体"/>
          <w:color w:val="000000" w:themeColor="text1"/>
          <w:sz w:val="28"/>
          <w:szCs w:val="28"/>
          <w:highlight w:val="none"/>
          <w:lang w:val="en-US" w:eastAsia="zh-CN"/>
          <w14:textFill>
            <w14:solidFill>
              <w14:schemeClr w14:val="tx1"/>
            </w14:solidFill>
          </w14:textFill>
        </w:rPr>
        <w:sectPr>
          <w:headerReference r:id="rId4" w:type="default"/>
          <w:footerReference r:id="rId5" w:type="default"/>
          <w:pgSz w:w="11900" w:h="16840"/>
          <w:pgMar w:top="1440" w:right="1800" w:bottom="1440" w:left="1800" w:header="0" w:footer="3" w:gutter="0"/>
          <w:pgBorders>
            <w:top w:val="none" w:sz="0" w:space="0"/>
            <w:left w:val="none" w:sz="0" w:space="0"/>
            <w:bottom w:val="none" w:sz="0" w:space="0"/>
            <w:right w:val="none" w:sz="0" w:space="0"/>
          </w:pgBorders>
          <w:cols w:space="720" w:num="1"/>
          <w:docGrid w:linePitch="360" w:charSpace="0"/>
        </w:sect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主要用于村委为保证日常运转发生的人员经费支出</w:t>
      </w:r>
      <w:r>
        <w:rPr>
          <w:rFonts w:hint="eastAsia" w:cs="宋体"/>
          <w:i w:val="0"/>
          <w:iCs w:val="0"/>
          <w:caps w:val="0"/>
          <w:color w:val="000000" w:themeColor="text1"/>
          <w:spacing w:val="0"/>
          <w:sz w:val="28"/>
          <w:szCs w:val="28"/>
          <w:shd w:val="clear" w:fill="FFFFFF"/>
          <w:lang w:eastAsia="zh-CN"/>
          <w14:textFill>
            <w14:solidFill>
              <w14:schemeClr w14:val="tx1"/>
            </w14:solidFill>
          </w14:textFill>
        </w:rPr>
        <w:t>。</w:t>
      </w:r>
    </w:p>
    <w:bookmarkEnd w:id="10"/>
    <w:bookmarkEnd w:id="11"/>
    <w:bookmarkEnd w:id="12"/>
    <w:p>
      <w:pPr>
        <w:pStyle w:val="6"/>
        <w:keepNext/>
        <w:keepLines/>
        <w:spacing w:after="980"/>
        <w:jc w:val="center"/>
      </w:pPr>
      <w:r>
        <w:t>第</w:t>
      </w:r>
      <w:r>
        <w:rPr>
          <w:rFonts w:hint="eastAsia"/>
          <w:lang w:val="en-US" w:eastAsia="zh-CN"/>
        </w:rPr>
        <w:t>三</w:t>
      </w:r>
      <w:r>
        <w:t>部分</w:t>
      </w:r>
      <w:r>
        <w:rPr>
          <w:rFonts w:hint="eastAsia"/>
          <w:lang w:eastAsia="zh-CN"/>
        </w:rPr>
        <w:t>环江毛南族自治县川山镇村委</w:t>
      </w:r>
      <w:r>
        <w:rPr>
          <w:rFonts w:hint="eastAsia" w:ascii="Times New Roman" w:hAnsi="Times New Roman" w:cs="Times New Roman"/>
          <w:sz w:val="42"/>
          <w:szCs w:val="42"/>
          <w:lang w:eastAsia="zh-CN"/>
        </w:rPr>
        <w:t>2024</w:t>
      </w:r>
      <w:r>
        <w:rPr>
          <w:rFonts w:ascii="Times New Roman" w:hAnsi="Times New Roman" w:cs="Times New Roman"/>
          <w:sz w:val="42"/>
          <w:u w:color="auto"/>
        </w:rPr>
        <w:t>年</w:t>
      </w:r>
      <w:r>
        <w:t>部门预算表</w:t>
      </w:r>
    </w:p>
    <w:p>
      <w:pPr>
        <w:pStyle w:val="10"/>
        <w:keepNext/>
        <w:keepLines/>
        <w:spacing w:after="240"/>
        <w:jc w:val="center"/>
      </w:pPr>
      <w:bookmarkStart w:id="15" w:name="bookmark29"/>
      <w:bookmarkStart w:id="16" w:name="bookmark31"/>
      <w:bookmarkStart w:id="17" w:name="bookmark30"/>
      <w:r>
        <w:t>收支总体情况表</w:t>
      </w:r>
      <w:bookmarkEnd w:id="15"/>
      <w:bookmarkEnd w:id="16"/>
      <w:bookmarkEnd w:id="17"/>
    </w:p>
    <w:tbl>
      <w:tblPr>
        <w:tblStyle w:val="2"/>
        <w:tblW w:w="0" w:type="auto"/>
        <w:tblInd w:w="0" w:type="dxa"/>
        <w:tblLayout w:type="fixed"/>
        <w:tblCellMar>
          <w:top w:w="0" w:type="dxa"/>
          <w:left w:w="10" w:type="dxa"/>
          <w:bottom w:w="0" w:type="dxa"/>
          <w:right w:w="10" w:type="dxa"/>
        </w:tblCellMar>
      </w:tblPr>
      <w:tblGrid>
        <w:gridCol w:w="3339"/>
        <w:gridCol w:w="3760"/>
        <w:gridCol w:w="3542"/>
        <w:gridCol w:w="3571"/>
      </w:tblGrid>
      <w:tr>
        <w:tblPrEx>
          <w:tblCellMar>
            <w:top w:w="0" w:type="dxa"/>
            <w:left w:w="10" w:type="dxa"/>
            <w:bottom w:w="0" w:type="dxa"/>
            <w:right w:w="10" w:type="dxa"/>
          </w:tblCellMar>
        </w:tblPrEx>
        <w:trPr>
          <w:trHeight w:val="331" w:hRule="exact"/>
        </w:trPr>
        <w:tc>
          <w:tcPr>
            <w:tcW w:w="10641" w:type="dxa"/>
            <w:gridSpan w:val="3"/>
            <w:tcBorders>
              <w:bottom w:val="single" w:color="auto" w:sz="4" w:space="0"/>
            </w:tcBorders>
            <w:shd w:val="clear" w:color="auto" w:fill="FFFFFF"/>
          </w:tcPr>
          <w:p>
            <w:pPr>
              <w:pStyle w:val="11"/>
              <w:spacing w:line="240" w:lineRule="auto"/>
              <w:ind w:firstLine="0"/>
              <w:jc w:val="left"/>
              <w:rPr>
                <w:sz w:val="17"/>
                <w:szCs w:val="17"/>
              </w:rPr>
            </w:pPr>
            <w:r>
              <w:rPr>
                <w:sz w:val="17"/>
                <w:szCs w:val="17"/>
              </w:rPr>
              <w:t>单位名称：</w:t>
            </w:r>
            <w:r>
              <w:rPr>
                <w:rFonts w:hint="eastAsia"/>
                <w:sz w:val="17"/>
                <w:szCs w:val="17"/>
                <w:lang w:eastAsia="zh-CN"/>
              </w:rPr>
              <w:t>环江毛南族自治县川山镇村委</w:t>
            </w:r>
          </w:p>
        </w:tc>
        <w:tc>
          <w:tcPr>
            <w:tcW w:w="3571" w:type="dxa"/>
            <w:tcBorders>
              <w:bottom w:val="single" w:color="auto" w:sz="4" w:space="0"/>
            </w:tcBorders>
            <w:shd w:val="clear" w:color="auto" w:fill="FFFFFF"/>
          </w:tcPr>
          <w:p>
            <w:pPr>
              <w:pStyle w:val="11"/>
              <w:spacing w:line="240" w:lineRule="auto"/>
              <w:ind w:firstLine="2380" w:firstLineChars="1400"/>
              <w:jc w:val="left"/>
              <w:rPr>
                <w:sz w:val="17"/>
                <w:szCs w:val="17"/>
              </w:rPr>
            </w:pPr>
            <w:r>
              <w:rPr>
                <w:sz w:val="17"/>
                <w:szCs w:val="17"/>
              </w:rPr>
              <w:t>单位：万元</w:t>
            </w:r>
          </w:p>
        </w:tc>
      </w:tr>
      <w:tr>
        <w:tblPrEx>
          <w:tblCellMar>
            <w:top w:w="0" w:type="dxa"/>
            <w:left w:w="10" w:type="dxa"/>
            <w:bottom w:w="0" w:type="dxa"/>
            <w:right w:w="10" w:type="dxa"/>
          </w:tblCellMar>
        </w:tblPrEx>
        <w:trPr>
          <w:trHeight w:val="456" w:hRule="exact"/>
        </w:trPr>
        <w:tc>
          <w:tcPr>
            <w:tcW w:w="70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2890" w:firstLineChars="1700"/>
              <w:jc w:val="both"/>
              <w:rPr>
                <w:sz w:val="17"/>
                <w:szCs w:val="17"/>
              </w:rPr>
            </w:pPr>
            <w:r>
              <w:rPr>
                <w:sz w:val="17"/>
                <w:szCs w:val="17"/>
              </w:rPr>
              <w:t>收入</w:t>
            </w:r>
          </w:p>
        </w:tc>
        <w:tc>
          <w:tcPr>
            <w:tcW w:w="7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right="340" w:firstLine="2890" w:firstLineChars="1700"/>
              <w:jc w:val="both"/>
              <w:rPr>
                <w:sz w:val="17"/>
                <w:szCs w:val="17"/>
              </w:rPr>
            </w:pPr>
            <w:r>
              <w:rPr>
                <w:sz w:val="17"/>
                <w:szCs w:val="17"/>
              </w:rPr>
              <w:t>支出</w:t>
            </w:r>
          </w:p>
        </w:tc>
      </w:tr>
      <w:tr>
        <w:tblPrEx>
          <w:tblCellMar>
            <w:top w:w="0" w:type="dxa"/>
            <w:left w:w="10" w:type="dxa"/>
            <w:bottom w:w="0" w:type="dxa"/>
            <w:right w:w="10" w:type="dxa"/>
          </w:tblCellMar>
        </w:tblPrEx>
        <w:trPr>
          <w:trHeight w:val="432"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sz w:val="17"/>
                <w:szCs w:val="17"/>
              </w:rPr>
            </w:pPr>
            <w:r>
              <w:rPr>
                <w:sz w:val="17"/>
                <w:szCs w:val="17"/>
              </w:rPr>
              <w:t>项目</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sz w:val="17"/>
                <w:szCs w:val="17"/>
              </w:rPr>
            </w:pPr>
            <w:r>
              <w:rPr>
                <w:sz w:val="17"/>
                <w:szCs w:val="17"/>
              </w:rPr>
              <w:t>预算数</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tabs>
                <w:tab w:val="left" w:pos="894"/>
              </w:tabs>
              <w:spacing w:line="240" w:lineRule="auto"/>
              <w:jc w:val="left"/>
              <w:rPr>
                <w:sz w:val="17"/>
                <w:szCs w:val="17"/>
              </w:rPr>
            </w:pPr>
            <w:r>
              <w:rPr>
                <w:sz w:val="17"/>
                <w:szCs w:val="17"/>
              </w:rPr>
              <w:t>项</w:t>
            </w:r>
            <w:r>
              <w:rPr>
                <w:sz w:val="17"/>
                <w:szCs w:val="17"/>
              </w:rPr>
              <w:tab/>
            </w:r>
            <w:r>
              <w:rPr>
                <w:sz w:val="17"/>
                <w:szCs w:val="17"/>
              </w:rPr>
              <w:t>目（按支出功能科目分类）</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sz w:val="17"/>
                <w:szCs w:val="17"/>
              </w:rPr>
            </w:pPr>
            <w:r>
              <w:rPr>
                <w:sz w:val="17"/>
                <w:szCs w:val="17"/>
              </w:rPr>
              <w:t>预算数</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一、一般公共预算拨款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552.70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一、一般公共服务支出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二、外交支出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552.70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三、国防支出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二、政府性基金预算拨款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四、公共安全支出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五、教育支出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六、科学技术支出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三、国有资本经营预算拨款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七、文化旅游体育与传媒支出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八、社会保障和就业支出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九、卫生健康支出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四、财政专户管理资金收入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十、节能环保支出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五、事业收入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十一、城乡社区支出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六、事业单位经营收入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十二、农林水支出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552.70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七、上级补助收入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十三、交通运输支出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八、附属单位上缴收入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十四、资源勘探工业信息等支出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九、其他收入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十五、商业服务业等支出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十六、金融支出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十七、援助其他地区支出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十八、自然资源海洋气象等支出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十九、住房保障支出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二十、粮油物资储备支出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二十一、国有资本经营预算支出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二十二、灾害防治及应急管理支出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二十三、其他支出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二十四、债务还本支出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二十五、债务付息支出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二十六、债务发行费用支出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本年收入合计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552.70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本年支出合计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552.70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上年结转结余</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结转下年支出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收入总计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552.70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支出总计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552.70</w:t>
            </w:r>
          </w:p>
        </w:tc>
      </w:tr>
    </w:tbl>
    <w:p>
      <w:pPr>
        <w:pStyle w:val="12"/>
        <w:ind w:left="101"/>
        <w:jc w:val="left"/>
      </w:pPr>
      <w:r>
        <w:t>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r:id="rId6" w:type="default"/>
          <w:footerReference r:id="rId7" w:type="default"/>
          <w:pgSz w:w="16840" w:h="11900" w:orient="landscape"/>
          <w:pgMar w:top="2397" w:right="761" w:bottom="1966" w:left="739" w:header="0" w:footer="3" w:gutter="0"/>
          <w:pgBorders>
            <w:top w:val="none" w:sz="0" w:space="0"/>
            <w:left w:val="none" w:sz="0" w:space="0"/>
            <w:bottom w:val="none" w:sz="0" w:space="0"/>
            <w:right w:val="none" w:sz="0" w:space="0"/>
          </w:pgBorders>
          <w:cols w:space="720" w:num="1"/>
          <w:docGrid w:linePitch="360" w:charSpace="0"/>
        </w:sectPr>
      </w:pPr>
    </w:p>
    <w:p>
      <w:pPr>
        <w:tabs>
          <w:tab w:val="left" w:pos="859"/>
        </w:tabs>
        <w:jc w:val="left"/>
        <w:rPr>
          <w:rFonts w:eastAsia="宋体"/>
          <w:lang w:eastAsia="zh-CN"/>
        </w:rPr>
      </w:pPr>
    </w:p>
    <w:p>
      <w:pPr>
        <w:tabs>
          <w:tab w:val="left" w:pos="859"/>
        </w:tabs>
        <w:jc w:val="center"/>
        <w:rPr>
          <w:rFonts w:hint="eastAsia" w:eastAsia="宋体"/>
          <w:lang w:val="en-US" w:eastAsia="zh-CN"/>
        </w:rPr>
      </w:pPr>
    </w:p>
    <w:p>
      <w:pPr>
        <w:tabs>
          <w:tab w:val="left" w:pos="859"/>
        </w:tabs>
        <w:jc w:val="center"/>
        <w:rPr>
          <w:rFonts w:hint="eastAsia" w:eastAsia="宋体"/>
          <w:lang w:val="en-US" w:eastAsia="zh-CN"/>
        </w:rPr>
      </w:pPr>
      <w:r>
        <w:rPr>
          <w:rFonts w:hint="eastAsia" w:eastAsia="宋体"/>
          <w:lang w:val="en-US" w:eastAsia="zh-CN"/>
        </w:rPr>
        <w:t>收入总体情况表</w:t>
      </w:r>
    </w:p>
    <w:p>
      <w:pPr>
        <w:tabs>
          <w:tab w:val="left" w:pos="859"/>
        </w:tabs>
        <w:jc w:val="center"/>
        <w:rPr>
          <w:rFonts w:hint="eastAsia" w:eastAsia="宋体"/>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81" w:type="dxa"/>
            <w:gridSpan w:val="13"/>
            <w:tcBorders>
              <w:top w:val="nil"/>
              <w:left w:val="nil"/>
              <w:right w:val="nil"/>
            </w:tcBorders>
          </w:tcPr>
          <w:p>
            <w:pPr>
              <w:pStyle w:val="12"/>
              <w:jc w:val="both"/>
              <w:rPr>
                <w:rFonts w:hint="eastAsia"/>
                <w:lang w:val="en-US" w:eastAsia="zh-CN"/>
              </w:rPr>
            </w:pPr>
            <w:r>
              <w:rPr>
                <w:sz w:val="17"/>
                <w:szCs w:val="17"/>
              </w:rPr>
              <w:t>单位名称：</w:t>
            </w:r>
            <w:r>
              <w:rPr>
                <w:rFonts w:hint="eastAsia"/>
                <w:sz w:val="17"/>
                <w:szCs w:val="17"/>
                <w:lang w:eastAsia="zh-CN"/>
              </w:rPr>
              <w:t>环江毛南族自治县川山镇村委</w:t>
            </w:r>
            <w:r>
              <w:rPr>
                <w:rFonts w:hint="eastAsia"/>
                <w:lang w:val="en-US" w:eastAsia="zh-CN"/>
              </w:rPr>
              <w:t xml:space="preserve">                                                                                  </w:t>
            </w:r>
          </w:p>
        </w:tc>
        <w:tc>
          <w:tcPr>
            <w:tcW w:w="2076" w:type="dxa"/>
            <w:gridSpan w:val="3"/>
            <w:tcBorders>
              <w:top w:val="nil"/>
              <w:left w:val="nil"/>
              <w:right w:val="nil"/>
            </w:tcBorders>
          </w:tcPr>
          <w:p>
            <w:pPr>
              <w:pStyle w:val="12"/>
              <w:ind w:firstLine="340" w:firstLineChars="200"/>
              <w:jc w:val="left"/>
              <w:rPr>
                <w:rFonts w:hint="eastAsia"/>
                <w:lang w:val="en-US" w:eastAsia="zh-CN"/>
              </w:rPr>
            </w:pPr>
            <w:r>
              <w:rPr>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Merge w:val="restart"/>
          </w:tcPr>
          <w:p>
            <w:pPr>
              <w:tabs>
                <w:tab w:val="left" w:pos="859"/>
              </w:tabs>
              <w:jc w:val="both"/>
              <w:rPr>
                <w:rFonts w:hint="eastAsia" w:eastAsia="宋体"/>
                <w:vertAlign w:val="baseline"/>
                <w:lang w:val="en-US" w:eastAsia="zh-CN"/>
              </w:rPr>
            </w:pPr>
            <w:r>
              <w:rPr>
                <w:sz w:val="17"/>
                <w:szCs w:val="17"/>
              </w:rPr>
              <w:t>部门（单位）代码</w:t>
            </w:r>
          </w:p>
        </w:tc>
        <w:tc>
          <w:tcPr>
            <w:tcW w:w="1279" w:type="dxa"/>
            <w:vMerge w:val="restart"/>
          </w:tcPr>
          <w:p>
            <w:pPr>
              <w:tabs>
                <w:tab w:val="left" w:pos="859"/>
              </w:tabs>
              <w:jc w:val="both"/>
              <w:rPr>
                <w:rFonts w:hint="eastAsia" w:eastAsia="宋体"/>
                <w:vertAlign w:val="baseline"/>
                <w:lang w:val="en-US" w:eastAsia="zh-CN"/>
              </w:rPr>
            </w:pPr>
            <w:r>
              <w:rPr>
                <w:sz w:val="17"/>
                <w:szCs w:val="17"/>
              </w:rPr>
              <w:t>部门（单位）名称</w:t>
            </w:r>
          </w:p>
        </w:tc>
        <w:tc>
          <w:tcPr>
            <w:tcW w:w="990" w:type="dxa"/>
            <w:vMerge w:val="restart"/>
          </w:tcPr>
          <w:p>
            <w:pPr>
              <w:pStyle w:val="11"/>
              <w:spacing w:line="240" w:lineRule="auto"/>
              <w:ind w:firstLine="300" w:firstLineChars="0"/>
              <w:jc w:val="left"/>
              <w:rPr>
                <w:rFonts w:hint="eastAsia" w:eastAsia="宋体"/>
                <w:vertAlign w:val="baseline"/>
                <w:lang w:val="en-US" w:eastAsia="zh-CN"/>
              </w:rPr>
            </w:pPr>
            <w:r>
              <w:rPr>
                <w:rFonts w:hint="eastAsia"/>
                <w:sz w:val="17"/>
                <w:szCs w:val="17"/>
                <w:lang w:val="en-US" w:eastAsia="zh-CN"/>
              </w:rPr>
              <w:t>合</w:t>
            </w:r>
            <w:r>
              <w:rPr>
                <w:sz w:val="17"/>
                <w:szCs w:val="17"/>
              </w:rPr>
              <w:t>计</w:t>
            </w:r>
          </w:p>
        </w:tc>
        <w:tc>
          <w:tcPr>
            <w:tcW w:w="4871" w:type="dxa"/>
            <w:gridSpan w:val="5"/>
          </w:tcPr>
          <w:p>
            <w:pPr>
              <w:tabs>
                <w:tab w:val="left" w:pos="859"/>
              </w:tabs>
              <w:jc w:val="both"/>
              <w:rPr>
                <w:rFonts w:hint="eastAsia" w:eastAsia="宋体"/>
                <w:vertAlign w:val="baseline"/>
                <w:lang w:val="en-US" w:eastAsia="zh-CN"/>
              </w:rPr>
            </w:pPr>
            <w:r>
              <w:rPr>
                <w:sz w:val="17"/>
                <w:szCs w:val="17"/>
              </w:rPr>
              <w:t>本年收入</w:t>
            </w:r>
          </w:p>
        </w:tc>
        <w:tc>
          <w:tcPr>
            <w:tcW w:w="6781" w:type="dxa"/>
            <w:gridSpan w:val="8"/>
          </w:tcPr>
          <w:p>
            <w:pPr>
              <w:tabs>
                <w:tab w:val="left" w:pos="859"/>
              </w:tabs>
              <w:jc w:val="both"/>
              <w:rPr>
                <w:rFonts w:hint="eastAsia" w:eastAsia="宋体"/>
                <w:vertAlign w:val="baseline"/>
                <w:lang w:val="en-US" w:eastAsia="zh-CN"/>
              </w:rPr>
            </w:pPr>
            <w:r>
              <w:rPr>
                <w:sz w:val="17"/>
                <w:szCs w:val="17"/>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636" w:type="dxa"/>
            <w:vMerge w:val="continue"/>
          </w:tcPr>
          <w:p>
            <w:pPr>
              <w:tabs>
                <w:tab w:val="left" w:pos="859"/>
              </w:tabs>
              <w:jc w:val="both"/>
              <w:rPr>
                <w:rFonts w:hint="eastAsia" w:eastAsia="宋体"/>
                <w:vertAlign w:val="baseline"/>
                <w:lang w:val="en-US" w:eastAsia="zh-CN"/>
              </w:rPr>
            </w:pPr>
          </w:p>
        </w:tc>
        <w:tc>
          <w:tcPr>
            <w:tcW w:w="1279" w:type="dxa"/>
            <w:vMerge w:val="continue"/>
          </w:tcPr>
          <w:p>
            <w:pPr>
              <w:tabs>
                <w:tab w:val="left" w:pos="859"/>
              </w:tabs>
              <w:jc w:val="both"/>
              <w:rPr>
                <w:rFonts w:hint="eastAsia" w:eastAsia="宋体"/>
                <w:vertAlign w:val="baseline"/>
                <w:lang w:val="en-US" w:eastAsia="zh-CN"/>
              </w:rPr>
            </w:pPr>
          </w:p>
        </w:tc>
        <w:tc>
          <w:tcPr>
            <w:tcW w:w="990" w:type="dxa"/>
            <w:vMerge w:val="continue"/>
            <w:vAlign w:val="center"/>
          </w:tcPr>
          <w:p>
            <w:pPr>
              <w:pStyle w:val="11"/>
              <w:spacing w:line="240" w:lineRule="auto"/>
              <w:ind w:firstLine="300" w:firstLineChars="0"/>
              <w:jc w:val="left"/>
              <w:rPr>
                <w:rFonts w:hint="eastAsia" w:eastAsia="宋体"/>
                <w:vertAlign w:val="baseline"/>
                <w:lang w:val="en-US" w:eastAsia="zh-CN"/>
              </w:rPr>
            </w:pPr>
          </w:p>
        </w:tc>
        <w:tc>
          <w:tcPr>
            <w:tcW w:w="926" w:type="dxa"/>
            <w:vAlign w:val="center"/>
          </w:tcPr>
          <w:p>
            <w:pPr>
              <w:pStyle w:val="11"/>
              <w:spacing w:line="240" w:lineRule="auto"/>
              <w:ind w:firstLine="300" w:firstLineChars="0"/>
              <w:jc w:val="left"/>
              <w:rPr>
                <w:rFonts w:hint="eastAsia" w:eastAsia="宋体"/>
                <w:vertAlign w:val="baseline"/>
                <w:lang w:val="en-US" w:eastAsia="zh-CN"/>
              </w:rPr>
            </w:pPr>
            <w:r>
              <w:rPr>
                <w:sz w:val="17"/>
                <w:szCs w:val="17"/>
              </w:rPr>
              <w:t>小计</w:t>
            </w:r>
          </w:p>
        </w:tc>
        <w:tc>
          <w:tcPr>
            <w:tcW w:w="909" w:type="dxa"/>
            <w:vAlign w:val="center"/>
          </w:tcPr>
          <w:p>
            <w:pPr>
              <w:pStyle w:val="11"/>
              <w:spacing w:line="317" w:lineRule="exact"/>
              <w:ind w:firstLine="0" w:firstLineChars="0"/>
              <w:jc w:val="left"/>
              <w:rPr>
                <w:rFonts w:hint="eastAsia" w:eastAsia="宋体"/>
                <w:vertAlign w:val="baseline"/>
                <w:lang w:val="en-US" w:eastAsia="zh-CN"/>
              </w:rPr>
            </w:pPr>
            <w:r>
              <w:rPr>
                <w:sz w:val="17"/>
                <w:szCs w:val="17"/>
              </w:rPr>
              <w:t>一般公共预算</w:t>
            </w:r>
          </w:p>
        </w:tc>
        <w:tc>
          <w:tcPr>
            <w:tcW w:w="1161" w:type="dxa"/>
            <w:vAlign w:val="center"/>
          </w:tcPr>
          <w:p>
            <w:pPr>
              <w:pStyle w:val="11"/>
              <w:spacing w:line="317" w:lineRule="exact"/>
              <w:ind w:firstLine="0" w:firstLineChars="0"/>
              <w:jc w:val="left"/>
              <w:rPr>
                <w:rFonts w:hint="eastAsia" w:eastAsia="宋体"/>
                <w:vertAlign w:val="baseline"/>
                <w:lang w:val="en-US" w:eastAsia="zh-CN"/>
              </w:rPr>
            </w:pPr>
            <w:r>
              <w:rPr>
                <w:sz w:val="17"/>
                <w:szCs w:val="17"/>
              </w:rPr>
              <w:t>政府性基金预算</w:t>
            </w:r>
          </w:p>
        </w:tc>
        <w:tc>
          <w:tcPr>
            <w:tcW w:w="1031" w:type="dxa"/>
            <w:vAlign w:val="center"/>
          </w:tcPr>
          <w:p>
            <w:pPr>
              <w:pStyle w:val="11"/>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44" w:type="dxa"/>
          </w:tcPr>
          <w:p>
            <w:pPr>
              <w:pStyle w:val="11"/>
              <w:spacing w:line="312" w:lineRule="exact"/>
              <w:ind w:firstLine="0"/>
              <w:jc w:val="left"/>
              <w:rPr>
                <w:sz w:val="17"/>
                <w:szCs w:val="17"/>
              </w:rPr>
            </w:pPr>
            <w:r>
              <w:rPr>
                <w:sz w:val="17"/>
                <w:szCs w:val="17"/>
              </w:rPr>
              <w:t>财政专户管理资金</w:t>
            </w:r>
          </w:p>
          <w:p>
            <w:pPr>
              <w:pStyle w:val="11"/>
              <w:spacing w:line="312" w:lineRule="exact"/>
              <w:ind w:firstLine="0" w:firstLineChars="0"/>
              <w:jc w:val="left"/>
              <w:rPr>
                <w:rFonts w:hint="eastAsia" w:eastAsia="宋体"/>
                <w:vertAlign w:val="baseline"/>
                <w:lang w:val="en-US" w:eastAsia="zh-CN"/>
              </w:rPr>
            </w:pPr>
            <w:r>
              <w:rPr>
                <w:sz w:val="17"/>
                <w:szCs w:val="17"/>
              </w:rPr>
              <w:t>收入</w:t>
            </w:r>
          </w:p>
        </w:tc>
        <w:tc>
          <w:tcPr>
            <w:tcW w:w="856" w:type="dxa"/>
            <w:vAlign w:val="center"/>
          </w:tcPr>
          <w:p>
            <w:pPr>
              <w:pStyle w:val="11"/>
              <w:spacing w:line="240" w:lineRule="auto"/>
              <w:ind w:firstLine="0" w:firstLineChars="0"/>
              <w:jc w:val="left"/>
              <w:rPr>
                <w:rFonts w:hint="eastAsia" w:eastAsia="宋体"/>
                <w:vertAlign w:val="baseline"/>
                <w:lang w:val="en-US" w:eastAsia="zh-CN"/>
              </w:rPr>
            </w:pPr>
            <w:r>
              <w:rPr>
                <w:sz w:val="17"/>
                <w:szCs w:val="17"/>
              </w:rPr>
              <w:t>单位资金</w:t>
            </w:r>
          </w:p>
        </w:tc>
        <w:tc>
          <w:tcPr>
            <w:tcW w:w="1035" w:type="dxa"/>
            <w:vAlign w:val="center"/>
          </w:tcPr>
          <w:p>
            <w:pPr>
              <w:pStyle w:val="11"/>
              <w:spacing w:line="240" w:lineRule="auto"/>
              <w:ind w:firstLine="300" w:firstLineChars="0"/>
              <w:jc w:val="left"/>
              <w:rPr>
                <w:rFonts w:hint="eastAsia" w:eastAsia="宋体"/>
                <w:vertAlign w:val="baseline"/>
                <w:lang w:val="en-US" w:eastAsia="zh-CN"/>
              </w:rPr>
            </w:pPr>
            <w:r>
              <w:rPr>
                <w:sz w:val="17"/>
                <w:szCs w:val="17"/>
              </w:rPr>
              <w:t>小计</w:t>
            </w:r>
          </w:p>
        </w:tc>
        <w:tc>
          <w:tcPr>
            <w:tcW w:w="1011" w:type="dxa"/>
            <w:vAlign w:val="center"/>
          </w:tcPr>
          <w:p>
            <w:pPr>
              <w:pStyle w:val="11"/>
              <w:spacing w:line="317" w:lineRule="exact"/>
              <w:ind w:firstLine="0" w:firstLineChars="0"/>
              <w:jc w:val="left"/>
              <w:rPr>
                <w:rFonts w:hint="eastAsia" w:eastAsia="宋体"/>
                <w:vertAlign w:val="baseline"/>
                <w:lang w:val="en-US" w:eastAsia="zh-CN"/>
              </w:rPr>
            </w:pPr>
            <w:r>
              <w:rPr>
                <w:sz w:val="17"/>
                <w:szCs w:val="17"/>
              </w:rPr>
              <w:t>一般公共预算</w:t>
            </w:r>
          </w:p>
        </w:tc>
        <w:tc>
          <w:tcPr>
            <w:tcW w:w="859" w:type="dxa"/>
            <w:vAlign w:val="center"/>
          </w:tcPr>
          <w:p>
            <w:pPr>
              <w:pStyle w:val="11"/>
              <w:spacing w:line="317" w:lineRule="exact"/>
              <w:ind w:firstLine="0" w:firstLineChars="0"/>
              <w:jc w:val="left"/>
              <w:rPr>
                <w:rFonts w:hint="eastAsia" w:eastAsia="宋体"/>
                <w:vertAlign w:val="baseline"/>
                <w:lang w:val="en-US" w:eastAsia="zh-CN"/>
              </w:rPr>
            </w:pPr>
            <w:r>
              <w:rPr>
                <w:sz w:val="17"/>
                <w:szCs w:val="17"/>
              </w:rPr>
              <w:t>政府性基金预算</w:t>
            </w:r>
          </w:p>
        </w:tc>
        <w:tc>
          <w:tcPr>
            <w:tcW w:w="1094" w:type="dxa"/>
            <w:gridSpan w:val="2"/>
            <w:vAlign w:val="center"/>
          </w:tcPr>
          <w:p>
            <w:pPr>
              <w:pStyle w:val="11"/>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72" w:type="dxa"/>
          </w:tcPr>
          <w:p>
            <w:pPr>
              <w:pStyle w:val="11"/>
              <w:spacing w:line="312" w:lineRule="exact"/>
              <w:ind w:firstLine="0"/>
              <w:jc w:val="left"/>
              <w:rPr>
                <w:sz w:val="17"/>
                <w:szCs w:val="17"/>
              </w:rPr>
            </w:pPr>
            <w:r>
              <w:rPr>
                <w:sz w:val="17"/>
                <w:szCs w:val="17"/>
              </w:rPr>
              <w:t>财政专户管理资金</w:t>
            </w:r>
          </w:p>
          <w:p>
            <w:pPr>
              <w:pStyle w:val="11"/>
              <w:spacing w:line="312" w:lineRule="exact"/>
              <w:ind w:right="280" w:rightChars="0" w:firstLine="0" w:firstLineChars="0"/>
              <w:jc w:val="left"/>
              <w:rPr>
                <w:rFonts w:hint="eastAsia" w:eastAsia="宋体"/>
                <w:vertAlign w:val="baseline"/>
                <w:lang w:val="en-US" w:eastAsia="zh-CN"/>
              </w:rPr>
            </w:pPr>
            <w:r>
              <w:rPr>
                <w:sz w:val="17"/>
                <w:szCs w:val="17"/>
              </w:rPr>
              <w:t>收入</w:t>
            </w:r>
          </w:p>
        </w:tc>
        <w:tc>
          <w:tcPr>
            <w:tcW w:w="1054" w:type="dxa"/>
            <w:vAlign w:val="center"/>
          </w:tcPr>
          <w:p>
            <w:pPr>
              <w:pStyle w:val="11"/>
              <w:spacing w:line="240" w:lineRule="auto"/>
              <w:ind w:firstLine="140" w:firstLineChars="0"/>
              <w:jc w:val="left"/>
              <w:rPr>
                <w:rFonts w:hint="eastAsia" w:eastAsia="宋体"/>
                <w:vertAlign w:val="baseline"/>
                <w:lang w:val="en-US" w:eastAsia="zh-CN"/>
              </w:rPr>
            </w:pPr>
            <w:r>
              <w:rPr>
                <w:sz w:val="17"/>
                <w:szCs w:val="17"/>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pPr>
              <w:tabs>
                <w:tab w:val="left" w:pos="859"/>
              </w:tabs>
              <w:jc w:val="both"/>
              <w:rPr>
                <w:rFonts w:hint="eastAsia" w:eastAsia="宋体"/>
                <w:vertAlign w:val="baseline"/>
                <w:lang w:val="en-US" w:eastAsia="zh-CN"/>
              </w:rPr>
            </w:pPr>
          </w:p>
        </w:tc>
        <w:tc>
          <w:tcPr>
            <w:tcW w:w="1279" w:type="dxa"/>
          </w:tcPr>
          <w:p>
            <w:pPr>
              <w:tabs>
                <w:tab w:val="left" w:pos="859"/>
              </w:tabs>
              <w:jc w:val="both"/>
              <w:rPr>
                <w:rFonts w:hint="eastAsia" w:eastAsia="宋体"/>
                <w:vertAlign w:val="baseline"/>
                <w:lang w:val="en-US" w:eastAsia="zh-CN"/>
              </w:rPr>
            </w:pPr>
          </w:p>
        </w:tc>
        <w:tc>
          <w:tcPr>
            <w:tcW w:w="990" w:type="dxa"/>
            <w:vAlign w:val="center"/>
          </w:tcPr>
          <w:p>
            <w:pPr>
              <w:pStyle w:val="11"/>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w:t>
            </w:r>
          </w:p>
        </w:tc>
        <w:tc>
          <w:tcPr>
            <w:tcW w:w="926" w:type="dxa"/>
            <w:vAlign w:val="center"/>
          </w:tcPr>
          <w:p>
            <w:pPr>
              <w:pStyle w:val="11"/>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2</w:t>
            </w:r>
          </w:p>
        </w:tc>
        <w:tc>
          <w:tcPr>
            <w:tcW w:w="909" w:type="dxa"/>
            <w:vAlign w:val="center"/>
          </w:tcPr>
          <w:p>
            <w:pPr>
              <w:pStyle w:val="11"/>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3</w:t>
            </w:r>
          </w:p>
        </w:tc>
        <w:tc>
          <w:tcPr>
            <w:tcW w:w="1161" w:type="dxa"/>
            <w:vAlign w:val="center"/>
          </w:tcPr>
          <w:p>
            <w:pPr>
              <w:pStyle w:val="11"/>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4</w:t>
            </w:r>
          </w:p>
        </w:tc>
        <w:tc>
          <w:tcPr>
            <w:tcW w:w="1031" w:type="dxa"/>
            <w:vAlign w:val="center"/>
          </w:tcPr>
          <w:p>
            <w:pPr>
              <w:pStyle w:val="11"/>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5</w:t>
            </w:r>
          </w:p>
        </w:tc>
        <w:tc>
          <w:tcPr>
            <w:tcW w:w="844" w:type="dxa"/>
            <w:vAlign w:val="center"/>
          </w:tcPr>
          <w:p>
            <w:pPr>
              <w:pStyle w:val="11"/>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6</w:t>
            </w:r>
          </w:p>
        </w:tc>
        <w:tc>
          <w:tcPr>
            <w:tcW w:w="856" w:type="dxa"/>
            <w:vAlign w:val="center"/>
          </w:tcPr>
          <w:p>
            <w:pPr>
              <w:pStyle w:val="11"/>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7</w:t>
            </w:r>
          </w:p>
        </w:tc>
        <w:tc>
          <w:tcPr>
            <w:tcW w:w="1035" w:type="dxa"/>
            <w:vAlign w:val="center"/>
          </w:tcPr>
          <w:p>
            <w:pPr>
              <w:pStyle w:val="11"/>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8</w:t>
            </w:r>
          </w:p>
        </w:tc>
        <w:tc>
          <w:tcPr>
            <w:tcW w:w="1011" w:type="dxa"/>
            <w:vAlign w:val="center"/>
          </w:tcPr>
          <w:p>
            <w:pPr>
              <w:pStyle w:val="11"/>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9</w:t>
            </w:r>
          </w:p>
        </w:tc>
        <w:tc>
          <w:tcPr>
            <w:tcW w:w="859" w:type="dxa"/>
            <w:vAlign w:val="center"/>
          </w:tcPr>
          <w:p>
            <w:pPr>
              <w:pStyle w:val="11"/>
              <w:spacing w:line="240" w:lineRule="auto"/>
              <w:ind w:right="36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10</w:t>
            </w:r>
          </w:p>
        </w:tc>
        <w:tc>
          <w:tcPr>
            <w:tcW w:w="1094" w:type="dxa"/>
            <w:gridSpan w:val="2"/>
            <w:vAlign w:val="center"/>
          </w:tcPr>
          <w:p>
            <w:pPr>
              <w:pStyle w:val="11"/>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11</w:t>
            </w:r>
          </w:p>
        </w:tc>
        <w:tc>
          <w:tcPr>
            <w:tcW w:w="872" w:type="dxa"/>
            <w:vAlign w:val="center"/>
          </w:tcPr>
          <w:p>
            <w:pPr>
              <w:pStyle w:val="11"/>
              <w:spacing w:line="240" w:lineRule="auto"/>
              <w:ind w:right="38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12</w:t>
            </w:r>
          </w:p>
        </w:tc>
        <w:tc>
          <w:tcPr>
            <w:tcW w:w="1054" w:type="dxa"/>
            <w:vAlign w:val="center"/>
          </w:tcPr>
          <w:p>
            <w:pPr>
              <w:pStyle w:val="11"/>
              <w:spacing w:line="240" w:lineRule="auto"/>
              <w:ind w:right="42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11"/>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 xml:space="preserve"> </w:t>
            </w:r>
          </w:p>
        </w:tc>
        <w:tc>
          <w:tcPr>
            <w:tcW w:w="1279" w:type="dxa"/>
          </w:tcPr>
          <w:p>
            <w:pPr>
              <w:pStyle w:val="11"/>
              <w:spacing w:line="326" w:lineRule="exact"/>
              <w:ind w:firstLine="0" w:firstLineChars="0"/>
              <w:jc w:val="left"/>
              <w:rPr>
                <w:rFonts w:hint="eastAsia" w:eastAsia="宋体"/>
                <w:vertAlign w:val="baseline"/>
                <w:lang w:val="en-US" w:eastAsia="zh-CN"/>
              </w:rPr>
            </w:pPr>
            <w:r>
              <w:rPr>
                <w:rFonts w:hint="eastAsia"/>
                <w:sz w:val="17"/>
                <w:szCs w:val="17"/>
                <w:lang w:val="en-US" w:eastAsia="zh-CN"/>
              </w:rPr>
              <w:t>合计</w:t>
            </w:r>
          </w:p>
        </w:tc>
        <w:tc>
          <w:tcPr>
            <w:tcW w:w="990" w:type="dxa"/>
            <w:vAlign w:val="center"/>
          </w:tcPr>
          <w:p>
            <w:pPr>
              <w:pStyle w:val="11"/>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552.70</w:t>
            </w:r>
          </w:p>
        </w:tc>
        <w:tc>
          <w:tcPr>
            <w:tcW w:w="926" w:type="dxa"/>
            <w:vAlign w:val="center"/>
          </w:tcPr>
          <w:p>
            <w:pPr>
              <w:pStyle w:val="11"/>
              <w:spacing w:line="240" w:lineRule="auto"/>
              <w:ind w:firstLine="300" w:firstLineChars="0"/>
              <w:jc w:val="left"/>
              <w:rPr>
                <w:rFonts w:hint="eastAsia" w:eastAsia="宋体"/>
                <w:vertAlign w:val="baseline"/>
                <w:lang w:val="en-US" w:eastAsia="zh-CN"/>
              </w:rPr>
            </w:pPr>
            <w:r>
              <w:rPr>
                <w:rFonts w:hint="eastAsia"/>
                <w:sz w:val="17"/>
                <w:szCs w:val="17"/>
                <w:lang w:val="en-US" w:eastAsia="zh-CN"/>
              </w:rPr>
              <w:t>552.70</w:t>
            </w:r>
          </w:p>
        </w:tc>
        <w:tc>
          <w:tcPr>
            <w:tcW w:w="909" w:type="dxa"/>
            <w:vAlign w:val="center"/>
          </w:tcPr>
          <w:p>
            <w:pPr>
              <w:pStyle w:val="11"/>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552.70</w:t>
            </w:r>
          </w:p>
        </w:tc>
        <w:tc>
          <w:tcPr>
            <w:tcW w:w="1161" w:type="dxa"/>
            <w:vAlign w:val="center"/>
          </w:tcPr>
          <w:p>
            <w:pPr>
              <w:pStyle w:val="11"/>
              <w:spacing w:line="240" w:lineRule="auto"/>
              <w:ind w:firstLine="520" w:firstLineChars="0"/>
              <w:jc w:val="left"/>
              <w:rPr>
                <w:rFonts w:hint="eastAsia" w:eastAsia="宋体"/>
                <w:vertAlign w:val="baseline"/>
                <w:lang w:val="en-US" w:eastAsia="zh-CN"/>
              </w:rPr>
            </w:pPr>
            <w:r>
              <w:rPr>
                <w:rFonts w:hint="eastAsia"/>
                <w:sz w:val="17"/>
                <w:szCs w:val="17"/>
                <w:lang w:val="en-US" w:eastAsia="zh-CN"/>
              </w:rPr>
              <w:t>0.00</w:t>
            </w:r>
          </w:p>
        </w:tc>
        <w:tc>
          <w:tcPr>
            <w:tcW w:w="1031" w:type="dxa"/>
            <w:vAlign w:val="center"/>
          </w:tcPr>
          <w:p>
            <w:pPr>
              <w:pStyle w:val="11"/>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11"/>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11"/>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11"/>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11"/>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11"/>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11"/>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11"/>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11"/>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11"/>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705007</w:t>
            </w:r>
          </w:p>
        </w:tc>
        <w:tc>
          <w:tcPr>
            <w:tcW w:w="1279" w:type="dxa"/>
          </w:tcPr>
          <w:p>
            <w:pPr>
              <w:pStyle w:val="11"/>
              <w:spacing w:line="326" w:lineRule="exact"/>
              <w:ind w:firstLine="0" w:firstLineChars="0"/>
              <w:jc w:val="left"/>
              <w:rPr>
                <w:rFonts w:hint="eastAsia" w:eastAsia="宋体"/>
                <w:vertAlign w:val="baseline"/>
                <w:lang w:val="en-US" w:eastAsia="zh-CN"/>
              </w:rPr>
            </w:pPr>
          </w:p>
        </w:tc>
        <w:tc>
          <w:tcPr>
            <w:tcW w:w="990" w:type="dxa"/>
            <w:vAlign w:val="center"/>
          </w:tcPr>
          <w:p>
            <w:pPr>
              <w:pStyle w:val="11"/>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552.70</w:t>
            </w:r>
          </w:p>
        </w:tc>
        <w:tc>
          <w:tcPr>
            <w:tcW w:w="926" w:type="dxa"/>
            <w:vAlign w:val="center"/>
          </w:tcPr>
          <w:p>
            <w:pPr>
              <w:pStyle w:val="11"/>
              <w:spacing w:line="240" w:lineRule="auto"/>
              <w:ind w:firstLine="300" w:firstLineChars="0"/>
              <w:jc w:val="left"/>
              <w:rPr>
                <w:rFonts w:hint="eastAsia" w:eastAsia="宋体"/>
                <w:vertAlign w:val="baseline"/>
                <w:lang w:val="en-US" w:eastAsia="zh-CN"/>
              </w:rPr>
            </w:pPr>
            <w:r>
              <w:rPr>
                <w:rFonts w:hint="eastAsia"/>
                <w:sz w:val="17"/>
                <w:szCs w:val="17"/>
                <w:lang w:val="en-US" w:eastAsia="zh-CN"/>
              </w:rPr>
              <w:t>552.70</w:t>
            </w:r>
          </w:p>
        </w:tc>
        <w:tc>
          <w:tcPr>
            <w:tcW w:w="909" w:type="dxa"/>
            <w:vAlign w:val="center"/>
          </w:tcPr>
          <w:p>
            <w:pPr>
              <w:pStyle w:val="11"/>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552.70</w:t>
            </w:r>
          </w:p>
        </w:tc>
        <w:tc>
          <w:tcPr>
            <w:tcW w:w="1161" w:type="dxa"/>
            <w:vAlign w:val="center"/>
          </w:tcPr>
          <w:p>
            <w:pPr>
              <w:pStyle w:val="11"/>
              <w:spacing w:line="240" w:lineRule="auto"/>
              <w:ind w:firstLine="520" w:firstLineChars="0"/>
              <w:jc w:val="left"/>
              <w:rPr>
                <w:rFonts w:hint="eastAsia" w:eastAsia="宋体"/>
                <w:vertAlign w:val="baseline"/>
                <w:lang w:val="en-US" w:eastAsia="zh-CN"/>
              </w:rPr>
            </w:pPr>
            <w:r>
              <w:rPr>
                <w:rFonts w:hint="eastAsia"/>
                <w:sz w:val="17"/>
                <w:szCs w:val="17"/>
                <w:lang w:val="en-US" w:eastAsia="zh-CN"/>
              </w:rPr>
              <w:t>0.00</w:t>
            </w:r>
          </w:p>
        </w:tc>
        <w:tc>
          <w:tcPr>
            <w:tcW w:w="1031" w:type="dxa"/>
            <w:vAlign w:val="center"/>
          </w:tcPr>
          <w:p>
            <w:pPr>
              <w:pStyle w:val="11"/>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11"/>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11"/>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11"/>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11"/>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11"/>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11"/>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11"/>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11"/>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6"/>
            <w:tcBorders>
              <w:left w:val="nil"/>
              <w:bottom w:val="nil"/>
              <w:right w:val="nil"/>
            </w:tcBorders>
          </w:tcPr>
          <w:p>
            <w:pPr>
              <w:pStyle w:val="12"/>
              <w:jc w:val="left"/>
              <w:rPr>
                <w:rFonts w:hint="eastAsia" w:eastAsia="宋体"/>
                <w:vertAlign w:val="baseline"/>
                <w:lang w:val="en-US" w:eastAsia="zh-CN"/>
              </w:rPr>
            </w:pPr>
            <w:r>
              <w:t>注：本报表金额单位转换时可能存在四舍五入尾数误差。</w:t>
            </w:r>
          </w:p>
        </w:tc>
      </w:tr>
    </w:tbl>
    <w:p>
      <w:pPr>
        <w:tabs>
          <w:tab w:val="left" w:pos="859"/>
        </w:tabs>
        <w:jc w:val="both"/>
        <w:rPr>
          <w:rFonts w:hint="eastAsia" w:eastAsia="宋体"/>
          <w:lang w:val="en-US" w:eastAsia="zh-CN"/>
        </w:rPr>
      </w:pPr>
    </w:p>
    <w:p>
      <w:pPr>
        <w:tabs>
          <w:tab w:val="left" w:pos="859"/>
        </w:tabs>
        <w:jc w:val="center"/>
        <w:rPr>
          <w:rFonts w:hint="eastAsia" w:eastAsia="宋体"/>
          <w:lang w:val="en-US" w:eastAsia="zh-CN"/>
        </w:rPr>
      </w:pPr>
    </w:p>
    <w:p>
      <w:pPr>
        <w:tabs>
          <w:tab w:val="left" w:pos="859"/>
        </w:tabs>
        <w:jc w:val="both"/>
        <w:rPr>
          <w:rFonts w:hint="eastAsia" w:eastAsia="宋体"/>
          <w:lang w:val="en-US" w:eastAsia="zh-CN"/>
        </w:rPr>
      </w:pPr>
    </w:p>
    <w:p>
      <w:pPr>
        <w:spacing w:line="1" w:lineRule="exact"/>
        <w:jc w:val="left"/>
        <w:rPr>
          <w:lang w:eastAsia="zh-CN"/>
        </w:rPr>
        <w:sectPr>
          <w:headerReference r:id="rId8" w:type="default"/>
          <w:footerReference r:id="rId9" w:type="default"/>
          <w:pgSz w:w="16840" w:h="11900" w:orient="landscape"/>
          <w:pgMar w:top="2709" w:right="764" w:bottom="2709" w:left="735" w:header="2281" w:footer="3" w:gutter="0"/>
          <w:pgBorders>
            <w:top w:val="none" w:sz="0" w:space="0"/>
            <w:left w:val="none" w:sz="0" w:space="0"/>
            <w:bottom w:val="none" w:sz="0" w:space="0"/>
            <w:right w:val="none" w:sz="0" w:space="0"/>
          </w:pgBorders>
          <w:cols w:space="720" w:num="1"/>
          <w:docGrid w:linePitch="360" w:charSpace="0"/>
        </w:sectPr>
      </w:pPr>
    </w:p>
    <w:p>
      <w:pPr>
        <w:pStyle w:val="10"/>
        <w:keepNext/>
        <w:keepLines/>
        <w:spacing w:after="240"/>
        <w:jc w:val="center"/>
      </w:pPr>
      <w:bookmarkStart w:id="18" w:name="bookmark43"/>
      <w:bookmarkStart w:id="19" w:name="bookmark41"/>
      <w:bookmarkStart w:id="20" w:name="bookmark42"/>
      <w:r>
        <w:t>支出总体情况表</w:t>
      </w:r>
      <w:bookmarkEnd w:id="18"/>
      <w:bookmarkEnd w:id="19"/>
      <w:bookmarkEnd w:id="20"/>
    </w:p>
    <w:tbl>
      <w:tblPr>
        <w:tblStyle w:val="2"/>
        <w:tblW w:w="0" w:type="auto"/>
        <w:tblInd w:w="0" w:type="dxa"/>
        <w:tblLayout w:type="fixed"/>
        <w:tblCellMar>
          <w:top w:w="0" w:type="dxa"/>
          <w:left w:w="10" w:type="dxa"/>
          <w:bottom w:w="0" w:type="dxa"/>
          <w:right w:w="10" w:type="dxa"/>
        </w:tblCellMar>
      </w:tblPr>
      <w:tblGrid>
        <w:gridCol w:w="1843"/>
        <w:gridCol w:w="1934"/>
        <w:gridCol w:w="2390"/>
        <w:gridCol w:w="2280"/>
        <w:gridCol w:w="2299"/>
        <w:gridCol w:w="2222"/>
        <w:gridCol w:w="2371"/>
      </w:tblGrid>
      <w:tr>
        <w:tblPrEx>
          <w:tblCellMar>
            <w:top w:w="0" w:type="dxa"/>
            <w:left w:w="10" w:type="dxa"/>
            <w:bottom w:w="0" w:type="dxa"/>
            <w:right w:w="10" w:type="dxa"/>
          </w:tblCellMar>
        </w:tblPrEx>
        <w:trPr>
          <w:trHeight w:val="346" w:hRule="exact"/>
        </w:trPr>
        <w:tc>
          <w:tcPr>
            <w:tcW w:w="12968" w:type="dxa"/>
            <w:gridSpan w:val="6"/>
            <w:shd w:val="clear" w:color="auto" w:fill="FFFFFF"/>
          </w:tcPr>
          <w:p>
            <w:pPr>
              <w:pStyle w:val="11"/>
              <w:spacing w:line="240" w:lineRule="auto"/>
              <w:ind w:firstLine="0"/>
              <w:jc w:val="left"/>
              <w:rPr>
                <w:sz w:val="17"/>
                <w:szCs w:val="17"/>
              </w:rPr>
            </w:pPr>
            <w:r>
              <w:rPr>
                <w:sz w:val="17"/>
                <w:szCs w:val="17"/>
              </w:rPr>
              <w:t>单位名称：</w:t>
            </w:r>
            <w:r>
              <w:rPr>
                <w:rFonts w:hint="eastAsia"/>
                <w:sz w:val="17"/>
                <w:szCs w:val="17"/>
                <w:lang w:eastAsia="zh-CN"/>
              </w:rPr>
              <w:t>环江毛南族自治县川山镇村委</w:t>
            </w:r>
          </w:p>
        </w:tc>
        <w:tc>
          <w:tcPr>
            <w:tcW w:w="2371" w:type="dxa"/>
            <w:shd w:val="clear" w:color="auto" w:fill="FFFFFF"/>
          </w:tcPr>
          <w:p>
            <w:pPr>
              <w:pStyle w:val="11"/>
              <w:spacing w:line="240" w:lineRule="auto"/>
              <w:ind w:firstLine="1190" w:firstLineChars="700"/>
              <w:jc w:val="left"/>
              <w:rPr>
                <w:sz w:val="17"/>
                <w:szCs w:val="17"/>
              </w:rPr>
            </w:pPr>
            <w:r>
              <w:rPr>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0"/>
              <w:jc w:val="left"/>
              <w:rPr>
                <w:sz w:val="17"/>
                <w:szCs w:val="17"/>
              </w:rPr>
            </w:pPr>
            <w:r>
              <w:rPr>
                <w:sz w:val="17"/>
                <w:szCs w:val="17"/>
              </w:rPr>
              <w:t>科目编码</w:t>
            </w:r>
          </w:p>
        </w:tc>
        <w:tc>
          <w:tcPr>
            <w:tcW w:w="1934"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40"/>
              <w:jc w:val="left"/>
              <w:rPr>
                <w:sz w:val="17"/>
                <w:szCs w:val="17"/>
              </w:rPr>
            </w:pPr>
            <w:r>
              <w:rPr>
                <w:sz w:val="17"/>
                <w:szCs w:val="17"/>
              </w:rPr>
              <w:t>部门（单位）代码</w:t>
            </w:r>
          </w:p>
        </w:tc>
        <w:tc>
          <w:tcPr>
            <w:tcW w:w="2390" w:type="dxa"/>
            <w:tcBorders>
              <w:top w:val="single" w:color="auto" w:sz="4" w:space="0"/>
              <w:left w:val="single" w:color="auto" w:sz="4" w:space="0"/>
              <w:bottom w:val="single" w:color="auto" w:sz="4" w:space="0"/>
            </w:tcBorders>
            <w:shd w:val="clear" w:color="auto" w:fill="FFFFFF"/>
            <w:vAlign w:val="center"/>
          </w:tcPr>
          <w:p>
            <w:pPr>
              <w:pStyle w:val="11"/>
              <w:spacing w:after="120" w:line="240" w:lineRule="auto"/>
              <w:ind w:firstLine="0"/>
              <w:jc w:val="left"/>
              <w:rPr>
                <w:sz w:val="17"/>
                <w:szCs w:val="17"/>
              </w:rPr>
            </w:pPr>
            <w:r>
              <w:rPr>
                <w:sz w:val="17"/>
                <w:szCs w:val="17"/>
              </w:rPr>
              <w:t>部门（单位）名称</w:t>
            </w:r>
          </w:p>
          <w:p>
            <w:pPr>
              <w:pStyle w:val="11"/>
              <w:spacing w:line="240" w:lineRule="auto"/>
              <w:ind w:firstLine="0"/>
              <w:jc w:val="left"/>
              <w:rPr>
                <w:sz w:val="17"/>
                <w:szCs w:val="17"/>
              </w:rPr>
            </w:pPr>
            <w:r>
              <w:rPr>
                <w:sz w:val="17"/>
                <w:szCs w:val="17"/>
              </w:rPr>
              <w:t>（功能分类科目名称）</w:t>
            </w:r>
          </w:p>
        </w:tc>
        <w:tc>
          <w:tcPr>
            <w:tcW w:w="228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0"/>
              <w:jc w:val="left"/>
              <w:rPr>
                <w:sz w:val="17"/>
                <w:szCs w:val="17"/>
              </w:rPr>
            </w:pPr>
            <w:r>
              <w:rPr>
                <w:sz w:val="17"/>
                <w:szCs w:val="17"/>
              </w:rPr>
              <w:t>合计</w:t>
            </w:r>
          </w:p>
        </w:tc>
        <w:tc>
          <w:tcPr>
            <w:tcW w:w="2299"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0"/>
              <w:jc w:val="left"/>
              <w:rPr>
                <w:sz w:val="17"/>
                <w:szCs w:val="17"/>
              </w:rPr>
            </w:pPr>
            <w:r>
              <w:rPr>
                <w:sz w:val="17"/>
                <w:szCs w:val="17"/>
              </w:rPr>
              <w:t>基本支出</w:t>
            </w:r>
          </w:p>
        </w:tc>
        <w:tc>
          <w:tcPr>
            <w:tcW w:w="2222"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0"/>
              <w:jc w:val="left"/>
              <w:rPr>
                <w:sz w:val="17"/>
                <w:szCs w:val="17"/>
              </w:rPr>
            </w:pPr>
            <w:r>
              <w:rPr>
                <w:sz w:val="17"/>
                <w:szCs w:val="17"/>
              </w:rPr>
              <w:t>项目支出</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sz w:val="17"/>
                <w:szCs w:val="17"/>
              </w:rPr>
            </w:pPr>
            <w:r>
              <w:rPr>
                <w:sz w:val="17"/>
                <w:szCs w:val="17"/>
              </w:rPr>
              <w:t>结转下年支出</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合计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552.70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552.70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705007</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552.70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552.70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2130705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对村民委员会和村党支部的补助</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552.70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552.70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bl>
    <w:p>
      <w:pPr>
        <w:pStyle w:val="12"/>
        <w:ind w:left="672"/>
        <w:jc w:val="left"/>
      </w:pPr>
      <w:r>
        <w:t>注：本报表金额单位转换时可能存在四舍五入尾数误差。</w:t>
      </w:r>
      <w:r>
        <w:br w:type="page"/>
      </w:r>
    </w:p>
    <w:p>
      <w:pPr>
        <w:pStyle w:val="10"/>
        <w:keepNext/>
        <w:keepLines/>
        <w:spacing w:after="240"/>
        <w:jc w:val="center"/>
      </w:pPr>
      <w:bookmarkStart w:id="21" w:name="bookmark46"/>
      <w:bookmarkStart w:id="22" w:name="bookmark45"/>
      <w:bookmarkStart w:id="23" w:name="bookmark44"/>
      <w:r>
        <w:t>财政拨款收支总体情况表</w:t>
      </w:r>
      <w:bookmarkEnd w:id="21"/>
      <w:bookmarkEnd w:id="22"/>
      <w:bookmarkEnd w:id="23"/>
    </w:p>
    <w:tbl>
      <w:tblPr>
        <w:tblStyle w:val="2"/>
        <w:tblW w:w="0" w:type="auto"/>
        <w:tblInd w:w="0" w:type="dxa"/>
        <w:tblLayout w:type="fixed"/>
        <w:tblCellMar>
          <w:top w:w="0" w:type="dxa"/>
          <w:left w:w="10" w:type="dxa"/>
          <w:bottom w:w="0" w:type="dxa"/>
          <w:right w:w="10" w:type="dxa"/>
        </w:tblCellMar>
      </w:tblPr>
      <w:tblGrid>
        <w:gridCol w:w="2885"/>
        <w:gridCol w:w="955"/>
        <w:gridCol w:w="3830"/>
        <w:gridCol w:w="3826"/>
        <w:gridCol w:w="3845"/>
        <w:gridCol w:w="1"/>
      </w:tblGrid>
      <w:tr>
        <w:tblPrEx>
          <w:tblCellMar>
            <w:top w:w="0" w:type="dxa"/>
            <w:left w:w="10" w:type="dxa"/>
            <w:bottom w:w="0" w:type="dxa"/>
            <w:right w:w="10" w:type="dxa"/>
          </w:tblCellMar>
        </w:tblPrEx>
        <w:trPr>
          <w:gridAfter w:val="1"/>
          <w:wAfter w:w="1" w:type="dxa"/>
          <w:trHeight w:val="346" w:hRule="exact"/>
        </w:trPr>
        <w:tc>
          <w:tcPr>
            <w:tcW w:w="11496" w:type="dxa"/>
            <w:gridSpan w:val="4"/>
            <w:shd w:val="clear" w:color="auto" w:fill="FFFFFF"/>
          </w:tcPr>
          <w:p>
            <w:pPr>
              <w:pStyle w:val="11"/>
              <w:spacing w:line="240" w:lineRule="auto"/>
              <w:ind w:firstLine="0"/>
              <w:jc w:val="left"/>
              <w:rPr>
                <w:rFonts w:hint="default"/>
                <w:sz w:val="17"/>
                <w:szCs w:val="17"/>
                <w:lang w:val="en-US"/>
              </w:rPr>
            </w:pPr>
            <w:r>
              <w:rPr>
                <w:sz w:val="17"/>
                <w:szCs w:val="17"/>
              </w:rPr>
              <w:t>单位名称：</w:t>
            </w:r>
            <w:r>
              <w:rPr>
                <w:rFonts w:hint="eastAsia"/>
                <w:sz w:val="17"/>
                <w:szCs w:val="17"/>
                <w:lang w:eastAsia="zh-CN"/>
              </w:rPr>
              <w:t>环江毛南族自治县川山镇村委</w:t>
            </w:r>
            <w:r>
              <w:rPr>
                <w:rFonts w:hint="eastAsia"/>
                <w:sz w:val="17"/>
                <w:szCs w:val="17"/>
                <w:lang w:val="en-US" w:eastAsia="zh-CN"/>
              </w:rPr>
              <w:t xml:space="preserve">                         </w:t>
            </w:r>
          </w:p>
        </w:tc>
        <w:tc>
          <w:tcPr>
            <w:tcW w:w="3845" w:type="dxa"/>
            <w:shd w:val="clear" w:color="auto" w:fill="FFFFFF"/>
          </w:tcPr>
          <w:p>
            <w:pPr>
              <w:pStyle w:val="11"/>
              <w:spacing w:line="240" w:lineRule="auto"/>
              <w:jc w:val="left"/>
              <w:rPr>
                <w:sz w:val="17"/>
                <w:szCs w:val="17"/>
              </w:rPr>
            </w:pPr>
            <w:r>
              <w:rPr>
                <w:sz w:val="17"/>
                <w:szCs w:val="17"/>
              </w:rPr>
              <w:t>单位：万元</w:t>
            </w:r>
          </w:p>
        </w:tc>
      </w:tr>
      <w:tr>
        <w:tblPrEx>
          <w:tblCellMar>
            <w:top w:w="0" w:type="dxa"/>
            <w:left w:w="10" w:type="dxa"/>
            <w:bottom w:w="0" w:type="dxa"/>
            <w:right w:w="10" w:type="dxa"/>
          </w:tblCellMar>
        </w:tblPrEx>
        <w:trPr>
          <w:gridAfter w:val="1"/>
          <w:wAfter w:w="1" w:type="dxa"/>
          <w:trHeight w:val="437" w:hRule="exact"/>
        </w:trPr>
        <w:tc>
          <w:tcPr>
            <w:tcW w:w="2885" w:type="dxa"/>
            <w:tcBorders>
              <w:top w:val="single" w:color="auto" w:sz="4" w:space="0"/>
              <w:left w:val="single" w:color="auto" w:sz="4" w:space="0"/>
            </w:tcBorders>
            <w:shd w:val="clear" w:color="auto" w:fill="FFFFFF"/>
          </w:tcPr>
          <w:p>
            <w:pPr>
              <w:jc w:val="left"/>
              <w:rPr>
                <w:sz w:val="10"/>
                <w:szCs w:val="10"/>
              </w:rPr>
            </w:pPr>
          </w:p>
        </w:tc>
        <w:tc>
          <w:tcPr>
            <w:tcW w:w="955" w:type="dxa"/>
            <w:tcBorders>
              <w:top w:val="single" w:color="auto" w:sz="4" w:space="0"/>
            </w:tcBorders>
            <w:shd w:val="clear" w:color="auto" w:fill="FFFFFF"/>
            <w:vAlign w:val="center"/>
          </w:tcPr>
          <w:p>
            <w:pPr>
              <w:pStyle w:val="11"/>
              <w:spacing w:line="240" w:lineRule="auto"/>
              <w:ind w:firstLine="0"/>
              <w:jc w:val="left"/>
              <w:rPr>
                <w:sz w:val="17"/>
                <w:szCs w:val="17"/>
              </w:rPr>
            </w:pPr>
            <w:r>
              <w:rPr>
                <w:sz w:val="17"/>
                <w:szCs w:val="17"/>
              </w:rPr>
              <w:t>收</w:t>
            </w:r>
          </w:p>
        </w:tc>
        <w:tc>
          <w:tcPr>
            <w:tcW w:w="3830" w:type="dxa"/>
            <w:tcBorders>
              <w:top w:val="single" w:color="auto" w:sz="4" w:space="0"/>
            </w:tcBorders>
            <w:shd w:val="clear" w:color="auto" w:fill="FFFFFF"/>
            <w:vAlign w:val="center"/>
          </w:tcPr>
          <w:p>
            <w:pPr>
              <w:pStyle w:val="11"/>
              <w:spacing w:line="240" w:lineRule="auto"/>
              <w:ind w:firstLine="340"/>
              <w:jc w:val="left"/>
              <w:rPr>
                <w:sz w:val="17"/>
                <w:szCs w:val="17"/>
              </w:rPr>
            </w:pPr>
            <w:r>
              <w:rPr>
                <w:sz w:val="17"/>
                <w:szCs w:val="17"/>
              </w:rPr>
              <w:t>入</w:t>
            </w:r>
          </w:p>
        </w:tc>
        <w:tc>
          <w:tcPr>
            <w:tcW w:w="3826" w:type="dxa"/>
            <w:tcBorders>
              <w:top w:val="single" w:color="auto" w:sz="4" w:space="0"/>
              <w:left w:val="single" w:color="auto" w:sz="4" w:space="0"/>
            </w:tcBorders>
            <w:shd w:val="clear" w:color="auto" w:fill="FFFFFF"/>
            <w:vAlign w:val="center"/>
          </w:tcPr>
          <w:p>
            <w:pPr>
              <w:pStyle w:val="11"/>
              <w:spacing w:line="240" w:lineRule="auto"/>
              <w:ind w:right="340" w:firstLine="2720" w:firstLineChars="1600"/>
              <w:jc w:val="left"/>
              <w:rPr>
                <w:sz w:val="17"/>
                <w:szCs w:val="17"/>
              </w:rPr>
            </w:pPr>
            <w:r>
              <w:rPr>
                <w:sz w:val="17"/>
                <w:szCs w:val="17"/>
              </w:rPr>
              <w:t>支</w:t>
            </w:r>
          </w:p>
        </w:tc>
        <w:tc>
          <w:tcPr>
            <w:tcW w:w="3845" w:type="dxa"/>
            <w:tcBorders>
              <w:top w:val="single" w:color="auto" w:sz="4" w:space="0"/>
              <w:right w:val="single" w:color="auto" w:sz="4" w:space="0"/>
            </w:tcBorders>
            <w:shd w:val="clear" w:color="auto" w:fill="FFFFFF"/>
            <w:vAlign w:val="center"/>
          </w:tcPr>
          <w:p>
            <w:pPr>
              <w:pStyle w:val="11"/>
              <w:spacing w:line="240" w:lineRule="auto"/>
              <w:ind w:firstLine="935" w:firstLineChars="550"/>
              <w:jc w:val="left"/>
              <w:rPr>
                <w:sz w:val="17"/>
                <w:szCs w:val="17"/>
              </w:rPr>
            </w:pPr>
            <w:r>
              <w:rPr>
                <w:sz w:val="17"/>
                <w:szCs w:val="17"/>
              </w:rPr>
              <w:t>出</w:t>
            </w:r>
          </w:p>
        </w:tc>
      </w:tr>
      <w:tr>
        <w:tblPrEx>
          <w:tblCellMar>
            <w:top w:w="0" w:type="dxa"/>
            <w:left w:w="10" w:type="dxa"/>
            <w:bottom w:w="0" w:type="dxa"/>
            <w:right w:w="10" w:type="dxa"/>
          </w:tblCellMar>
        </w:tblPrEx>
        <w:trPr>
          <w:gridAfter w:val="1"/>
          <w:wAfter w:w="1" w:type="dxa"/>
          <w:trHeight w:val="451" w:hRule="exact"/>
        </w:trPr>
        <w:tc>
          <w:tcPr>
            <w:tcW w:w="3840" w:type="dxa"/>
            <w:gridSpan w:val="2"/>
            <w:tcBorders>
              <w:top w:val="single" w:color="auto" w:sz="4" w:space="0"/>
              <w:left w:val="single" w:color="auto" w:sz="4" w:space="0"/>
            </w:tcBorders>
            <w:shd w:val="clear" w:color="auto" w:fill="FFFFFF"/>
            <w:vAlign w:val="center"/>
          </w:tcPr>
          <w:p>
            <w:pPr>
              <w:pStyle w:val="11"/>
              <w:spacing w:line="240" w:lineRule="auto"/>
              <w:ind w:firstLine="0"/>
              <w:jc w:val="center"/>
              <w:rPr>
                <w:sz w:val="17"/>
                <w:szCs w:val="17"/>
              </w:rPr>
            </w:pPr>
            <w:r>
              <w:rPr>
                <w:sz w:val="17"/>
                <w:szCs w:val="17"/>
              </w:rPr>
              <w:t>项目</w:t>
            </w:r>
          </w:p>
        </w:tc>
        <w:tc>
          <w:tcPr>
            <w:tcW w:w="3830" w:type="dxa"/>
            <w:tcBorders>
              <w:top w:val="single" w:color="auto" w:sz="4" w:space="0"/>
              <w:left w:val="single" w:color="auto" w:sz="4" w:space="0"/>
            </w:tcBorders>
            <w:shd w:val="clear" w:color="auto" w:fill="FFFFFF"/>
            <w:vAlign w:val="center"/>
          </w:tcPr>
          <w:p>
            <w:pPr>
              <w:pStyle w:val="11"/>
              <w:spacing w:line="240" w:lineRule="auto"/>
              <w:ind w:firstLine="0"/>
              <w:jc w:val="center"/>
              <w:rPr>
                <w:sz w:val="17"/>
                <w:szCs w:val="17"/>
              </w:rPr>
            </w:pPr>
            <w:r>
              <w:rPr>
                <w:sz w:val="17"/>
                <w:szCs w:val="17"/>
              </w:rPr>
              <w:t>预算数</w:t>
            </w:r>
          </w:p>
        </w:tc>
        <w:tc>
          <w:tcPr>
            <w:tcW w:w="3826" w:type="dxa"/>
            <w:tcBorders>
              <w:top w:val="single" w:color="auto" w:sz="4" w:space="0"/>
              <w:left w:val="single" w:color="auto" w:sz="4" w:space="0"/>
            </w:tcBorders>
            <w:shd w:val="clear" w:color="auto" w:fill="FFFFFF"/>
            <w:vAlign w:val="center"/>
          </w:tcPr>
          <w:p>
            <w:pPr>
              <w:pStyle w:val="11"/>
              <w:tabs>
                <w:tab w:val="left" w:pos="1034"/>
              </w:tabs>
              <w:spacing w:line="240" w:lineRule="auto"/>
              <w:ind w:firstLine="540"/>
              <w:jc w:val="center"/>
              <w:rPr>
                <w:sz w:val="17"/>
                <w:szCs w:val="17"/>
              </w:rPr>
            </w:pPr>
            <w:r>
              <w:rPr>
                <w:sz w:val="17"/>
                <w:szCs w:val="17"/>
              </w:rPr>
              <w:t>项</w:t>
            </w:r>
            <w:r>
              <w:rPr>
                <w:sz w:val="17"/>
                <w:szCs w:val="17"/>
              </w:rPr>
              <w:tab/>
            </w:r>
            <w:r>
              <w:rPr>
                <w:sz w:val="17"/>
                <w:szCs w:val="17"/>
              </w:rPr>
              <w:t>目（按支出功能科目分类）</w:t>
            </w:r>
          </w:p>
        </w:tc>
        <w:tc>
          <w:tcPr>
            <w:tcW w:w="3845" w:type="dxa"/>
            <w:tcBorders>
              <w:top w:val="single" w:color="auto" w:sz="4" w:space="0"/>
              <w:left w:val="single" w:color="auto" w:sz="4" w:space="0"/>
              <w:right w:val="single" w:color="auto" w:sz="4" w:space="0"/>
            </w:tcBorders>
            <w:shd w:val="clear" w:color="auto" w:fill="FFFFFF"/>
            <w:vAlign w:val="center"/>
          </w:tcPr>
          <w:p>
            <w:pPr>
              <w:pStyle w:val="11"/>
              <w:spacing w:line="240" w:lineRule="auto"/>
              <w:ind w:firstLine="0"/>
              <w:jc w:val="center"/>
              <w:rPr>
                <w:sz w:val="17"/>
                <w:szCs w:val="17"/>
              </w:rPr>
            </w:pPr>
            <w:r>
              <w:rPr>
                <w:sz w:val="17"/>
                <w:szCs w:val="17"/>
              </w:rPr>
              <w:t>预算数</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一、一般公共预算拨款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552.70</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一、一般公共服务支出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二、外交支出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552.70</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三、国防支出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二、政府性基金预算拨款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四、公共安全支出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五、教育支出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六、科学技术支出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三、国有资本经营预算拨款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七、文化旅游体育与传媒支出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八、社会保障和就业支出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九、卫生健康支出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十、节能环保支出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十一、城乡社区支出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十二、农林水支出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552.70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十三、交通运输支出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十四、资源勘探工业信息等支出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十五、商业服务业等支出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十六、金融支出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十七、援助其他地区支出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十八、自然资源海洋气象等支出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十九、住房保障支出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二十、粮油物资储备支出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二十一、国有资本经营预算支出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二十二、灾害防治及应急管理支出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二十三、其他支出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二十四、债务还本支出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二十五、债务付息支出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二十六、债务发行费用支出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本年收入合计</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552.70</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本年支出合计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552.70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上年结转结余</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结转下年支出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收入总计</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552.70</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支出总计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552.70</w:t>
            </w:r>
          </w:p>
        </w:tc>
      </w:tr>
      <w:tr>
        <w:tblPrEx>
          <w:tblCellMar>
            <w:top w:w="0" w:type="dxa"/>
            <w:left w:w="10" w:type="dxa"/>
            <w:bottom w:w="0" w:type="dxa"/>
            <w:right w:w="10" w:type="dxa"/>
          </w:tblCellMar>
        </w:tblPrEx>
        <w:trPr>
          <w:trHeight w:val="352" w:hRule="exact"/>
        </w:trPr>
        <w:tc>
          <w:tcPr>
            <w:tcW w:w="15342" w:type="dxa"/>
            <w:gridSpan w:val="6"/>
            <w:tcBorders>
              <w:top w:val="single" w:color="auto" w:sz="4" w:space="0"/>
            </w:tcBorders>
            <w:shd w:val="clear" w:color="auto" w:fill="FFFFFF"/>
          </w:tcPr>
          <w:p>
            <w:pPr>
              <w:jc w:val="left"/>
              <w:rPr>
                <w:sz w:val="10"/>
                <w:szCs w:val="10"/>
                <w:lang w:eastAsia="zh-CN"/>
              </w:rPr>
            </w:pPr>
            <w:r>
              <w:rPr>
                <w:sz w:val="17"/>
                <w:szCs w:val="17"/>
              </w:rPr>
              <w:t>注：表中功能分类科目，根据各部门实际预算编制情况编列。</w:t>
            </w:r>
          </w:p>
        </w:tc>
      </w:tr>
      <w:tr>
        <w:tblPrEx>
          <w:tblCellMar>
            <w:top w:w="0" w:type="dxa"/>
            <w:left w:w="10" w:type="dxa"/>
            <w:bottom w:w="0" w:type="dxa"/>
            <w:right w:w="10" w:type="dxa"/>
          </w:tblCellMar>
        </w:tblPrEx>
        <w:trPr>
          <w:trHeight w:val="274" w:hRule="exact"/>
        </w:trPr>
        <w:tc>
          <w:tcPr>
            <w:tcW w:w="15342" w:type="dxa"/>
            <w:gridSpan w:val="6"/>
            <w:shd w:val="clear" w:color="auto" w:fill="FFFFFF"/>
            <w:vAlign w:val="bottom"/>
          </w:tcPr>
          <w:p>
            <w:pPr>
              <w:jc w:val="left"/>
              <w:rPr>
                <w:sz w:val="10"/>
                <w:szCs w:val="10"/>
                <w:lang w:eastAsia="zh-CN"/>
              </w:rPr>
            </w:pPr>
            <w:r>
              <w:rPr>
                <w:sz w:val="17"/>
                <w:szCs w:val="17"/>
              </w:rPr>
              <w:t>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一般公共预算支出情况表</w:t>
      </w:r>
    </w:p>
    <w:p>
      <w:pPr>
        <w:jc w:val="center"/>
        <w:rPr>
          <w:rFonts w:hint="eastAsia"/>
          <w:lang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3"/>
        <w:gridCol w:w="1600"/>
        <w:gridCol w:w="1574"/>
        <w:gridCol w:w="1744"/>
        <w:gridCol w:w="2050"/>
        <w:gridCol w:w="1804"/>
        <w:gridCol w:w="1712"/>
        <w:gridCol w:w="71"/>
        <w:gridCol w:w="1677"/>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6" w:type="dxa"/>
            <w:gridSpan w:val="7"/>
            <w:tcBorders>
              <w:top w:val="nil"/>
              <w:left w:val="nil"/>
              <w:right w:val="nil"/>
            </w:tcBorders>
          </w:tcPr>
          <w:p>
            <w:pPr>
              <w:jc w:val="left"/>
              <w:rPr>
                <w:rFonts w:hint="eastAsia"/>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环江毛南族自治县川山镇村委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restart"/>
          </w:tcPr>
          <w:p>
            <w:pPr>
              <w:jc w:val="center"/>
              <w:rPr>
                <w:rFonts w:hint="eastAsia"/>
                <w:vertAlign w:val="baseline"/>
                <w:lang w:eastAsia="zh-CN"/>
              </w:rPr>
            </w:pPr>
            <w:r>
              <w:rPr>
                <w:sz w:val="17"/>
                <w:szCs w:val="17"/>
              </w:rPr>
              <w:t>科目编码</w:t>
            </w:r>
          </w:p>
        </w:tc>
        <w:tc>
          <w:tcPr>
            <w:tcW w:w="1676" w:type="dxa"/>
            <w:vMerge w:val="restart"/>
          </w:tcPr>
          <w:p>
            <w:pPr>
              <w:jc w:val="center"/>
              <w:rPr>
                <w:rFonts w:hint="eastAsia"/>
                <w:vertAlign w:val="baseline"/>
                <w:lang w:eastAsia="zh-CN"/>
              </w:rPr>
            </w:pPr>
            <w:r>
              <w:rPr>
                <w:sz w:val="17"/>
                <w:szCs w:val="17"/>
              </w:rPr>
              <w:t>部门（单位）代码</w:t>
            </w:r>
          </w:p>
        </w:tc>
        <w:tc>
          <w:tcPr>
            <w:tcW w:w="1662" w:type="dxa"/>
            <w:vMerge w:val="restart"/>
          </w:tcPr>
          <w:p>
            <w:pPr>
              <w:pStyle w:val="11"/>
              <w:spacing w:after="120" w:line="240" w:lineRule="auto"/>
              <w:ind w:firstLine="0"/>
              <w:jc w:val="center"/>
              <w:rPr>
                <w:sz w:val="17"/>
                <w:szCs w:val="17"/>
              </w:rPr>
            </w:pPr>
            <w:r>
              <w:rPr>
                <w:sz w:val="17"/>
                <w:szCs w:val="17"/>
              </w:rPr>
              <w:t>部门（单位）名称</w:t>
            </w:r>
          </w:p>
          <w:p>
            <w:pPr>
              <w:jc w:val="center"/>
              <w:rPr>
                <w:rFonts w:hint="eastAsia"/>
                <w:vertAlign w:val="baseline"/>
                <w:lang w:eastAsia="zh-CN"/>
              </w:rPr>
            </w:pPr>
            <w:r>
              <w:rPr>
                <w:sz w:val="17"/>
                <w:szCs w:val="17"/>
              </w:rPr>
              <w:t>（功能分类科目名称）</w:t>
            </w:r>
          </w:p>
        </w:tc>
        <w:tc>
          <w:tcPr>
            <w:tcW w:w="1717" w:type="dxa"/>
            <w:vMerge w:val="restart"/>
          </w:tcPr>
          <w:p>
            <w:pPr>
              <w:jc w:val="center"/>
              <w:rPr>
                <w:rFonts w:hint="eastAsia"/>
                <w:vertAlign w:val="baseline"/>
                <w:lang w:eastAsia="zh-CN"/>
              </w:rPr>
            </w:pPr>
            <w:r>
              <w:rPr>
                <w:sz w:val="17"/>
                <w:szCs w:val="17"/>
              </w:rPr>
              <w:t>合计</w:t>
            </w:r>
          </w:p>
        </w:tc>
        <w:tc>
          <w:tcPr>
            <w:tcW w:w="5398" w:type="dxa"/>
            <w:gridSpan w:val="4"/>
          </w:tcPr>
          <w:p>
            <w:pPr>
              <w:jc w:val="center"/>
              <w:rPr>
                <w:rFonts w:hint="eastAsia"/>
                <w:vertAlign w:val="baseline"/>
                <w:lang w:eastAsia="zh-CN"/>
              </w:rPr>
            </w:pPr>
            <w:r>
              <w:rPr>
                <w:sz w:val="17"/>
                <w:szCs w:val="17"/>
              </w:rPr>
              <w:t>基本支出</w:t>
            </w:r>
          </w:p>
        </w:tc>
        <w:tc>
          <w:tcPr>
            <w:tcW w:w="1694" w:type="dxa"/>
            <w:vMerge w:val="restart"/>
          </w:tcPr>
          <w:p>
            <w:pPr>
              <w:jc w:val="center"/>
              <w:rPr>
                <w:rFonts w:hint="eastAsia"/>
                <w:vertAlign w:val="baseline"/>
                <w:lang w:eastAsia="zh-CN"/>
              </w:rPr>
            </w:pPr>
            <w:r>
              <w:rPr>
                <w:sz w:val="17"/>
                <w:szCs w:val="17"/>
              </w:rPr>
              <w:t>项目支出</w:t>
            </w:r>
          </w:p>
        </w:tc>
        <w:tc>
          <w:tcPr>
            <w:tcW w:w="1695" w:type="dxa"/>
            <w:vMerge w:val="restart"/>
          </w:tcPr>
          <w:p>
            <w:pPr>
              <w:jc w:val="center"/>
              <w:rPr>
                <w:rFonts w:hint="eastAsia"/>
                <w:vertAlign w:val="baseline"/>
                <w:lang w:eastAsia="zh-CN"/>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continue"/>
          </w:tcPr>
          <w:p>
            <w:pPr>
              <w:jc w:val="center"/>
              <w:rPr>
                <w:rFonts w:hint="eastAsia"/>
                <w:vertAlign w:val="baseline"/>
                <w:lang w:eastAsia="zh-CN"/>
              </w:rPr>
            </w:pPr>
          </w:p>
        </w:tc>
        <w:tc>
          <w:tcPr>
            <w:tcW w:w="1676" w:type="dxa"/>
            <w:vMerge w:val="continue"/>
          </w:tcPr>
          <w:p>
            <w:pPr>
              <w:jc w:val="center"/>
              <w:rPr>
                <w:rFonts w:hint="eastAsia"/>
                <w:vertAlign w:val="baseline"/>
                <w:lang w:eastAsia="zh-CN"/>
              </w:rPr>
            </w:pPr>
          </w:p>
        </w:tc>
        <w:tc>
          <w:tcPr>
            <w:tcW w:w="1662" w:type="dxa"/>
            <w:vMerge w:val="continue"/>
          </w:tcPr>
          <w:p>
            <w:pPr>
              <w:jc w:val="center"/>
              <w:rPr>
                <w:rFonts w:hint="eastAsia"/>
                <w:vertAlign w:val="baseline"/>
                <w:lang w:eastAsia="zh-CN"/>
              </w:rPr>
            </w:pPr>
          </w:p>
        </w:tc>
        <w:tc>
          <w:tcPr>
            <w:tcW w:w="1717" w:type="dxa"/>
            <w:vMerge w:val="continue"/>
          </w:tcPr>
          <w:p>
            <w:pPr>
              <w:jc w:val="center"/>
              <w:rPr>
                <w:rFonts w:hint="eastAsia"/>
                <w:vertAlign w:val="baseline"/>
                <w:lang w:eastAsia="zh-CN"/>
              </w:rPr>
            </w:pPr>
          </w:p>
        </w:tc>
        <w:tc>
          <w:tcPr>
            <w:tcW w:w="1879" w:type="dxa"/>
            <w:vAlign w:val="center"/>
          </w:tcPr>
          <w:p>
            <w:pPr>
              <w:pStyle w:val="11"/>
              <w:spacing w:line="240" w:lineRule="auto"/>
              <w:ind w:firstLine="0" w:firstLineChars="0"/>
              <w:jc w:val="center"/>
              <w:rPr>
                <w:rFonts w:hint="eastAsia"/>
                <w:vertAlign w:val="baseline"/>
                <w:lang w:eastAsia="zh-CN"/>
              </w:rPr>
            </w:pPr>
            <w:r>
              <w:rPr>
                <w:sz w:val="17"/>
                <w:szCs w:val="17"/>
              </w:rPr>
              <w:t>小计</w:t>
            </w:r>
          </w:p>
        </w:tc>
        <w:tc>
          <w:tcPr>
            <w:tcW w:w="1729" w:type="dxa"/>
            <w:vAlign w:val="center"/>
          </w:tcPr>
          <w:p>
            <w:pPr>
              <w:pStyle w:val="11"/>
              <w:spacing w:line="240" w:lineRule="auto"/>
              <w:ind w:firstLine="0" w:firstLineChars="0"/>
              <w:jc w:val="center"/>
              <w:rPr>
                <w:rFonts w:hint="eastAsia"/>
                <w:vertAlign w:val="baseline"/>
                <w:lang w:eastAsia="zh-CN"/>
              </w:rPr>
            </w:pPr>
            <w:r>
              <w:rPr>
                <w:sz w:val="17"/>
                <w:szCs w:val="17"/>
              </w:rPr>
              <w:t>人员经费</w:t>
            </w:r>
          </w:p>
        </w:tc>
        <w:tc>
          <w:tcPr>
            <w:tcW w:w="1790" w:type="dxa"/>
            <w:gridSpan w:val="2"/>
            <w:vAlign w:val="center"/>
          </w:tcPr>
          <w:p>
            <w:pPr>
              <w:pStyle w:val="11"/>
              <w:spacing w:line="240" w:lineRule="auto"/>
              <w:ind w:firstLine="440" w:firstLineChars="0"/>
              <w:jc w:val="center"/>
              <w:rPr>
                <w:rFonts w:hint="eastAsia"/>
                <w:vertAlign w:val="baseline"/>
                <w:lang w:eastAsia="zh-CN"/>
              </w:rPr>
            </w:pPr>
            <w:r>
              <w:rPr>
                <w:sz w:val="17"/>
                <w:szCs w:val="17"/>
              </w:rPr>
              <w:t>公用经费</w:t>
            </w:r>
          </w:p>
        </w:tc>
        <w:tc>
          <w:tcPr>
            <w:tcW w:w="1694" w:type="dxa"/>
            <w:vMerge w:val="continue"/>
          </w:tcPr>
          <w:p>
            <w:pPr>
              <w:jc w:val="center"/>
              <w:rPr>
                <w:rFonts w:hint="eastAsia"/>
                <w:vertAlign w:val="baseline"/>
                <w:lang w:eastAsia="zh-CN"/>
              </w:rPr>
            </w:pPr>
          </w:p>
        </w:tc>
        <w:tc>
          <w:tcPr>
            <w:tcW w:w="1695" w:type="dxa"/>
            <w:vMerge w:val="continue"/>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11"/>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1</w:t>
            </w:r>
          </w:p>
        </w:tc>
        <w:tc>
          <w:tcPr>
            <w:tcW w:w="1879" w:type="dxa"/>
            <w:vAlign w:val="center"/>
          </w:tcPr>
          <w:p>
            <w:pPr>
              <w:pStyle w:val="11"/>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2</w:t>
            </w:r>
          </w:p>
        </w:tc>
        <w:tc>
          <w:tcPr>
            <w:tcW w:w="1729" w:type="dxa"/>
            <w:vAlign w:val="center"/>
          </w:tcPr>
          <w:p>
            <w:pPr>
              <w:pStyle w:val="11"/>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3</w:t>
            </w:r>
          </w:p>
        </w:tc>
        <w:tc>
          <w:tcPr>
            <w:tcW w:w="1790" w:type="dxa"/>
            <w:gridSpan w:val="2"/>
            <w:vAlign w:val="center"/>
          </w:tcPr>
          <w:p>
            <w:pPr>
              <w:pStyle w:val="11"/>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4</w:t>
            </w:r>
          </w:p>
        </w:tc>
        <w:tc>
          <w:tcPr>
            <w:tcW w:w="1694" w:type="dxa"/>
            <w:vAlign w:val="center"/>
          </w:tcPr>
          <w:p>
            <w:pPr>
              <w:pStyle w:val="11"/>
              <w:spacing w:line="240" w:lineRule="auto"/>
              <w:ind w:firstLine="660" w:firstLineChars="0"/>
              <w:jc w:val="center"/>
              <w:rPr>
                <w:rFonts w:hint="eastAsia"/>
                <w:vertAlign w:val="baseline"/>
                <w:lang w:eastAsia="zh-CN"/>
              </w:rPr>
            </w:pPr>
            <w:r>
              <w:rPr>
                <w:rFonts w:ascii="Times New Roman" w:hAnsi="Times New Roman" w:eastAsia="Times New Roman" w:cs="Times New Roman"/>
                <w:b/>
                <w:bCs/>
                <w:sz w:val="17"/>
                <w:szCs w:val="17"/>
              </w:rPr>
              <w:t>5</w:t>
            </w:r>
          </w:p>
        </w:tc>
        <w:tc>
          <w:tcPr>
            <w:tcW w:w="1695" w:type="dxa"/>
            <w:vAlign w:val="center"/>
          </w:tcPr>
          <w:p>
            <w:pPr>
              <w:pStyle w:val="11"/>
              <w:spacing w:line="240" w:lineRule="auto"/>
              <w:ind w:right="700" w:rightChars="0" w:firstLine="0" w:firstLineChars="0"/>
              <w:jc w:val="center"/>
              <w:rPr>
                <w:rFonts w:hint="eastAsia"/>
                <w:vertAlign w:val="baseline"/>
                <w:lang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1"/>
              <w:spacing w:line="240" w:lineRule="auto"/>
              <w:ind w:firstLine="0" w:firstLineChars="0"/>
              <w:jc w:val="center"/>
              <w:rPr>
                <w:rFonts w:hint="eastAsia"/>
                <w:vertAlign w:val="baseline"/>
                <w:lang w:eastAsia="zh-CN"/>
              </w:rPr>
            </w:pPr>
          </w:p>
        </w:tc>
        <w:tc>
          <w:tcPr>
            <w:tcW w:w="1676" w:type="dxa"/>
            <w:vAlign w:val="center"/>
          </w:tcPr>
          <w:p>
            <w:pPr>
              <w:pStyle w:val="11"/>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705007</w:t>
            </w:r>
          </w:p>
        </w:tc>
        <w:tc>
          <w:tcPr>
            <w:tcW w:w="1662" w:type="dxa"/>
            <w:vAlign w:val="center"/>
          </w:tcPr>
          <w:p>
            <w:pPr>
              <w:pStyle w:val="11"/>
              <w:spacing w:line="240" w:lineRule="auto"/>
              <w:ind w:firstLine="0" w:firstLineChars="0"/>
              <w:jc w:val="center"/>
              <w:rPr>
                <w:rFonts w:hint="eastAsia"/>
                <w:vertAlign w:val="baseline"/>
                <w:lang w:eastAsia="zh-CN"/>
              </w:rPr>
            </w:pPr>
          </w:p>
        </w:tc>
        <w:tc>
          <w:tcPr>
            <w:tcW w:w="1717" w:type="dxa"/>
            <w:vAlign w:val="center"/>
          </w:tcPr>
          <w:p>
            <w:pPr>
              <w:pStyle w:val="11"/>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552.70</w:t>
            </w:r>
          </w:p>
        </w:tc>
        <w:tc>
          <w:tcPr>
            <w:tcW w:w="1879" w:type="dxa"/>
            <w:vAlign w:val="center"/>
          </w:tcPr>
          <w:p>
            <w:pPr>
              <w:pStyle w:val="11"/>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552.70</w:t>
            </w:r>
          </w:p>
        </w:tc>
        <w:tc>
          <w:tcPr>
            <w:tcW w:w="1729" w:type="dxa"/>
            <w:vAlign w:val="center"/>
          </w:tcPr>
          <w:p>
            <w:pPr>
              <w:pStyle w:val="11"/>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493.20</w:t>
            </w:r>
          </w:p>
        </w:tc>
        <w:tc>
          <w:tcPr>
            <w:tcW w:w="1790" w:type="dxa"/>
            <w:gridSpan w:val="2"/>
            <w:vAlign w:val="center"/>
          </w:tcPr>
          <w:p>
            <w:pPr>
              <w:pStyle w:val="11"/>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59.50</w:t>
            </w:r>
          </w:p>
        </w:tc>
        <w:tc>
          <w:tcPr>
            <w:tcW w:w="1694" w:type="dxa"/>
            <w:vAlign w:val="center"/>
          </w:tcPr>
          <w:p>
            <w:pPr>
              <w:pStyle w:val="11"/>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1"/>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1"/>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2130705</w:t>
            </w:r>
          </w:p>
        </w:tc>
        <w:tc>
          <w:tcPr>
            <w:tcW w:w="1676" w:type="dxa"/>
            <w:vAlign w:val="center"/>
          </w:tcPr>
          <w:p>
            <w:pPr>
              <w:pStyle w:val="11"/>
              <w:spacing w:line="240" w:lineRule="auto"/>
              <w:ind w:firstLine="0" w:firstLineChars="0"/>
              <w:jc w:val="center"/>
              <w:rPr>
                <w:rFonts w:hint="eastAsia"/>
                <w:vertAlign w:val="baseline"/>
                <w:lang w:eastAsia="zh-CN"/>
              </w:rPr>
            </w:pPr>
          </w:p>
        </w:tc>
        <w:tc>
          <w:tcPr>
            <w:tcW w:w="1662" w:type="dxa"/>
            <w:vAlign w:val="center"/>
          </w:tcPr>
          <w:p>
            <w:pPr>
              <w:pStyle w:val="11"/>
              <w:spacing w:line="240" w:lineRule="auto"/>
              <w:ind w:firstLine="0" w:firstLineChars="0"/>
              <w:jc w:val="center"/>
              <w:rPr>
                <w:rFonts w:hint="eastAsia"/>
                <w:vertAlign w:val="baseline"/>
                <w:lang w:eastAsia="zh-CN"/>
              </w:rPr>
            </w:pPr>
            <w:r>
              <w:rPr>
                <w:rFonts w:hint="eastAsia"/>
                <w:sz w:val="17"/>
                <w:szCs w:val="17"/>
                <w:lang w:val="en-US" w:eastAsia="zh-CN"/>
              </w:rPr>
              <w:t>对村民委员会和村党支部的补助</w:t>
            </w:r>
          </w:p>
        </w:tc>
        <w:tc>
          <w:tcPr>
            <w:tcW w:w="1717" w:type="dxa"/>
            <w:vAlign w:val="center"/>
          </w:tcPr>
          <w:p>
            <w:pPr>
              <w:pStyle w:val="11"/>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552.70</w:t>
            </w:r>
          </w:p>
        </w:tc>
        <w:tc>
          <w:tcPr>
            <w:tcW w:w="1879" w:type="dxa"/>
            <w:vAlign w:val="center"/>
          </w:tcPr>
          <w:p>
            <w:pPr>
              <w:pStyle w:val="11"/>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552.70</w:t>
            </w:r>
          </w:p>
        </w:tc>
        <w:tc>
          <w:tcPr>
            <w:tcW w:w="1729" w:type="dxa"/>
            <w:vAlign w:val="center"/>
          </w:tcPr>
          <w:p>
            <w:pPr>
              <w:pStyle w:val="11"/>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493.20</w:t>
            </w:r>
          </w:p>
        </w:tc>
        <w:tc>
          <w:tcPr>
            <w:tcW w:w="1790" w:type="dxa"/>
            <w:gridSpan w:val="2"/>
            <w:vAlign w:val="center"/>
          </w:tcPr>
          <w:p>
            <w:pPr>
              <w:pStyle w:val="11"/>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59.50</w:t>
            </w:r>
          </w:p>
        </w:tc>
        <w:tc>
          <w:tcPr>
            <w:tcW w:w="1694" w:type="dxa"/>
            <w:vAlign w:val="center"/>
          </w:tcPr>
          <w:p>
            <w:pPr>
              <w:pStyle w:val="11"/>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1"/>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0"/>
            <w:tcBorders>
              <w:left w:val="nil"/>
              <w:bottom w:val="nil"/>
              <w:right w:val="nil"/>
            </w:tcBorders>
          </w:tcPr>
          <w:p>
            <w:pPr>
              <w:jc w:val="left"/>
              <w:rPr>
                <w:rFonts w:hint="eastAsia"/>
                <w:vertAlign w:val="baseline"/>
                <w:lang w:eastAsia="zh-CN"/>
              </w:rPr>
            </w:pPr>
            <w:r>
              <w:rPr>
                <w:sz w:val="16"/>
                <w:szCs w:val="16"/>
              </w:rPr>
              <w:t>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10"/>
        <w:keepNext/>
        <w:keepLines/>
        <w:spacing w:after="240"/>
        <w:jc w:val="center"/>
      </w:pPr>
      <w:bookmarkStart w:id="24" w:name="bookmark57"/>
      <w:bookmarkStart w:id="25" w:name="bookmark56"/>
      <w:bookmarkStart w:id="26" w:name="bookmark58"/>
      <w:r>
        <w:t>一般公共预算基本支出情况表</w:t>
      </w:r>
      <w:bookmarkEnd w:id="24"/>
      <w:bookmarkEnd w:id="25"/>
      <w:bookmarkEnd w:id="26"/>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0"/>
        <w:gridCol w:w="3111"/>
        <w:gridCol w:w="3111"/>
        <w:gridCol w:w="3112"/>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4" w:type="dxa"/>
            <w:gridSpan w:val="4"/>
            <w:tcBorders>
              <w:top w:val="nil"/>
              <w:left w:val="nil"/>
              <w:right w:val="nil"/>
            </w:tcBorders>
          </w:tcPr>
          <w:p>
            <w:pPr>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环江毛南族自治县川山镇村委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221" w:type="dxa"/>
            <w:gridSpan w:val="2"/>
          </w:tcPr>
          <w:p>
            <w:pPr>
              <w:jc w:val="left"/>
              <w:rPr>
                <w:vertAlign w:val="baseline"/>
                <w:lang w:eastAsia="zh-CN"/>
              </w:rPr>
            </w:pPr>
            <w:r>
              <w:rPr>
                <w:sz w:val="17"/>
                <w:szCs w:val="17"/>
              </w:rPr>
              <w:t>部门预算支出经济分类科目</w:t>
            </w:r>
          </w:p>
        </w:tc>
        <w:tc>
          <w:tcPr>
            <w:tcW w:w="9336" w:type="dxa"/>
            <w:gridSpan w:val="3"/>
          </w:tcPr>
          <w:p>
            <w:pPr>
              <w:jc w:val="left"/>
              <w:rPr>
                <w:vertAlign w:val="baseline"/>
                <w:lang w:eastAsia="zh-CN"/>
              </w:rPr>
            </w:pPr>
            <w:r>
              <w:rPr>
                <w:sz w:val="17"/>
                <w:szCs w:val="17"/>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10" w:type="dxa"/>
            <w:vAlign w:val="center"/>
          </w:tcPr>
          <w:p>
            <w:pPr>
              <w:pStyle w:val="11"/>
              <w:spacing w:line="240" w:lineRule="auto"/>
              <w:ind w:firstLine="0" w:firstLineChars="0"/>
              <w:jc w:val="center"/>
              <w:rPr>
                <w:vertAlign w:val="baseline"/>
                <w:lang w:eastAsia="zh-CN"/>
              </w:rPr>
            </w:pPr>
            <w:r>
              <w:rPr>
                <w:sz w:val="17"/>
                <w:szCs w:val="17"/>
              </w:rPr>
              <w:t>科目编码</w:t>
            </w:r>
          </w:p>
        </w:tc>
        <w:tc>
          <w:tcPr>
            <w:tcW w:w="3111" w:type="dxa"/>
            <w:vAlign w:val="center"/>
          </w:tcPr>
          <w:p>
            <w:pPr>
              <w:pStyle w:val="11"/>
              <w:spacing w:line="240" w:lineRule="auto"/>
              <w:ind w:firstLine="0" w:firstLineChars="0"/>
              <w:jc w:val="center"/>
              <w:rPr>
                <w:vertAlign w:val="baseline"/>
                <w:lang w:eastAsia="zh-CN"/>
              </w:rPr>
            </w:pPr>
            <w:r>
              <w:rPr>
                <w:sz w:val="17"/>
                <w:szCs w:val="17"/>
              </w:rPr>
              <w:t>科目名称</w:t>
            </w:r>
          </w:p>
        </w:tc>
        <w:tc>
          <w:tcPr>
            <w:tcW w:w="3111" w:type="dxa"/>
            <w:vAlign w:val="center"/>
          </w:tcPr>
          <w:p>
            <w:pPr>
              <w:pStyle w:val="11"/>
              <w:spacing w:line="240" w:lineRule="auto"/>
              <w:ind w:firstLine="0" w:firstLineChars="0"/>
              <w:jc w:val="center"/>
              <w:rPr>
                <w:vertAlign w:val="baseline"/>
                <w:lang w:eastAsia="zh-CN"/>
              </w:rPr>
            </w:pPr>
            <w:r>
              <w:rPr>
                <w:sz w:val="17"/>
                <w:szCs w:val="17"/>
              </w:rPr>
              <w:t>合计</w:t>
            </w:r>
          </w:p>
        </w:tc>
        <w:tc>
          <w:tcPr>
            <w:tcW w:w="3112" w:type="dxa"/>
            <w:vAlign w:val="center"/>
          </w:tcPr>
          <w:p>
            <w:pPr>
              <w:pStyle w:val="11"/>
              <w:spacing w:line="240" w:lineRule="auto"/>
              <w:ind w:firstLine="0" w:firstLineChars="0"/>
              <w:jc w:val="center"/>
              <w:rPr>
                <w:vertAlign w:val="baseline"/>
                <w:lang w:eastAsia="zh-CN"/>
              </w:rPr>
            </w:pPr>
            <w:r>
              <w:rPr>
                <w:sz w:val="17"/>
                <w:szCs w:val="17"/>
              </w:rPr>
              <w:t>人员经费</w:t>
            </w:r>
          </w:p>
        </w:tc>
        <w:tc>
          <w:tcPr>
            <w:tcW w:w="3113" w:type="dxa"/>
            <w:vAlign w:val="center"/>
          </w:tcPr>
          <w:p>
            <w:pPr>
              <w:pStyle w:val="11"/>
              <w:spacing w:line="240" w:lineRule="auto"/>
              <w:ind w:firstLine="0" w:firstLineChars="0"/>
              <w:jc w:val="center"/>
              <w:rPr>
                <w:vertAlign w:val="baseline"/>
                <w:lang w:eastAsia="zh-CN"/>
              </w:rPr>
            </w:pPr>
            <w:r>
              <w:rPr>
                <w:sz w:val="17"/>
                <w:szCs w:val="17"/>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 xml:space="preserve"> </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合计</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552.70</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493.20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商品和服务支出</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59.50</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30201</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办公费</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15.00</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30206</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电费</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3.00</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30211</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差旅费</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20.00</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30213</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维修（护）费</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8.00</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30299</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其他商品和服务支出</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13.50</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对个人和家庭的补助</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493.20</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493.20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30305</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生活补助</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493.20</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493.20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10"/>
        <w:keepNext/>
        <w:keepLines/>
        <w:spacing w:after="240"/>
        <w:jc w:val="center"/>
        <w:rPr>
          <w:rFonts w:hint="default"/>
          <w:sz w:val="28"/>
          <w:szCs w:val="28"/>
          <w:lang w:val="en-US" w:eastAsia="zh-CN"/>
        </w:rPr>
      </w:pPr>
      <w:bookmarkStart w:id="27" w:name="bookmark66"/>
      <w:bookmarkStart w:id="28" w:name="bookmark67"/>
      <w:bookmarkStart w:id="29" w:name="bookmark65"/>
      <w:r>
        <w:rPr>
          <w:rFonts w:hint="default"/>
          <w:sz w:val="28"/>
          <w:szCs w:val="28"/>
          <w:lang w:val="en-US" w:eastAsia="zh-CN"/>
        </w:rPr>
        <w:t>一般公共预算“三公”经费预算表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1918"/>
        <w:gridCol w:w="1884"/>
        <w:gridCol w:w="1895"/>
        <w:gridCol w:w="1888"/>
        <w:gridCol w:w="1890"/>
        <w:gridCol w:w="1895"/>
        <w:gridCol w:w="2"/>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6" w:type="dxa"/>
            <w:gridSpan w:val="7"/>
            <w:tcBorders>
              <w:top w:val="nil"/>
              <w:left w:val="nil"/>
              <w:right w:val="nil"/>
            </w:tcBorders>
          </w:tcPr>
          <w:p>
            <w:pPr>
              <w:pStyle w:val="12"/>
              <w:bidi w:val="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环江毛南族自治县川山镇村委                                           </w:t>
            </w:r>
            <w:r>
              <w:rPr>
                <w:rFonts w:hint="eastAsia"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1891" w:type="dxa"/>
            <w:gridSpan w:val="2"/>
            <w:tcBorders>
              <w:top w:val="nil"/>
              <w:left w:val="nil"/>
              <w:right w:val="nil"/>
            </w:tcBorders>
          </w:tcPr>
          <w:p>
            <w:pPr>
              <w:pStyle w:val="12"/>
              <w:bidi w:val="0"/>
              <w:ind w:firstLine="480" w:firstLineChars="30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restart"/>
          </w:tcPr>
          <w:p>
            <w:pPr>
              <w:pStyle w:val="12"/>
              <w:bidi w:val="0"/>
              <w:jc w:val="center"/>
              <w:rPr>
                <w:rFonts w:hint="eastAsia"/>
                <w:vertAlign w:val="baseline"/>
                <w:lang w:val="en-US" w:eastAsia="zh-CN"/>
              </w:rPr>
            </w:pPr>
            <w:r>
              <w:rPr>
                <w:sz w:val="17"/>
                <w:szCs w:val="17"/>
              </w:rPr>
              <w:t>门（单位）代码</w:t>
            </w:r>
          </w:p>
        </w:tc>
        <w:tc>
          <w:tcPr>
            <w:tcW w:w="1918" w:type="dxa"/>
            <w:vMerge w:val="restart"/>
          </w:tcPr>
          <w:p>
            <w:pPr>
              <w:pStyle w:val="12"/>
              <w:bidi w:val="0"/>
              <w:jc w:val="center"/>
              <w:rPr>
                <w:rFonts w:hint="eastAsia"/>
                <w:vertAlign w:val="baseline"/>
                <w:lang w:val="en-US" w:eastAsia="zh-CN"/>
              </w:rPr>
            </w:pPr>
            <w:r>
              <w:rPr>
                <w:sz w:val="17"/>
                <w:szCs w:val="17"/>
              </w:rPr>
              <w:t>部门（单位）名称</w:t>
            </w:r>
          </w:p>
        </w:tc>
        <w:tc>
          <w:tcPr>
            <w:tcW w:w="11343" w:type="dxa"/>
            <w:gridSpan w:val="7"/>
          </w:tcPr>
          <w:p>
            <w:pPr>
              <w:pStyle w:val="12"/>
              <w:bidi w:val="0"/>
              <w:jc w:val="center"/>
              <w:rPr>
                <w:rFonts w:hint="eastAsia"/>
                <w:vertAlign w:val="baseline"/>
                <w:lang w:val="en-US" w:eastAsia="zh-CN"/>
              </w:rPr>
            </w:pPr>
            <w:r>
              <w:rPr>
                <w:sz w:val="17"/>
                <w:szCs w:val="17"/>
                <w:lang w:val="zh-CN" w:eastAsia="zh-CN" w:bidi="zh-CN"/>
              </w:rPr>
              <w:t>“三</w:t>
            </w:r>
            <w:r>
              <w:rPr>
                <w:sz w:val="17"/>
                <w:szCs w:val="17"/>
              </w:rPr>
              <w:t>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12"/>
              <w:bidi w:val="0"/>
              <w:jc w:val="center"/>
              <w:rPr>
                <w:rFonts w:hint="eastAsia"/>
                <w:vertAlign w:val="baseline"/>
                <w:lang w:val="en-US" w:eastAsia="zh-CN"/>
              </w:rPr>
            </w:pPr>
          </w:p>
        </w:tc>
        <w:tc>
          <w:tcPr>
            <w:tcW w:w="1918" w:type="dxa"/>
            <w:vMerge w:val="continue"/>
          </w:tcPr>
          <w:p>
            <w:pPr>
              <w:pStyle w:val="12"/>
              <w:bidi w:val="0"/>
              <w:jc w:val="center"/>
              <w:rPr>
                <w:rFonts w:hint="eastAsia"/>
                <w:vertAlign w:val="baseline"/>
                <w:lang w:val="en-US" w:eastAsia="zh-CN"/>
              </w:rPr>
            </w:pPr>
          </w:p>
        </w:tc>
        <w:tc>
          <w:tcPr>
            <w:tcW w:w="1884" w:type="dxa"/>
            <w:vMerge w:val="restart"/>
          </w:tcPr>
          <w:p>
            <w:pPr>
              <w:pStyle w:val="12"/>
              <w:bidi w:val="0"/>
              <w:jc w:val="center"/>
              <w:rPr>
                <w:rFonts w:hint="eastAsia"/>
                <w:vertAlign w:val="baseline"/>
                <w:lang w:val="en-US" w:eastAsia="zh-CN"/>
              </w:rPr>
            </w:pPr>
            <w:r>
              <w:rPr>
                <w:sz w:val="17"/>
                <w:szCs w:val="17"/>
              </w:rPr>
              <w:t>合计</w:t>
            </w:r>
          </w:p>
        </w:tc>
        <w:tc>
          <w:tcPr>
            <w:tcW w:w="1895" w:type="dxa"/>
            <w:vMerge w:val="restart"/>
          </w:tcPr>
          <w:p>
            <w:pPr>
              <w:pStyle w:val="12"/>
              <w:bidi w:val="0"/>
              <w:jc w:val="center"/>
              <w:rPr>
                <w:rFonts w:hint="eastAsia"/>
                <w:vertAlign w:val="baseline"/>
                <w:lang w:val="en-US" w:eastAsia="zh-CN"/>
              </w:rPr>
            </w:pPr>
            <w:r>
              <w:rPr>
                <w:sz w:val="17"/>
                <w:szCs w:val="17"/>
              </w:rPr>
              <w:t>因公出国（境）费</w:t>
            </w:r>
          </w:p>
        </w:tc>
        <w:tc>
          <w:tcPr>
            <w:tcW w:w="5675" w:type="dxa"/>
            <w:gridSpan w:val="4"/>
          </w:tcPr>
          <w:p>
            <w:pPr>
              <w:pStyle w:val="12"/>
              <w:bidi w:val="0"/>
              <w:jc w:val="center"/>
              <w:rPr>
                <w:rFonts w:hint="eastAsia"/>
                <w:vertAlign w:val="baseline"/>
                <w:lang w:val="en-US" w:eastAsia="zh-CN"/>
              </w:rPr>
            </w:pPr>
            <w:r>
              <w:rPr>
                <w:sz w:val="17"/>
                <w:szCs w:val="17"/>
              </w:rPr>
              <w:t>公务用车购置及运行维护费</w:t>
            </w:r>
          </w:p>
        </w:tc>
        <w:tc>
          <w:tcPr>
            <w:tcW w:w="1889" w:type="dxa"/>
            <w:vMerge w:val="restart"/>
          </w:tcPr>
          <w:p>
            <w:pPr>
              <w:pStyle w:val="12"/>
              <w:bidi w:val="0"/>
              <w:jc w:val="center"/>
              <w:rPr>
                <w:rFonts w:hint="eastAsia"/>
                <w:vertAlign w:val="baseline"/>
                <w:lang w:val="en-US" w:eastAsia="zh-CN"/>
              </w:rPr>
            </w:pPr>
            <w:r>
              <w:rPr>
                <w:sz w:val="17"/>
                <w:szCs w:val="17"/>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12"/>
              <w:bidi w:val="0"/>
              <w:jc w:val="center"/>
              <w:rPr>
                <w:rFonts w:hint="eastAsia"/>
                <w:vertAlign w:val="baseline"/>
                <w:lang w:val="en-US" w:eastAsia="zh-CN"/>
              </w:rPr>
            </w:pPr>
          </w:p>
        </w:tc>
        <w:tc>
          <w:tcPr>
            <w:tcW w:w="1918" w:type="dxa"/>
            <w:vMerge w:val="continue"/>
          </w:tcPr>
          <w:p>
            <w:pPr>
              <w:pStyle w:val="12"/>
              <w:bidi w:val="0"/>
              <w:jc w:val="center"/>
              <w:rPr>
                <w:rFonts w:hint="eastAsia"/>
                <w:vertAlign w:val="baseline"/>
                <w:lang w:val="en-US" w:eastAsia="zh-CN"/>
              </w:rPr>
            </w:pPr>
          </w:p>
        </w:tc>
        <w:tc>
          <w:tcPr>
            <w:tcW w:w="1884" w:type="dxa"/>
            <w:vMerge w:val="continue"/>
          </w:tcPr>
          <w:p>
            <w:pPr>
              <w:pStyle w:val="12"/>
              <w:bidi w:val="0"/>
              <w:jc w:val="center"/>
              <w:rPr>
                <w:rFonts w:hint="eastAsia"/>
                <w:vertAlign w:val="baseline"/>
                <w:lang w:val="en-US" w:eastAsia="zh-CN"/>
              </w:rPr>
            </w:pPr>
          </w:p>
        </w:tc>
        <w:tc>
          <w:tcPr>
            <w:tcW w:w="1895" w:type="dxa"/>
            <w:vMerge w:val="continue"/>
          </w:tcPr>
          <w:p>
            <w:pPr>
              <w:pStyle w:val="12"/>
              <w:bidi w:val="0"/>
              <w:jc w:val="center"/>
              <w:rPr>
                <w:rFonts w:hint="eastAsia"/>
                <w:vertAlign w:val="baseline"/>
                <w:lang w:val="en-US" w:eastAsia="zh-CN"/>
              </w:rPr>
            </w:pPr>
          </w:p>
        </w:tc>
        <w:tc>
          <w:tcPr>
            <w:tcW w:w="1888" w:type="dxa"/>
            <w:vAlign w:val="center"/>
          </w:tcPr>
          <w:p>
            <w:pPr>
              <w:pStyle w:val="11"/>
              <w:spacing w:line="240" w:lineRule="auto"/>
              <w:ind w:firstLine="0" w:firstLineChars="0"/>
              <w:jc w:val="center"/>
              <w:rPr>
                <w:rFonts w:hint="eastAsia"/>
                <w:vertAlign w:val="baseline"/>
                <w:lang w:val="en-US" w:eastAsia="zh-CN"/>
              </w:rPr>
            </w:pPr>
            <w:r>
              <w:rPr>
                <w:sz w:val="17"/>
                <w:szCs w:val="17"/>
              </w:rPr>
              <w:t>小计</w:t>
            </w:r>
          </w:p>
        </w:tc>
        <w:tc>
          <w:tcPr>
            <w:tcW w:w="1890" w:type="dxa"/>
            <w:vAlign w:val="center"/>
          </w:tcPr>
          <w:p>
            <w:pPr>
              <w:pStyle w:val="11"/>
              <w:spacing w:line="240" w:lineRule="auto"/>
              <w:ind w:firstLine="220" w:firstLineChars="0"/>
              <w:jc w:val="center"/>
              <w:rPr>
                <w:rFonts w:hint="eastAsia"/>
                <w:vertAlign w:val="baseline"/>
                <w:lang w:val="en-US" w:eastAsia="zh-CN"/>
              </w:rPr>
            </w:pPr>
            <w:r>
              <w:rPr>
                <w:sz w:val="17"/>
                <w:szCs w:val="17"/>
              </w:rPr>
              <w:t>公务用车运行维护费</w:t>
            </w:r>
          </w:p>
        </w:tc>
        <w:tc>
          <w:tcPr>
            <w:tcW w:w="1897" w:type="dxa"/>
            <w:gridSpan w:val="2"/>
            <w:vAlign w:val="center"/>
          </w:tcPr>
          <w:p>
            <w:pPr>
              <w:pStyle w:val="11"/>
              <w:spacing w:line="240" w:lineRule="auto"/>
              <w:ind w:firstLine="400" w:firstLineChars="0"/>
              <w:jc w:val="center"/>
              <w:rPr>
                <w:rFonts w:hint="eastAsia"/>
                <w:vertAlign w:val="baseline"/>
                <w:lang w:val="en-US" w:eastAsia="zh-CN"/>
              </w:rPr>
            </w:pPr>
            <w:r>
              <w:rPr>
                <w:sz w:val="17"/>
                <w:szCs w:val="17"/>
              </w:rPr>
              <w:t>公务用车购置费</w:t>
            </w:r>
          </w:p>
        </w:tc>
        <w:tc>
          <w:tcPr>
            <w:tcW w:w="1889" w:type="dxa"/>
            <w:vMerge w:val="continue"/>
          </w:tcPr>
          <w:p>
            <w:pPr>
              <w:pStyle w:val="12"/>
              <w:bidi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11"/>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1</w:t>
            </w:r>
          </w:p>
        </w:tc>
        <w:tc>
          <w:tcPr>
            <w:tcW w:w="1895" w:type="dxa"/>
            <w:vAlign w:val="center"/>
          </w:tcPr>
          <w:p>
            <w:pPr>
              <w:pStyle w:val="11"/>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2</w:t>
            </w:r>
          </w:p>
        </w:tc>
        <w:tc>
          <w:tcPr>
            <w:tcW w:w="1888" w:type="dxa"/>
            <w:vAlign w:val="center"/>
          </w:tcPr>
          <w:p>
            <w:pPr>
              <w:pStyle w:val="11"/>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3</w:t>
            </w:r>
          </w:p>
        </w:tc>
        <w:tc>
          <w:tcPr>
            <w:tcW w:w="1890" w:type="dxa"/>
            <w:vAlign w:val="center"/>
          </w:tcPr>
          <w:p>
            <w:pPr>
              <w:pStyle w:val="11"/>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4</w:t>
            </w:r>
          </w:p>
        </w:tc>
        <w:tc>
          <w:tcPr>
            <w:tcW w:w="1897" w:type="dxa"/>
            <w:gridSpan w:val="2"/>
            <w:vAlign w:val="center"/>
          </w:tcPr>
          <w:p>
            <w:pPr>
              <w:pStyle w:val="11"/>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5</w:t>
            </w:r>
          </w:p>
        </w:tc>
        <w:tc>
          <w:tcPr>
            <w:tcW w:w="1889" w:type="dxa"/>
            <w:vAlign w:val="center"/>
          </w:tcPr>
          <w:p>
            <w:pPr>
              <w:pStyle w:val="11"/>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pStyle w:val="11"/>
              <w:spacing w:line="240" w:lineRule="auto"/>
              <w:ind w:firstLine="0" w:firstLineChars="0"/>
              <w:jc w:val="left"/>
              <w:rPr>
                <w:rFonts w:hint="eastAsia"/>
                <w:vertAlign w:val="baseline"/>
                <w:lang w:val="en-US" w:eastAsia="zh-CN"/>
              </w:rPr>
            </w:pPr>
            <w:r>
              <w:rPr>
                <w:rFonts w:hint="eastAsia" w:ascii="Times New Roman" w:hAnsi="Times New Roman" w:eastAsia="Times New Roman" w:cs="Times New Roman"/>
                <w:b/>
                <w:bCs/>
                <w:sz w:val="17"/>
                <w:szCs w:val="17"/>
                <w:lang w:val="en-US" w:eastAsia="zh-CN"/>
              </w:rPr>
              <w:t>705007</w:t>
            </w:r>
          </w:p>
        </w:tc>
        <w:tc>
          <w:tcPr>
            <w:tcW w:w="1918" w:type="dxa"/>
            <w:vAlign w:val="center"/>
          </w:tcPr>
          <w:p>
            <w:pPr>
              <w:pStyle w:val="11"/>
              <w:spacing w:line="240" w:lineRule="auto"/>
              <w:ind w:firstLine="0" w:firstLineChars="0"/>
              <w:jc w:val="left"/>
              <w:rPr>
                <w:rFonts w:hint="eastAsia"/>
                <w:vertAlign w:val="baseline"/>
                <w:lang w:val="en-US" w:eastAsia="zh-CN"/>
              </w:rPr>
            </w:pPr>
          </w:p>
        </w:tc>
        <w:tc>
          <w:tcPr>
            <w:tcW w:w="1884" w:type="dxa"/>
            <w:vAlign w:val="center"/>
          </w:tcPr>
          <w:p>
            <w:pPr>
              <w:pStyle w:val="11"/>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5" w:type="dxa"/>
            <w:vAlign w:val="center"/>
          </w:tcPr>
          <w:p>
            <w:pPr>
              <w:pStyle w:val="11"/>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8" w:type="dxa"/>
            <w:vAlign w:val="center"/>
          </w:tcPr>
          <w:p>
            <w:pPr>
              <w:pStyle w:val="11"/>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0" w:type="dxa"/>
            <w:vAlign w:val="center"/>
          </w:tcPr>
          <w:p>
            <w:pPr>
              <w:pStyle w:val="11"/>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7" w:type="dxa"/>
            <w:gridSpan w:val="2"/>
            <w:vAlign w:val="center"/>
          </w:tcPr>
          <w:p>
            <w:pPr>
              <w:pStyle w:val="11"/>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9" w:type="dxa"/>
            <w:vAlign w:val="center"/>
          </w:tcPr>
          <w:p>
            <w:pPr>
              <w:pStyle w:val="11"/>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557" w:type="dxa"/>
            <w:gridSpan w:val="9"/>
            <w:tcBorders>
              <w:left w:val="nil"/>
              <w:bottom w:val="nil"/>
              <w:right w:val="nil"/>
            </w:tcBorders>
          </w:tcPr>
          <w:p>
            <w:pPr>
              <w:pStyle w:val="12"/>
              <w:bidi w:val="0"/>
              <w:jc w:val="both"/>
              <w:rPr>
                <w:rFonts w:hint="eastAsia"/>
                <w:vertAlign w:val="baseline"/>
                <w:lang w:val="en-US" w:eastAsia="zh-CN"/>
              </w:rPr>
            </w:pPr>
            <w:r>
              <w:rPr>
                <w:rFonts w:hint="eastAsia" w:ascii="宋体" w:hAnsi="宋体" w:eastAsia="宋体" w:cs="宋体"/>
                <w:sz w:val="16"/>
                <w:szCs w:val="16"/>
              </w:rPr>
              <w:t>注：本报表金额单位转换时可能存在四舍五入尾数误差</w:t>
            </w:r>
          </w:p>
        </w:tc>
      </w:tr>
    </w:tbl>
    <w:p>
      <w:pPr>
        <w:pStyle w:val="12"/>
        <w:bidi w:val="0"/>
        <w:rPr>
          <w:rFonts w:hint="eastAsia"/>
          <w:lang w:val="en-US" w:eastAsia="zh-CN"/>
        </w:rPr>
      </w:pPr>
    </w:p>
    <w:p>
      <w:pPr>
        <w:pStyle w:val="10"/>
        <w:keepNext/>
        <w:keepLines/>
        <w:spacing w:after="240"/>
        <w:jc w:val="center"/>
      </w:pPr>
    </w:p>
    <w:p>
      <w:pPr>
        <w:pStyle w:val="10"/>
        <w:keepNext/>
        <w:keepLines/>
        <w:spacing w:after="240"/>
        <w:jc w:val="center"/>
      </w:pPr>
    </w:p>
    <w:p>
      <w:pPr>
        <w:pStyle w:val="10"/>
        <w:keepNext/>
        <w:keepLines/>
        <w:spacing w:after="240"/>
        <w:jc w:val="center"/>
      </w:pPr>
    </w:p>
    <w:p>
      <w:pPr>
        <w:pStyle w:val="10"/>
        <w:keepNext/>
        <w:keepLines/>
        <w:spacing w:after="240"/>
        <w:jc w:val="center"/>
      </w:pPr>
    </w:p>
    <w:p>
      <w:pPr>
        <w:pStyle w:val="10"/>
        <w:keepNext/>
        <w:keepLines/>
        <w:spacing w:after="240"/>
        <w:jc w:val="center"/>
      </w:pPr>
    </w:p>
    <w:p>
      <w:pPr>
        <w:pStyle w:val="12"/>
        <w:bidi w:val="0"/>
      </w:pPr>
    </w:p>
    <w:p>
      <w:pPr>
        <w:pStyle w:val="10"/>
        <w:keepNext/>
        <w:keepLines/>
        <w:spacing w:after="240"/>
        <w:jc w:val="center"/>
      </w:pPr>
      <w:r>
        <w:t>政府性基金预算支出情况表</w:t>
      </w:r>
      <w:bookmarkEnd w:id="27"/>
      <w:bookmarkEnd w:id="28"/>
      <w:bookmarkEnd w:id="29"/>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394" w:type="dxa"/>
            <w:gridSpan w:val="6"/>
            <w:tcBorders>
              <w:top w:val="nil"/>
              <w:left w:val="nil"/>
              <w:right w:val="nil"/>
            </w:tcBorders>
          </w:tcPr>
          <w:p>
            <w:pPr>
              <w:pStyle w:val="12"/>
              <w:tabs>
                <w:tab w:val="left" w:pos="14213"/>
              </w:tabs>
              <w:ind w:left="101"/>
              <w:jc w:val="left"/>
            </w:pPr>
            <w:r>
              <w:t>单位名称：</w:t>
            </w:r>
            <w:r>
              <w:rPr>
                <w:rFonts w:hint="eastAsia"/>
                <w:lang w:eastAsia="zh-CN"/>
              </w:rPr>
              <w:t>环江毛南族自治县川山镇村委</w:t>
            </w:r>
            <w:r>
              <w:tab/>
            </w:r>
            <w:r>
              <w:t>单位：万元</w:t>
            </w:r>
          </w:p>
        </w:tc>
        <w:tc>
          <w:tcPr>
            <w:tcW w:w="2163" w:type="dxa"/>
            <w:tcBorders>
              <w:top w:val="nil"/>
              <w:left w:val="nil"/>
              <w:right w:val="nil"/>
            </w:tcBorders>
          </w:tcPr>
          <w:p>
            <w:pPr>
              <w:pStyle w:val="12"/>
              <w:tabs>
                <w:tab w:val="left" w:pos="14213"/>
              </w:tabs>
              <w:ind w:left="101" w:firstLine="680" w:firstLineChars="400"/>
              <w:jc w:val="left"/>
            </w:pPr>
            <w:r>
              <w:rPr>
                <w:rFonts w:hint="eastAsia"/>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pStyle w:val="12"/>
              <w:bidi w:val="0"/>
              <w:jc w:val="center"/>
              <w:rPr>
                <w:vertAlign w:val="baseline"/>
              </w:rPr>
            </w:pPr>
            <w:r>
              <w:rPr>
                <w:sz w:val="17"/>
                <w:szCs w:val="17"/>
              </w:rPr>
              <w:t>科目编码</w:t>
            </w:r>
          </w:p>
        </w:tc>
        <w:tc>
          <w:tcPr>
            <w:tcW w:w="2161" w:type="dxa"/>
          </w:tcPr>
          <w:p>
            <w:pPr>
              <w:pStyle w:val="12"/>
              <w:bidi w:val="0"/>
              <w:jc w:val="center"/>
              <w:rPr>
                <w:vertAlign w:val="baseline"/>
              </w:rPr>
            </w:pPr>
            <w:r>
              <w:rPr>
                <w:sz w:val="17"/>
                <w:szCs w:val="17"/>
              </w:rPr>
              <w:t>部门（单位）代码</w:t>
            </w:r>
          </w:p>
        </w:tc>
        <w:tc>
          <w:tcPr>
            <w:tcW w:w="2162" w:type="dxa"/>
          </w:tcPr>
          <w:p>
            <w:pPr>
              <w:pStyle w:val="12"/>
              <w:bidi w:val="0"/>
              <w:jc w:val="center"/>
              <w:rPr>
                <w:vertAlign w:val="baseline"/>
              </w:rPr>
            </w:pPr>
            <w:r>
              <w:rPr>
                <w:sz w:val="17"/>
                <w:szCs w:val="17"/>
              </w:rPr>
              <w:t>部门（单位）名称（功能分类科目名称）</w:t>
            </w:r>
          </w:p>
        </w:tc>
        <w:tc>
          <w:tcPr>
            <w:tcW w:w="2222" w:type="dxa"/>
            <w:vAlign w:val="center"/>
          </w:tcPr>
          <w:p>
            <w:pPr>
              <w:pStyle w:val="11"/>
              <w:spacing w:line="240" w:lineRule="auto"/>
              <w:ind w:firstLine="0" w:firstLineChars="0"/>
              <w:jc w:val="center"/>
              <w:rPr>
                <w:vertAlign w:val="baseline"/>
              </w:rPr>
            </w:pPr>
            <w:r>
              <w:rPr>
                <w:sz w:val="17"/>
                <w:szCs w:val="17"/>
              </w:rPr>
              <w:t>合计</w:t>
            </w:r>
          </w:p>
        </w:tc>
        <w:tc>
          <w:tcPr>
            <w:tcW w:w="2161" w:type="dxa"/>
            <w:vAlign w:val="center"/>
          </w:tcPr>
          <w:p>
            <w:pPr>
              <w:pStyle w:val="11"/>
              <w:spacing w:line="240" w:lineRule="auto"/>
              <w:ind w:firstLine="0" w:firstLineChars="0"/>
              <w:jc w:val="center"/>
              <w:rPr>
                <w:vertAlign w:val="baseline"/>
              </w:rPr>
            </w:pPr>
            <w:r>
              <w:rPr>
                <w:sz w:val="17"/>
                <w:szCs w:val="17"/>
              </w:rPr>
              <w:t>基本支出</w:t>
            </w:r>
          </w:p>
        </w:tc>
        <w:tc>
          <w:tcPr>
            <w:tcW w:w="2161" w:type="dxa"/>
            <w:vAlign w:val="center"/>
          </w:tcPr>
          <w:p>
            <w:pPr>
              <w:pStyle w:val="11"/>
              <w:spacing w:line="240" w:lineRule="auto"/>
              <w:ind w:firstLine="0" w:firstLineChars="0"/>
              <w:jc w:val="center"/>
              <w:rPr>
                <w:vertAlign w:val="baseline"/>
              </w:rPr>
            </w:pPr>
            <w:r>
              <w:rPr>
                <w:sz w:val="17"/>
                <w:szCs w:val="17"/>
              </w:rPr>
              <w:t>项目支出</w:t>
            </w:r>
          </w:p>
        </w:tc>
        <w:tc>
          <w:tcPr>
            <w:tcW w:w="2163" w:type="dxa"/>
            <w:vAlign w:val="center"/>
          </w:tcPr>
          <w:p>
            <w:pPr>
              <w:pStyle w:val="11"/>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12"/>
              <w:bidi w:val="0"/>
              <w:jc w:val="both"/>
              <w:rPr>
                <w:vertAlign w:val="baseline"/>
              </w:rPr>
            </w:pPr>
            <w:r>
              <w:t>注：本报表金额单位转换时可能存在四舍五入尾数误差</w:t>
            </w:r>
          </w:p>
        </w:tc>
      </w:tr>
    </w:tbl>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jc w:val="center"/>
        <w:rPr>
          <w:sz w:val="28"/>
          <w:szCs w:val="28"/>
        </w:rPr>
      </w:pPr>
      <w:r>
        <w:rPr>
          <w:sz w:val="28"/>
          <w:szCs w:val="28"/>
        </w:rPr>
        <w:t>国有资本经营预算支出情况表</w:t>
      </w:r>
    </w:p>
    <w:p>
      <w:pPr>
        <w:pStyle w:val="12"/>
        <w:bidi w:val="0"/>
        <w:jc w:val="center"/>
        <w:rPr>
          <w:sz w:val="28"/>
          <w:szCs w:val="28"/>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4" w:type="dxa"/>
            <w:gridSpan w:val="6"/>
            <w:tcBorders>
              <w:top w:val="nil"/>
              <w:left w:val="nil"/>
              <w:right w:val="nil"/>
            </w:tcBorders>
          </w:tcPr>
          <w:p>
            <w:pPr>
              <w:pStyle w:val="12"/>
              <w:tabs>
                <w:tab w:val="left" w:pos="14213"/>
              </w:tabs>
              <w:ind w:left="101"/>
              <w:jc w:val="left"/>
            </w:pPr>
            <w:r>
              <w:t>单位名称：</w:t>
            </w:r>
            <w:r>
              <w:rPr>
                <w:rFonts w:hint="eastAsia"/>
                <w:lang w:eastAsia="zh-CN"/>
              </w:rPr>
              <w:t>环江毛南族自治县川山镇村委</w:t>
            </w:r>
            <w:r>
              <w:tab/>
            </w:r>
            <w:r>
              <w:t>单位：万元</w:t>
            </w:r>
          </w:p>
        </w:tc>
        <w:tc>
          <w:tcPr>
            <w:tcW w:w="2163" w:type="dxa"/>
            <w:tcBorders>
              <w:top w:val="nil"/>
              <w:left w:val="nil"/>
              <w:right w:val="nil"/>
            </w:tcBorders>
          </w:tcPr>
          <w:p>
            <w:pPr>
              <w:pStyle w:val="12"/>
              <w:tabs>
                <w:tab w:val="left" w:pos="14213"/>
              </w:tabs>
              <w:ind w:left="101"/>
              <w:jc w:val="left"/>
            </w:pPr>
            <w:r>
              <w:rPr>
                <w:rFonts w:hint="eastAsia" w:ascii="宋体" w:hAnsi="宋体" w:eastAsia="宋体" w:cs="宋体"/>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restart"/>
          </w:tcPr>
          <w:p>
            <w:pPr>
              <w:pStyle w:val="12"/>
              <w:bidi w:val="0"/>
              <w:jc w:val="center"/>
              <w:rPr>
                <w:vertAlign w:val="baseline"/>
              </w:rPr>
            </w:pPr>
            <w:r>
              <w:rPr>
                <w:sz w:val="17"/>
                <w:szCs w:val="17"/>
              </w:rPr>
              <w:t>科目编码</w:t>
            </w:r>
          </w:p>
        </w:tc>
        <w:tc>
          <w:tcPr>
            <w:tcW w:w="2161" w:type="dxa"/>
            <w:vMerge w:val="restart"/>
          </w:tcPr>
          <w:p>
            <w:pPr>
              <w:pStyle w:val="12"/>
              <w:bidi w:val="0"/>
              <w:jc w:val="center"/>
              <w:rPr>
                <w:vertAlign w:val="baseline"/>
              </w:rPr>
            </w:pPr>
            <w:r>
              <w:rPr>
                <w:sz w:val="17"/>
                <w:szCs w:val="17"/>
              </w:rPr>
              <w:t>部门（单位）代码</w:t>
            </w:r>
          </w:p>
        </w:tc>
        <w:tc>
          <w:tcPr>
            <w:tcW w:w="2162" w:type="dxa"/>
            <w:vMerge w:val="restart"/>
          </w:tcPr>
          <w:p>
            <w:pPr>
              <w:pStyle w:val="12"/>
              <w:bidi w:val="0"/>
              <w:jc w:val="center"/>
              <w:rPr>
                <w:vertAlign w:val="baseline"/>
              </w:rPr>
            </w:pPr>
            <w:r>
              <w:rPr>
                <w:sz w:val="17"/>
                <w:szCs w:val="17"/>
              </w:rPr>
              <w:t>部门（单位）名称（功能分类科目名称）</w:t>
            </w:r>
          </w:p>
        </w:tc>
        <w:tc>
          <w:tcPr>
            <w:tcW w:w="2222" w:type="dxa"/>
            <w:vAlign w:val="center"/>
          </w:tcPr>
          <w:p>
            <w:pPr>
              <w:pStyle w:val="11"/>
              <w:spacing w:line="240" w:lineRule="auto"/>
              <w:ind w:firstLine="0" w:firstLineChars="0"/>
              <w:jc w:val="center"/>
              <w:rPr>
                <w:vertAlign w:val="baseline"/>
              </w:rPr>
            </w:pPr>
            <w:r>
              <w:rPr>
                <w:sz w:val="17"/>
                <w:szCs w:val="17"/>
              </w:rPr>
              <w:t>合计</w:t>
            </w:r>
          </w:p>
        </w:tc>
        <w:tc>
          <w:tcPr>
            <w:tcW w:w="2161" w:type="dxa"/>
            <w:vAlign w:val="center"/>
          </w:tcPr>
          <w:p>
            <w:pPr>
              <w:pStyle w:val="11"/>
              <w:spacing w:line="240" w:lineRule="auto"/>
              <w:ind w:firstLine="0" w:firstLineChars="0"/>
              <w:jc w:val="center"/>
              <w:rPr>
                <w:vertAlign w:val="baseline"/>
              </w:rPr>
            </w:pPr>
            <w:r>
              <w:rPr>
                <w:sz w:val="17"/>
                <w:szCs w:val="17"/>
              </w:rPr>
              <w:t>基本支出</w:t>
            </w:r>
          </w:p>
        </w:tc>
        <w:tc>
          <w:tcPr>
            <w:tcW w:w="2161" w:type="dxa"/>
            <w:vAlign w:val="center"/>
          </w:tcPr>
          <w:p>
            <w:pPr>
              <w:pStyle w:val="11"/>
              <w:spacing w:line="240" w:lineRule="auto"/>
              <w:ind w:firstLine="0" w:firstLineChars="0"/>
              <w:jc w:val="center"/>
              <w:rPr>
                <w:vertAlign w:val="baseline"/>
              </w:rPr>
            </w:pPr>
            <w:r>
              <w:rPr>
                <w:sz w:val="17"/>
                <w:szCs w:val="17"/>
              </w:rPr>
              <w:t>项目支出</w:t>
            </w:r>
          </w:p>
        </w:tc>
        <w:tc>
          <w:tcPr>
            <w:tcW w:w="2163" w:type="dxa"/>
            <w:vAlign w:val="center"/>
          </w:tcPr>
          <w:p>
            <w:pPr>
              <w:pStyle w:val="11"/>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continue"/>
          </w:tcPr>
          <w:p>
            <w:pPr>
              <w:pStyle w:val="12"/>
              <w:bidi w:val="0"/>
              <w:jc w:val="both"/>
              <w:rPr>
                <w:vertAlign w:val="baseline"/>
              </w:rPr>
            </w:pPr>
          </w:p>
        </w:tc>
        <w:tc>
          <w:tcPr>
            <w:tcW w:w="2161" w:type="dxa"/>
            <w:vMerge w:val="continue"/>
          </w:tcPr>
          <w:p>
            <w:pPr>
              <w:pStyle w:val="12"/>
              <w:bidi w:val="0"/>
              <w:jc w:val="both"/>
              <w:rPr>
                <w:vertAlign w:val="baseline"/>
              </w:rPr>
            </w:pPr>
          </w:p>
        </w:tc>
        <w:tc>
          <w:tcPr>
            <w:tcW w:w="2162" w:type="dxa"/>
            <w:vMerge w:val="continue"/>
          </w:tcPr>
          <w:p>
            <w:pPr>
              <w:pStyle w:val="12"/>
              <w:bidi w:val="0"/>
              <w:jc w:val="both"/>
              <w:rPr>
                <w:vertAlign w:val="baseline"/>
              </w:rPr>
            </w:pPr>
          </w:p>
        </w:tc>
        <w:tc>
          <w:tcPr>
            <w:tcW w:w="2222" w:type="dxa"/>
            <w:vAlign w:val="center"/>
          </w:tcPr>
          <w:p>
            <w:pPr>
              <w:pStyle w:val="11"/>
              <w:spacing w:line="240" w:lineRule="auto"/>
              <w:ind w:firstLine="0" w:firstLineChars="0"/>
              <w:jc w:val="center"/>
              <w:rPr>
                <w:vertAlign w:val="baseline"/>
              </w:rPr>
            </w:pPr>
            <w:r>
              <w:rPr>
                <w:rFonts w:ascii="Times New Roman" w:hAnsi="Times New Roman" w:eastAsia="Times New Roman" w:cs="Times New Roman"/>
                <w:b/>
                <w:bCs/>
                <w:sz w:val="17"/>
                <w:szCs w:val="17"/>
              </w:rPr>
              <w:t>1</w:t>
            </w:r>
          </w:p>
        </w:tc>
        <w:tc>
          <w:tcPr>
            <w:tcW w:w="2161" w:type="dxa"/>
            <w:vAlign w:val="center"/>
          </w:tcPr>
          <w:p>
            <w:pPr>
              <w:pStyle w:val="11"/>
              <w:spacing w:line="240" w:lineRule="auto"/>
              <w:ind w:firstLine="0" w:firstLineChars="0"/>
              <w:jc w:val="center"/>
              <w:rPr>
                <w:vertAlign w:val="baseline"/>
              </w:rPr>
            </w:pPr>
            <w:r>
              <w:rPr>
                <w:rFonts w:ascii="Times New Roman" w:hAnsi="Times New Roman" w:eastAsia="Times New Roman" w:cs="Times New Roman"/>
                <w:b/>
                <w:bCs/>
                <w:sz w:val="17"/>
                <w:szCs w:val="17"/>
              </w:rPr>
              <w:t>2</w:t>
            </w:r>
          </w:p>
        </w:tc>
        <w:tc>
          <w:tcPr>
            <w:tcW w:w="2161" w:type="dxa"/>
            <w:vAlign w:val="center"/>
          </w:tcPr>
          <w:p>
            <w:pPr>
              <w:pStyle w:val="11"/>
              <w:spacing w:line="240" w:lineRule="auto"/>
              <w:ind w:firstLine="0" w:firstLineChars="0"/>
              <w:jc w:val="center"/>
              <w:rPr>
                <w:vertAlign w:val="baseline"/>
              </w:rPr>
            </w:pPr>
            <w:r>
              <w:rPr>
                <w:rFonts w:ascii="Times New Roman" w:hAnsi="Times New Roman" w:eastAsia="Times New Roman" w:cs="Times New Roman"/>
                <w:b/>
                <w:bCs/>
                <w:sz w:val="17"/>
                <w:szCs w:val="17"/>
              </w:rPr>
              <w:t>3</w:t>
            </w:r>
          </w:p>
        </w:tc>
        <w:tc>
          <w:tcPr>
            <w:tcW w:w="2163" w:type="dxa"/>
            <w:vAlign w:val="center"/>
          </w:tcPr>
          <w:p>
            <w:pPr>
              <w:pStyle w:val="11"/>
              <w:spacing w:line="240" w:lineRule="auto"/>
              <w:ind w:firstLine="0" w:firstLineChars="0"/>
              <w:jc w:val="center"/>
              <w:rPr>
                <w:vertAlign w:val="baseline"/>
              </w:rPr>
            </w:pPr>
            <w:r>
              <w:rPr>
                <w:rFonts w:ascii="Times New Roman" w:hAnsi="Times New Roman" w:eastAsia="Times New Roman" w:cs="Times New Roman"/>
                <w:b/>
                <w:bCs/>
                <w:sz w:val="17"/>
                <w:szCs w:val="17"/>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11"/>
              <w:spacing w:line="240" w:lineRule="auto"/>
              <w:ind w:firstLine="0" w:firstLineChars="0"/>
              <w:jc w:val="left"/>
              <w:rPr>
                <w:vertAlign w:val="baseline"/>
              </w:rPr>
            </w:pPr>
            <w:r>
              <w:rPr>
                <w:sz w:val="17"/>
                <w:szCs w:val="17"/>
              </w:rPr>
              <w:t>合计</w:t>
            </w:r>
          </w:p>
        </w:tc>
        <w:tc>
          <w:tcPr>
            <w:tcW w:w="2222" w:type="dxa"/>
            <w:vAlign w:val="center"/>
          </w:tcPr>
          <w:p>
            <w:pPr>
              <w:pStyle w:val="11"/>
              <w:spacing w:line="240" w:lineRule="auto"/>
              <w:ind w:left="1700" w:leftChars="0"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11"/>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11"/>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3" w:type="dxa"/>
            <w:vAlign w:val="center"/>
          </w:tcPr>
          <w:p>
            <w:pPr>
              <w:pStyle w:val="11"/>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12"/>
              <w:spacing w:line="302" w:lineRule="exact"/>
              <w:ind w:left="672"/>
              <w:jc w:val="left"/>
            </w:pPr>
            <w:r>
              <w:t>注：本报表金额单位转换时可能存在四舍五入尾数误差。本部门</w:t>
            </w:r>
            <w:r>
              <w:rPr>
                <w:rFonts w:hint="eastAsia" w:ascii="Times New Roman" w:hAnsi="Times New Roman" w:cs="Times New Roman"/>
                <w:b/>
                <w:bCs/>
                <w:lang w:eastAsia="zh-CN"/>
              </w:rPr>
              <w:t>2024</w:t>
            </w:r>
            <w:r>
              <w:rPr>
                <w:rFonts w:ascii="Times New Roman" w:hAnsi="Times New Roman" w:cs="Times New Roman"/>
                <w:b/>
                <w:u w:color="auto"/>
              </w:rPr>
              <w:t>年</w:t>
            </w:r>
            <w:r>
              <w:t>度没有国有资本经营预算支出，故本表无数据</w:t>
            </w:r>
          </w:p>
          <w:p>
            <w:pPr>
              <w:pStyle w:val="12"/>
              <w:bidi w:val="0"/>
              <w:jc w:val="both"/>
              <w:rPr>
                <w:vertAlign w:val="baseline"/>
              </w:rPr>
            </w:pPr>
          </w:p>
        </w:tc>
      </w:tr>
    </w:tbl>
    <w:p>
      <w:pPr>
        <w:pStyle w:val="12"/>
        <w:bidi w:val="0"/>
      </w:pPr>
    </w:p>
    <w:p>
      <w:r>
        <w:br w:type="page"/>
      </w:r>
    </w:p>
    <w:p>
      <w:pPr>
        <w:pStyle w:val="10"/>
        <w:keepNext/>
        <w:keepLines/>
        <w:spacing w:after="240"/>
        <w:jc w:val="center"/>
        <w:rPr>
          <w:rFonts w:hint="default" w:eastAsia="宋体"/>
          <w:lang w:val="en-US" w:eastAsia="zh-CN"/>
        </w:rPr>
      </w:pPr>
      <w:r>
        <w:rPr>
          <w:rFonts w:hint="eastAsia"/>
          <w:lang w:val="en-US" w:eastAsia="zh-CN"/>
        </w:rPr>
        <w:t>2024年度预算项目绩效目标公开表</w:t>
      </w:r>
    </w:p>
    <w:tbl>
      <w:tblPr>
        <w:tblStyle w:val="2"/>
        <w:tblW w:w="0" w:type="auto"/>
        <w:tblInd w:w="0" w:type="dxa"/>
        <w:tblLayout w:type="fixed"/>
        <w:tblCellMar>
          <w:top w:w="0" w:type="dxa"/>
          <w:left w:w="10" w:type="dxa"/>
          <w:bottom w:w="0" w:type="dxa"/>
          <w:right w:w="10" w:type="dxa"/>
        </w:tblCellMar>
      </w:tblPr>
      <w:tblGrid>
        <w:gridCol w:w="1843"/>
        <w:gridCol w:w="2559"/>
        <w:gridCol w:w="3350"/>
        <w:gridCol w:w="1511"/>
        <w:gridCol w:w="6076"/>
      </w:tblGrid>
      <w:tr>
        <w:tblPrEx>
          <w:tblCellMar>
            <w:top w:w="0" w:type="dxa"/>
            <w:left w:w="10" w:type="dxa"/>
            <w:bottom w:w="0" w:type="dxa"/>
            <w:right w:w="10" w:type="dxa"/>
          </w:tblCellMar>
        </w:tblPrEx>
        <w:trPr>
          <w:trHeight w:val="346" w:hRule="exact"/>
        </w:trPr>
        <w:tc>
          <w:tcPr>
            <w:tcW w:w="9263" w:type="dxa"/>
            <w:gridSpan w:val="4"/>
            <w:shd w:val="clear" w:color="auto" w:fill="FFFFFF"/>
          </w:tcPr>
          <w:p>
            <w:pPr>
              <w:pStyle w:val="11"/>
              <w:spacing w:line="240" w:lineRule="auto"/>
              <w:ind w:firstLine="0"/>
              <w:jc w:val="left"/>
              <w:rPr>
                <w:rFonts w:hint="default" w:ascii="宋体" w:hAnsi="宋体" w:eastAsia="宋体" w:cs="宋体"/>
                <w:sz w:val="17"/>
                <w:szCs w:val="17"/>
                <w:lang w:val="en-US"/>
              </w:rPr>
            </w:pPr>
            <w:r>
              <w:rPr>
                <w:rFonts w:hint="eastAsia" w:ascii="宋体" w:hAnsi="宋体" w:eastAsia="宋体" w:cs="宋体"/>
                <w:sz w:val="17"/>
                <w:szCs w:val="17"/>
              </w:rPr>
              <w:t>单位名称：</w:t>
            </w:r>
            <w:r>
              <w:rPr>
                <w:rFonts w:hint="eastAsia" w:ascii="宋体" w:hAnsi="宋体" w:eastAsia="宋体" w:cs="宋体"/>
                <w:sz w:val="17"/>
                <w:szCs w:val="17"/>
                <w:lang w:eastAsia="zh-CN"/>
              </w:rPr>
              <w:t>环江毛南族自治县川山镇村委</w:t>
            </w:r>
            <w:r>
              <w:rPr>
                <w:rFonts w:hint="eastAsia" w:cs="宋体"/>
                <w:sz w:val="17"/>
                <w:szCs w:val="17"/>
                <w:lang w:val="en-US" w:eastAsia="zh-CN"/>
              </w:rPr>
              <w:t xml:space="preserve">            </w:t>
            </w:r>
          </w:p>
        </w:tc>
        <w:tc>
          <w:tcPr>
            <w:tcW w:w="6076" w:type="dxa"/>
            <w:shd w:val="clear" w:color="auto" w:fill="FFFFFF"/>
          </w:tcPr>
          <w:p>
            <w:pPr>
              <w:pStyle w:val="11"/>
              <w:spacing w:line="240" w:lineRule="auto"/>
              <w:ind w:firstLine="4760" w:firstLineChars="2800"/>
              <w:jc w:val="left"/>
              <w:rPr>
                <w:rFonts w:hint="eastAsia" w:ascii="宋体" w:hAnsi="宋体" w:eastAsia="宋体" w:cs="宋体"/>
                <w:sz w:val="17"/>
                <w:szCs w:val="17"/>
              </w:rPr>
            </w:pPr>
            <w:r>
              <w:rPr>
                <w:rFonts w:hint="eastAsia" w:ascii="宋体" w:hAnsi="宋体" w:eastAsia="宋体" w:cs="宋体"/>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0"/>
              <w:jc w:val="center"/>
              <w:rPr>
                <w:rFonts w:hint="eastAsia" w:ascii="宋体" w:hAnsi="宋体" w:eastAsia="宋体" w:cs="宋体"/>
                <w:sz w:val="17"/>
                <w:szCs w:val="17"/>
                <w:lang w:val="en-US" w:eastAsia="zh-CN"/>
              </w:rPr>
            </w:pPr>
            <w:r>
              <w:rPr>
                <w:rFonts w:ascii="宋体" w:hAnsi="宋体" w:eastAsia="宋体" w:cs="宋体"/>
                <w:sz w:val="17"/>
                <w:u w:color="auto"/>
              </w:rPr>
              <w:t>单位代码</w:t>
            </w:r>
          </w:p>
        </w:tc>
        <w:tc>
          <w:tcPr>
            <w:tcW w:w="2559"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4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单位名称</w:t>
            </w:r>
          </w:p>
        </w:tc>
        <w:tc>
          <w:tcPr>
            <w:tcW w:w="335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项目名称</w:t>
            </w:r>
          </w:p>
        </w:tc>
        <w:tc>
          <w:tcPr>
            <w:tcW w:w="1511"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预算金额</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年度绩效目标</w:t>
            </w:r>
          </w:p>
        </w:tc>
      </w:tr>
    </w:tbl>
    <w:p>
      <w:pPr>
        <w:jc w:val="left"/>
        <w:rPr>
          <w:rFonts w:hint="eastAsia"/>
        </w:rPr>
      </w:pPr>
      <w:r>
        <w:t>注：本报表金额单位转换时可能存在四舍五入尾数误差。</w:t>
      </w:r>
    </w:p>
    <w:p>
      <w:pPr>
        <w:jc w:val="left"/>
        <w:rPr>
          <w:rFonts w:hint="eastAsia"/>
          <w:lang w:eastAsia="zh-CN"/>
        </w:rPr>
        <w:sectPr>
          <w:headerReference r:id="rId10" w:type="default"/>
          <w:footerReference r:id="rId11" w:type="default"/>
          <w:pgSz w:w="16840" w:h="11900" w:orient="landscape"/>
          <w:pgMar w:top="2714" w:right="764" w:bottom="2714" w:left="735" w:header="2286" w:footer="3" w:gutter="0"/>
          <w:pgBorders>
            <w:top w:val="none" w:sz="0" w:space="0"/>
            <w:left w:val="none" w:sz="0" w:space="0"/>
            <w:bottom w:val="none" w:sz="0" w:space="0"/>
            <w:right w:val="none" w:sz="0" w:space="0"/>
          </w:pgBorders>
          <w:cols w:space="720" w:num="1"/>
          <w:docGrid w:linePitch="360" w:charSpace="0"/>
        </w:sectPr>
      </w:pPr>
    </w:p>
    <w:p>
      <w:pPr>
        <w:pStyle w:val="6"/>
        <w:keepNext/>
        <w:keepLines/>
        <w:spacing w:before="200" w:after="0"/>
        <w:jc w:val="center"/>
      </w:pPr>
      <w:bookmarkStart w:id="30" w:name="bookmark94"/>
      <w:bookmarkStart w:id="31" w:name="bookmark95"/>
      <w:bookmarkStart w:id="32" w:name="bookmark96"/>
      <w:r>
        <w:t>第四部分名词解释</w:t>
      </w:r>
      <w:bookmarkEnd w:id="30"/>
      <w:bookmarkEnd w:id="31"/>
      <w:bookmarkEnd w:id="32"/>
    </w:p>
    <w:p>
      <w:pPr>
        <w:pStyle w:val="8"/>
        <w:tabs>
          <w:tab w:val="left" w:pos="1270"/>
        </w:tabs>
        <w:spacing w:line="626" w:lineRule="exact"/>
        <w:ind w:firstLine="640"/>
        <w:jc w:val="left"/>
      </w:pPr>
      <w:bookmarkStart w:id="33" w:name="bookmark97"/>
      <w:r>
        <w:t>一</w:t>
      </w:r>
      <w:bookmarkEnd w:id="33"/>
      <w:r>
        <w:t>、</w:t>
      </w:r>
      <w:r>
        <w:tab/>
      </w:r>
      <w:r>
        <w:t>财政拨款收入：指预算单位从本级财政部门取得的财政预算资金收入。</w:t>
      </w:r>
    </w:p>
    <w:p>
      <w:pPr>
        <w:pStyle w:val="8"/>
        <w:tabs>
          <w:tab w:val="left" w:pos="1280"/>
        </w:tabs>
        <w:spacing w:line="626" w:lineRule="exact"/>
        <w:ind w:firstLine="640"/>
        <w:jc w:val="left"/>
      </w:pPr>
      <w:bookmarkStart w:id="34" w:name="bookmark98"/>
      <w:r>
        <w:t>二</w:t>
      </w:r>
      <w:bookmarkEnd w:id="34"/>
      <w:r>
        <w:t>、</w:t>
      </w:r>
      <w:r>
        <w:tab/>
      </w:r>
      <w:r>
        <w:t>事业收入：指事业单位开展专业业务活动及辅助活动所取得的收入。</w:t>
      </w:r>
    </w:p>
    <w:p>
      <w:pPr>
        <w:pStyle w:val="8"/>
        <w:tabs>
          <w:tab w:val="left" w:pos="1275"/>
        </w:tabs>
        <w:spacing w:line="626" w:lineRule="exact"/>
        <w:ind w:firstLine="640"/>
        <w:jc w:val="left"/>
      </w:pPr>
      <w:bookmarkStart w:id="35" w:name="bookmark99"/>
      <w:r>
        <w:t>三</w:t>
      </w:r>
      <w:bookmarkEnd w:id="35"/>
      <w:r>
        <w:t>、</w:t>
      </w:r>
      <w:r>
        <w:tab/>
      </w:r>
      <w:r>
        <w:t>经营收入：指事业单位在专业业务活动及其辅助活动之外开展非独立核算经营活动取得的收入。</w:t>
      </w:r>
    </w:p>
    <w:p>
      <w:pPr>
        <w:pStyle w:val="8"/>
        <w:tabs>
          <w:tab w:val="left" w:pos="1309"/>
        </w:tabs>
        <w:spacing w:line="626" w:lineRule="exact"/>
        <w:ind w:firstLine="640"/>
        <w:jc w:val="left"/>
      </w:pPr>
      <w:bookmarkStart w:id="36" w:name="bookmark100"/>
      <w:r>
        <w:t>四</w:t>
      </w:r>
      <w:bookmarkEnd w:id="36"/>
      <w:r>
        <w:t>、</w:t>
      </w:r>
      <w:r>
        <w:tab/>
      </w:r>
      <w:r>
        <w:t>其他收入：指除上述</w:t>
      </w:r>
      <w:r>
        <w:rPr>
          <w:lang w:val="zh-CN" w:eastAsia="zh-CN" w:bidi="zh-CN"/>
        </w:rPr>
        <w:t>“财</w:t>
      </w:r>
      <w:r>
        <w:t>政拨款收入”、</w:t>
      </w:r>
      <w:r>
        <w:rPr>
          <w:lang w:val="zh-CN" w:eastAsia="zh-CN" w:bidi="zh-CN"/>
        </w:rPr>
        <w:t>“事</w:t>
      </w:r>
      <w:r>
        <w:t>业收入"、</w:t>
      </w:r>
      <w:r>
        <w:rPr>
          <w:lang w:val="zh-CN" w:eastAsia="zh-CN" w:bidi="zh-CN"/>
        </w:rPr>
        <w:t>“经营</w:t>
      </w:r>
      <w:r>
        <w:t>收入"等以外的收入。主要是非本级财政拨款、存款利息收入、事业单位固定资产出租收入等。</w:t>
      </w:r>
    </w:p>
    <w:p>
      <w:pPr>
        <w:pStyle w:val="8"/>
        <w:tabs>
          <w:tab w:val="left" w:pos="1275"/>
        </w:tabs>
        <w:spacing w:line="626" w:lineRule="exact"/>
        <w:ind w:firstLine="640"/>
        <w:jc w:val="left"/>
      </w:pPr>
      <w:bookmarkStart w:id="37" w:name="bookmark101"/>
      <w:r>
        <w:t>五</w:t>
      </w:r>
      <w:bookmarkEnd w:id="37"/>
      <w:r>
        <w:t>、</w:t>
      </w:r>
      <w:r>
        <w:tab/>
      </w:r>
      <w:r>
        <w:t>用事业基金弥补收支差额：指事业单位在用当年的</w:t>
      </w:r>
      <w:r>
        <w:rPr>
          <w:lang w:val="zh-CN" w:eastAsia="zh-CN" w:bidi="zh-CN"/>
        </w:rPr>
        <w:t>“财</w:t>
      </w:r>
      <w:r>
        <w:t>政拨款收入"、</w:t>
      </w:r>
      <w:r>
        <w:rPr>
          <w:lang w:val="zh-CN" w:eastAsia="zh-CN" w:bidi="zh-CN"/>
        </w:rPr>
        <w:t>“事业</w:t>
      </w:r>
      <w:r>
        <w:t>收入"、</w:t>
      </w:r>
      <w:r>
        <w:rPr>
          <w:lang w:val="zh-CN" w:eastAsia="zh-CN" w:bidi="zh-CN"/>
        </w:rPr>
        <w:t>“经营</w:t>
      </w:r>
      <w:r>
        <w:t>收入"、</w:t>
      </w:r>
      <w:r>
        <w:rPr>
          <w:lang w:val="zh-CN" w:eastAsia="zh-CN" w:bidi="zh-CN"/>
        </w:rPr>
        <w:t>“其他</w:t>
      </w:r>
      <w:r>
        <w:t>收入"不足以安排当年支出的情况下，使用以前年度积累的事业基金（事业单位当年收支相抵后按国家规定提取、用于弥补以后年度收支差额的基金）弥补本年度收支缺口的资金。</w:t>
      </w:r>
    </w:p>
    <w:p>
      <w:pPr>
        <w:pStyle w:val="8"/>
        <w:tabs>
          <w:tab w:val="left" w:pos="1270"/>
        </w:tabs>
        <w:spacing w:line="626" w:lineRule="exact"/>
        <w:ind w:firstLine="640"/>
        <w:jc w:val="left"/>
      </w:pPr>
      <w:bookmarkStart w:id="38" w:name="bookmark102"/>
      <w:r>
        <w:t>六</w:t>
      </w:r>
      <w:bookmarkEnd w:id="38"/>
      <w:r>
        <w:t>、</w:t>
      </w:r>
      <w:r>
        <w:tab/>
      </w:r>
      <w:r>
        <w:t>年初结转和结余：指以前年度尚未完成、结转到本年按有关规定继续使用的资金。</w:t>
      </w:r>
    </w:p>
    <w:p>
      <w:pPr>
        <w:pStyle w:val="8"/>
        <w:tabs>
          <w:tab w:val="left" w:pos="1275"/>
        </w:tabs>
        <w:spacing w:line="626" w:lineRule="exact"/>
        <w:ind w:firstLine="640"/>
        <w:jc w:val="left"/>
      </w:pPr>
      <w:bookmarkStart w:id="39" w:name="bookmark103"/>
      <w:r>
        <w:t>七</w:t>
      </w:r>
      <w:bookmarkEnd w:id="39"/>
      <w:r>
        <w:t>、</w:t>
      </w:r>
      <w:r>
        <w:tab/>
      </w:r>
      <w:r>
        <w:t>结余分配：指事业单位按规定提取的职工福利基金、事业基金和缴纳的所得税，以及建设单位按规定应交回的基本建设竣工项目结余资金。</w:t>
      </w:r>
    </w:p>
    <w:p>
      <w:pPr>
        <w:pStyle w:val="8"/>
        <w:tabs>
          <w:tab w:val="left" w:pos="632"/>
        </w:tabs>
        <w:spacing w:line="626" w:lineRule="exact"/>
        <w:ind w:firstLine="640"/>
        <w:jc w:val="left"/>
      </w:pPr>
      <w:bookmarkStart w:id="40" w:name="bookmark104"/>
      <w:r>
        <w:t>八</w:t>
      </w:r>
      <w:bookmarkEnd w:id="40"/>
      <w:r>
        <w:t>、</w:t>
      </w:r>
      <w:r>
        <w:tab/>
      </w:r>
      <w:r>
        <w:t>年末结转和结余：指本年度或以前年度预算安排、因客观条件发生变化无法按原计划实施，需要延迟到以后年度按有关规定继续使用的资金。</w:t>
      </w:r>
    </w:p>
    <w:p>
      <w:pPr>
        <w:pStyle w:val="8"/>
        <w:spacing w:line="628" w:lineRule="exact"/>
        <w:ind w:firstLine="640"/>
        <w:jc w:val="left"/>
      </w:pPr>
      <w:bookmarkStart w:id="41" w:name="bookmark105"/>
      <w:r>
        <w:t>九</w:t>
      </w:r>
      <w:bookmarkEnd w:id="41"/>
      <w:r>
        <w:t>、基本支出：指为保障机构正常运转、完成日常工作任务而发生的人员支出和公用支出。</w:t>
      </w:r>
    </w:p>
    <w:p>
      <w:pPr>
        <w:pStyle w:val="8"/>
        <w:spacing w:line="628" w:lineRule="exact"/>
        <w:ind w:firstLine="640"/>
        <w:jc w:val="left"/>
      </w:pPr>
      <w:r>
        <w:t>十、项目支出：指在基本支出之外为完成特定行政任务和事业发展目标所发生的支出。</w:t>
      </w:r>
    </w:p>
    <w:p>
      <w:pPr>
        <w:pStyle w:val="8"/>
        <w:spacing w:line="628" w:lineRule="exact"/>
        <w:ind w:firstLine="640"/>
        <w:jc w:val="left"/>
      </w:pPr>
      <w:r>
        <w:t>十一、经营支出：指事业单位在专业业务活动及其辅助活动之外开展非独立核算经营活动所发生的支出。</w:t>
      </w:r>
    </w:p>
    <w:p>
      <w:pPr>
        <w:pStyle w:val="8"/>
        <w:spacing w:line="628" w:lineRule="exact"/>
        <w:ind w:firstLine="640"/>
        <w:jc w:val="left"/>
      </w:pPr>
      <w:r>
        <w:t>十二、</w:t>
      </w:r>
      <w:r>
        <w:rPr>
          <w:lang w:val="zh-CN" w:eastAsia="zh-CN" w:bidi="zh-CN"/>
        </w:rPr>
        <w:t>“三</w:t>
      </w:r>
      <w:r>
        <w:t>公”经费：纳入财政预决算管理的</w:t>
      </w:r>
      <w:r>
        <w:rPr>
          <w:lang w:val="zh-CN" w:eastAsia="zh-CN" w:bidi="zh-CN"/>
        </w:rPr>
        <w:t>“三公</w:t>
      </w:r>
      <w:r>
        <w:t>”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8"/>
        <w:spacing w:line="628" w:lineRule="exact"/>
        <w:ind w:firstLine="640"/>
        <w:jc w:val="left"/>
      </w:pPr>
      <w:r>
        <w:t>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sectPr>
      <w:headerReference r:id="rId12" w:type="default"/>
      <w:footerReference r:id="rId13" w:type="default"/>
      <w:type w:val="continuous"/>
      <w:pgSz w:w="11900" w:h="16840"/>
      <w:pgMar w:top="1302" w:right="1735" w:bottom="1568" w:left="1793" w:header="874" w:footer="3"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5181"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13"/>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7216;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MCLEdsAAAANAQAADwAAAAAAAAABACAAAAAiAAAAZHJzL2Rvd25yZXYueG1sUEsBAhQAFAAAAAgA&#10;h07iQA8OhgDpAQAA5QMAAA4AAAAAAAAAAQAgAAAAKgEAAGRycy9lMm9Eb2MueG1sUEsFBgAAAAAG&#10;AAYAWQEAAIUFAAAAAA==&#10;">
              <v:fill on="f" focussize="0,0"/>
              <v:stroke on="f"/>
              <v:imagedata o:title=""/>
              <o:lock v:ext="edit" aspectratio="f"/>
              <v:textbox inset="0mm,0mm,0mm,0mm" style="mso-fit-shape-to-text:t;">
                <w:txbxContent>
                  <w:p>
                    <w:pPr>
                      <w:pStyle w:val="13"/>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5182"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13"/>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MCLEdsAAAANAQAADwAAAAAAAAABACAAAAAiAAAAZHJzL2Rvd25yZXYueG1sUEsBAhQAFAAAAAgA&#10;h07iQDIQ6gvpAQAA5QMAAA4AAAAAAAAAAQAgAAAAKgEAAGRycy9lMm9Eb2MueG1sUEsFBgAAAAAG&#10;AAYAWQEAAIUFAAAAAA==&#10;">
              <v:fill on="f" focussize="0,0"/>
              <v:stroke on="f"/>
              <v:imagedata o:title=""/>
              <o:lock v:ext="edit" aspectratio="f"/>
              <v:textbox inset="0mm,0mm,0mm,0mm" style="mso-fit-shape-to-text:t;">
                <w:txbxContent>
                  <w:p>
                    <w:pPr>
                      <w:pStyle w:val="13"/>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2"/>
      <w:numFmt w:val="decimal"/>
      <w:lvlText w:val="%1."/>
      <w:lvlJc w:val="left"/>
      <w:pPr>
        <w:tabs>
          <w:tab w:val="left" w:pos="312"/>
        </w:tabs>
      </w:pPr>
    </w:lvl>
  </w:abstractNum>
  <w:abstractNum w:abstractNumId="1">
    <w:nsid w:val="4C6C8133"/>
    <w:multiLevelType w:val="singleLevel"/>
    <w:tmpl w:val="4C6C8133"/>
    <w:lvl w:ilvl="0" w:tentative="0">
      <w:start w:val="1"/>
      <w:numFmt w:val="chineseCount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A6440B"/>
    <w:rsid w:val="01DD25EE"/>
    <w:rsid w:val="19C37148"/>
    <w:rsid w:val="26DF4367"/>
    <w:rsid w:val="45A6440B"/>
    <w:rsid w:val="45D20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Body text|5"/>
    <w:basedOn w:val="1"/>
    <w:qFormat/>
    <w:uiPriority w:val="0"/>
    <w:pPr>
      <w:jc w:val="center"/>
    </w:pPr>
    <w:rPr>
      <w:rFonts w:ascii="宋体" w:hAnsi="宋体" w:eastAsia="宋体" w:cs="宋体"/>
      <w:sz w:val="54"/>
      <w:szCs w:val="54"/>
      <w:lang w:val="zh-TW" w:eastAsia="zh-TW" w:bidi="zh-TW"/>
    </w:rPr>
  </w:style>
  <w:style w:type="paragraph" w:customStyle="1" w:styleId="6">
    <w:name w:val="Heading #1|1"/>
    <w:basedOn w:val="1"/>
    <w:qFormat/>
    <w:uiPriority w:val="0"/>
    <w:pPr>
      <w:spacing w:after="400"/>
      <w:jc w:val="center"/>
      <w:outlineLvl w:val="0"/>
    </w:pPr>
    <w:rPr>
      <w:rFonts w:ascii="宋体" w:hAnsi="宋体" w:eastAsia="宋体" w:cs="宋体"/>
      <w:sz w:val="44"/>
      <w:szCs w:val="44"/>
      <w:lang w:val="zh-TW" w:eastAsia="zh-TW" w:bidi="zh-TW"/>
    </w:rPr>
  </w:style>
  <w:style w:type="paragraph" w:customStyle="1" w:styleId="7">
    <w:name w:val="Body text|2"/>
    <w:basedOn w:val="1"/>
    <w:qFormat/>
    <w:uiPriority w:val="0"/>
    <w:pPr>
      <w:spacing w:after="240"/>
      <w:ind w:firstLine="560"/>
    </w:pPr>
    <w:rPr>
      <w:rFonts w:ascii="宋体" w:hAnsi="宋体" w:eastAsia="宋体" w:cs="宋体"/>
      <w:sz w:val="32"/>
      <w:szCs w:val="32"/>
      <w:lang w:val="zh-TW" w:eastAsia="zh-TW" w:bidi="zh-TW"/>
    </w:rPr>
  </w:style>
  <w:style w:type="paragraph" w:customStyle="1" w:styleId="8">
    <w:name w:val="Body text|1"/>
    <w:basedOn w:val="1"/>
    <w:qFormat/>
    <w:uiPriority w:val="0"/>
    <w:pPr>
      <w:spacing w:line="468" w:lineRule="auto"/>
      <w:ind w:firstLine="400"/>
    </w:pPr>
    <w:rPr>
      <w:rFonts w:ascii="宋体" w:hAnsi="宋体" w:eastAsia="宋体" w:cs="宋体"/>
      <w:sz w:val="28"/>
      <w:szCs w:val="28"/>
      <w:lang w:val="zh-TW" w:eastAsia="zh-TW" w:bidi="zh-TW"/>
    </w:rPr>
  </w:style>
  <w:style w:type="paragraph" w:customStyle="1" w:styleId="9">
    <w:name w:val="Body text|3"/>
    <w:basedOn w:val="1"/>
    <w:qFormat/>
    <w:uiPriority w:val="0"/>
    <w:pPr>
      <w:spacing w:after="140" w:line="336" w:lineRule="auto"/>
      <w:ind w:firstLine="370"/>
    </w:pPr>
    <w:rPr>
      <w:sz w:val="30"/>
      <w:szCs w:val="30"/>
      <w:lang w:val="zh-TW" w:eastAsia="zh-TW" w:bidi="zh-TW"/>
    </w:rPr>
  </w:style>
  <w:style w:type="paragraph" w:customStyle="1" w:styleId="10">
    <w:name w:val="Heading #2|1"/>
    <w:basedOn w:val="1"/>
    <w:qFormat/>
    <w:uiPriority w:val="0"/>
    <w:pPr>
      <w:spacing w:after="230"/>
      <w:jc w:val="center"/>
      <w:outlineLvl w:val="1"/>
    </w:pPr>
    <w:rPr>
      <w:rFonts w:ascii="宋体" w:hAnsi="宋体" w:eastAsia="宋体" w:cs="宋体"/>
      <w:sz w:val="26"/>
      <w:szCs w:val="26"/>
      <w:lang w:val="zh-TW" w:eastAsia="zh-TW" w:bidi="zh-TW"/>
    </w:rPr>
  </w:style>
  <w:style w:type="paragraph" w:customStyle="1" w:styleId="11">
    <w:name w:val="Other|1"/>
    <w:basedOn w:val="1"/>
    <w:qFormat/>
    <w:uiPriority w:val="0"/>
    <w:pPr>
      <w:spacing w:line="468" w:lineRule="auto"/>
      <w:ind w:firstLine="400"/>
    </w:pPr>
    <w:rPr>
      <w:rFonts w:ascii="宋体" w:hAnsi="宋体" w:eastAsia="宋体" w:cs="宋体"/>
      <w:sz w:val="28"/>
      <w:szCs w:val="28"/>
      <w:lang w:val="zh-TW" w:eastAsia="zh-TW" w:bidi="zh-TW"/>
    </w:rPr>
  </w:style>
  <w:style w:type="paragraph" w:customStyle="1" w:styleId="12">
    <w:name w:val="Table caption|1"/>
    <w:basedOn w:val="1"/>
    <w:qFormat/>
    <w:uiPriority w:val="0"/>
    <w:rPr>
      <w:rFonts w:ascii="宋体" w:hAnsi="宋体" w:eastAsia="宋体" w:cs="宋体"/>
      <w:sz w:val="17"/>
      <w:szCs w:val="17"/>
      <w:lang w:val="zh-TW" w:eastAsia="zh-TW" w:bidi="zh-TW"/>
    </w:rPr>
  </w:style>
  <w:style w:type="paragraph" w:customStyle="1" w:styleId="13">
    <w:name w:val="Header or footer|1"/>
    <w:basedOn w:val="1"/>
    <w:qFormat/>
    <w:uiPriority w:val="0"/>
    <w:rPr>
      <w:b/>
      <w:bCs/>
      <w:sz w:val="17"/>
      <w:szCs w:val="17"/>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6.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formatCode>General</c:formatCode>
                <c:ptCount val="1"/>
                <c:pt idx="0">
                  <c:v>552.7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农林水支出</c:v>
                </c:pt>
              </c:strCache>
            </c:strRef>
          </c:cat>
          <c:val>
            <c:numRef>
              <c:f>Sheet1!$B$2</c:f>
              <c:numCache>
                <c:formatCode>General</c:formatCode>
                <c:ptCount val="1"/>
                <c:pt idx="0">
                  <c:v>552.7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支出</c:v>
                </c:pt>
                <c:pt idx="1">
                  <c:v>收入</c:v>
                </c:pt>
              </c:strCache>
            </c:strRef>
          </c:cat>
          <c:val>
            <c:numRef>
              <c:f>Sheet1!$B$2:$B$3</c:f>
              <c:numCache>
                <c:formatCode>General</c:formatCode>
                <c:ptCount val="2"/>
                <c:pt idx="0">
                  <c:v>930.9</c:v>
                </c:pt>
                <c:pt idx="1">
                  <c:v>930.9</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支出</c:v>
                </c:pt>
                <c:pt idx="1">
                  <c:v>收入</c:v>
                </c:pt>
              </c:strCache>
            </c:strRef>
          </c:cat>
          <c:val>
            <c:numRef>
              <c:f>Sheet1!$C$2:$C$3</c:f>
              <c:numCache>
                <c:formatCode>General</c:formatCode>
                <c:ptCount val="2"/>
                <c:pt idx="0">
                  <c:v>552.7</c:v>
                </c:pt>
                <c:pt idx="1">
                  <c:v>552.7</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一般公共预算支出情况</a:t>
            </a:r>
            <a:endParaRPr lang="en-US" sz="1100"/>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552.7</c:v>
                </c:pt>
              </c:numCache>
            </c:numRef>
          </c:val>
        </c:ser>
        <c:ser>
          <c:idx val="1"/>
          <c:order val="1"/>
          <c:tx>
            <c:strRef>
              <c:f>Sheet1!$C$1</c:f>
              <c:strCache>
                <c:ptCount val="1"/>
                <c:pt idx="0">
                  <c:v>结转下年支出</c:v>
                </c:pt>
              </c:strCache>
            </c:strRef>
          </c:tx>
          <c:invertIfNegative val="0"/>
          <c:dLbls>
            <c:delete val="1"/>
          </c:dLbls>
          <c:cat>
            <c:strRef>
              <c:f>Sheet1!$A$2</c:f>
              <c:strCache>
                <c:ptCount val="1"/>
                <c:pt idx="0">
                  <c:v>上年</c:v>
                </c:pt>
              </c:strCache>
            </c:strRef>
          </c:cat>
          <c:val>
            <c:numRef>
              <c:f>Sheet1!$C$2</c:f>
              <c:numCache>
                <c:formatCode>General</c:formatCode>
                <c:ptCount val="1"/>
                <c:pt idx="0">
                  <c:v>0</c:v>
                </c:pt>
              </c:numCache>
            </c:numRef>
          </c:val>
        </c:ser>
        <c:ser>
          <c:idx val="2"/>
          <c:order val="2"/>
          <c:tx>
            <c:strRef>
              <c:f>Sheet1!$D$1</c:f>
              <c:strCache>
                <c:ptCount val="1"/>
                <c:pt idx="0">
                  <c:v>项目支出</c:v>
                </c:pt>
              </c:strCache>
            </c:strRef>
          </c:tx>
          <c:invertIfNegative val="0"/>
          <c:dLbls>
            <c:delete val="1"/>
          </c:dLbls>
          <c:cat>
            <c:strRef>
              <c:f>Sheet1!$A$2</c:f>
              <c:strCache>
                <c:ptCount val="1"/>
                <c:pt idx="0">
                  <c:v>上年</c:v>
                </c:pt>
              </c:strCache>
            </c:strRef>
          </c:cat>
          <c:val>
            <c:numRef>
              <c:f>Sheet1!$D$2</c:f>
              <c:numCache>
                <c:formatCode>General</c:formatCode>
                <c:ptCount val="1"/>
                <c:pt idx="0">
                  <c:v>0</c:v>
                </c:pt>
              </c:numCache>
            </c:numRef>
          </c:val>
        </c:ser>
        <c:ser>
          <c:idx val="3"/>
          <c:order val="3"/>
          <c:tx>
            <c:strRef>
              <c:f>Sheet1!$E$1</c:f>
              <c:strCache>
                <c:ptCount val="1"/>
                <c:pt idx="0">
                  <c:v>公用经费</c:v>
                </c:pt>
              </c:strCache>
            </c:strRef>
          </c:tx>
          <c:invertIfNegative val="0"/>
          <c:dLbls>
            <c:delete val="1"/>
          </c:dLbls>
          <c:cat>
            <c:strRef>
              <c:f>Sheet1!$A$2</c:f>
              <c:strCache>
                <c:ptCount val="1"/>
                <c:pt idx="0">
                  <c:v>上年</c:v>
                </c:pt>
              </c:strCache>
            </c:strRef>
          </c:cat>
          <c:val>
            <c:numRef>
              <c:f>Sheet1!$E$2</c:f>
              <c:numCache>
                <c:formatCode>General</c:formatCode>
                <c:ptCount val="1"/>
                <c:pt idx="0">
                  <c:v>59.5</c:v>
                </c:pt>
              </c:numCache>
            </c:numRef>
          </c:val>
        </c:ser>
        <c:ser>
          <c:idx val="4"/>
          <c:order val="4"/>
          <c:tx>
            <c:strRef>
              <c:f>Sheet1!$F$1</c:f>
              <c:strCache>
                <c:ptCount val="1"/>
                <c:pt idx="0">
                  <c:v>人员经费</c:v>
                </c:pt>
              </c:strCache>
            </c:strRef>
          </c:tx>
          <c:invertIfNegative val="0"/>
          <c:dLbls>
            <c:delete val="1"/>
          </c:dLbls>
          <c:cat>
            <c:strRef>
              <c:f>Sheet1!$A$2</c:f>
              <c:strCache>
                <c:ptCount val="1"/>
                <c:pt idx="0">
                  <c:v>上年</c:v>
                </c:pt>
              </c:strCache>
            </c:strRef>
          </c:cat>
          <c:val>
            <c:numRef>
              <c:f>Sheet1!$F$2</c:f>
              <c:numCache>
                <c:formatCode>General</c:formatCode>
                <c:ptCount val="1"/>
                <c:pt idx="0">
                  <c:v>493.2</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一般公共预算基本支出情况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Lbls>
            <c:delete val="1"/>
          </c:dLbls>
          <c:cat>
            <c:strRef>
              <c:f>Sheet1!$A$2:$A$3</c:f>
              <c:strCache>
                <c:ptCount val="2"/>
                <c:pt idx="0">
                  <c:v>人员经费</c:v>
                </c:pt>
                <c:pt idx="1">
                  <c:v>公用经费</c:v>
                </c:pt>
              </c:strCache>
            </c:strRef>
          </c:cat>
          <c:val>
            <c:numRef>
              <c:f>Sheet1!$B$2:$B$3</c:f>
              <c:numCache>
                <c:formatCode>General</c:formatCode>
                <c:ptCount val="2"/>
                <c:pt idx="0">
                  <c:v>493.2</c:v>
                </c:pt>
                <c:pt idx="1">
                  <c:v>59.5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公务用车购置及运行费预算</c:v>
                </c:pt>
                <c:pt idx="1">
                  <c:v>因公出国（境）经费预算</c:v>
                </c:pt>
                <c:pt idx="2">
                  <c:v>公务接待费预算</c:v>
                </c:pt>
              </c:strCache>
            </c:strRef>
          </c:cat>
          <c:val>
            <c:numRef>
              <c:f>Sheet1!$B$2:$B$4</c:f>
              <c:numCache>
                <c:formatCode>General</c:formatCode>
                <c:ptCount val="3"/>
                <c:pt idx="0">
                  <c:v>0</c:v>
                </c:pt>
                <c:pt idx="1">
                  <c:v>0</c:v>
                </c:pt>
                <c:pt idx="2">
                  <c:v>0</c:v>
                </c:pt>
              </c:numCache>
            </c:numRef>
          </c:val>
        </c:ser>
        <c:ser>
          <c:idx val="1"/>
          <c:order val="1"/>
          <c:tx>
            <c:strRef>
              <c:f>Sheet1!$C$1</c:f>
              <c:strCache>
                <c:ptCount val="1"/>
                <c:pt idx="0">
                  <c:v>当年</c:v>
                </c:pt>
              </c:strCache>
            </c:strRef>
          </c:tx>
          <c:invertIfNegative val="0"/>
          <c:dLbls>
            <c:delete val="1"/>
          </c:dLbls>
          <c:cat>
            <c:strRef>
              <c:f>Sheet1!$A$2:$A$4</c:f>
              <c:strCache>
                <c:ptCount val="3"/>
                <c:pt idx="0">
                  <c:v>公务用车购置及运行费预算</c:v>
                </c:pt>
                <c:pt idx="1">
                  <c:v>因公出国（境）经费预算</c:v>
                </c:pt>
                <c:pt idx="2">
                  <c:v>公务接待费预算</c:v>
                </c:pt>
              </c:strCache>
            </c:strRef>
          </c:cat>
          <c:val>
            <c:numRef>
              <c:f>Sheet1!$C$2:$C$4</c:f>
              <c:numCache>
                <c:formatCode>General</c:formatCode>
                <c:ptCount val="3"/>
                <c:pt idx="0">
                  <c:v>0</c:v>
                </c:pt>
                <c:pt idx="1">
                  <c:v>0</c:v>
                </c:pt>
                <c:pt idx="2">
                  <c:v>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2024-02-27T09:38:00Z</dcterms:created>
  <dc:creator>July</dc:creator>
  <cp:lastModifiedBy>July</cp:lastModifiedBy>
  <cp:lastPrinted>2024-02-29T10:05:00Z</cp:lastPrinted>
  <dcterms:modified xsi:type="dcterms:W3CDTF">2024-02-29T10:16:46Z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23EA5EADB9BA4C4B9B8AD8B592CE2DDB</vt:lpwstr>
  </property>
</Properties>
</file>