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环江毛南族自治县大安乡财政所</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0"/>
      <w:bookmarkStart w:id="2" w:name="bookmark1"/>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环江毛南族自治县大安乡财政所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环江毛南族自治县大安乡财政所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环江毛南族自治县大安乡财政所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环江毛南族自治县大安乡财政所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大安乡财政所主要职责：一是负责组织和管理乡财政所收入和支出，编制执行年度预、决算；二是落实兑现各项惠农补助资金，对农民负担和农村政策实施监督；三是负责本单位非税收入的管理，财政票据的申购、领发、缴销以及国有资产的管理；四是完成上级主管部门和乡党委、政府交办的其他事项。</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（一）机构情况：本单位是参照公务员管理的全额拨款事业单位，机构设置包括财政所所长（或负责人）、会计、出纳等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（二）人员情况：财政所共5个参公编制，其中在职人员3人，无遗属优抚人员。</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7"/>
      <w:bookmarkStart w:id="11" w:name="bookmark28"/>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环江毛南族自治县大安乡财政所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44.36</w:t>
      </w:r>
      <w:r>
        <w:rPr>
          <w:rFonts w:hint="eastAsia"/>
          <w:b w:val="0"/>
          <w:bCs w:val="0"/>
          <w:sz w:val="28"/>
          <w:szCs w:val="28"/>
        </w:rPr>
        <w:t xml:space="preserve">万元，总支出</w:t>
      </w:r>
      <w:r>
        <w:rPr>
          <w:rFonts w:hint="eastAsia"/>
          <w:sz w:val="28"/>
          <w:szCs w:val="28"/>
          <w:lang w:val="en-US" w:eastAsia="zh-CN"/>
        </w:rPr>
        <w:t xml:space="preserve">44.36</w:t>
      </w:r>
      <w:r>
        <w:rPr>
          <w:rFonts w:hint="eastAsia"/>
          <w:b w:val="0"/>
          <w:bCs w:val="0"/>
          <w:sz w:val="28"/>
          <w:szCs w:val="28"/>
        </w:rPr>
        <w:t xml:space="preserve">万元。总收入较2023年度预算数</w:t>
      </w:r>
      <w:r>
        <w:rPr>
          <w:rFonts w:hint="eastAsia"/>
          <w:sz w:val="28"/>
          <w:szCs w:val="28"/>
          <w:lang w:val="en-US" w:eastAsia="zh-CN"/>
        </w:rPr>
        <w:t xml:space="preserve">39.47</w:t>
      </w:r>
      <w:r>
        <w:rPr>
          <w:rFonts w:hint="eastAsia"/>
          <w:b w:val="0"/>
          <w:bCs w:val="0"/>
          <w:sz w:val="28"/>
          <w:szCs w:val="28"/>
        </w:rPr>
        <w:t xml:space="preserve">万元，</w:t>
      </w:r>
      <w:r>
        <w:rPr>
          <w:rFonts w:hint="eastAsia"/>
          <w:sz w:val="28"/>
          <w:szCs w:val="28"/>
        </w:rPr>
        <w:t xml:space="preserve">增加4.89</w:t>
      </w:r>
      <w:r>
        <w:rPr>
          <w:rFonts w:hint="eastAsia"/>
          <w:b w:val="0"/>
          <w:bCs w:val="0"/>
          <w:sz w:val="28"/>
          <w:szCs w:val="28"/>
        </w:rPr>
        <w:t xml:space="preserve">万元，</w:t>
      </w:r>
      <w:r>
        <w:rPr>
          <w:rFonts w:hint="eastAsia"/>
          <w:sz w:val="28"/>
          <w:szCs w:val="28"/>
        </w:rPr>
        <w:t xml:space="preserve">增长12.39%</w:t>
      </w:r>
      <w:r>
        <w:rPr>
          <w:rFonts w:hint="eastAsia"/>
          <w:b w:val="0"/>
          <w:bCs w:val="0"/>
          <w:sz w:val="28"/>
          <w:szCs w:val="28"/>
        </w:rPr>
        <w:t xml:space="preserve">，主要原因是</w:t>
      </w:r>
      <w:r>
        <w:rPr>
          <w:rFonts w:hint="eastAsia"/>
          <w:highlight w:val="none"/>
          <w:lang w:val="en-US" w:eastAsia="zh-CN"/>
        </w:rPr>
        <w:t xml:space="preserve">2024年单位在职在编职工基础绩效奖增长和工资正常调档晋升</w:t>
      </w:r>
      <w:r>
        <w:rPr>
          <w:rFonts w:hint="eastAsia"/>
          <w:b w:val="0"/>
          <w:bCs w:val="0"/>
          <w:sz w:val="28"/>
          <w:szCs w:val="28"/>
        </w:rPr>
        <w:t xml:space="preserve">。总支出较2023年度预算数</w:t>
      </w:r>
      <w:r>
        <w:rPr>
          <w:rFonts w:hint="eastAsia"/>
          <w:sz w:val="28"/>
          <w:szCs w:val="28"/>
          <w:lang w:val="en-US" w:eastAsia="zh-CN"/>
        </w:rPr>
        <w:t xml:space="preserve">39.47</w:t>
      </w:r>
      <w:r>
        <w:rPr>
          <w:rFonts w:hint="eastAsia"/>
          <w:b w:val="0"/>
          <w:bCs w:val="0"/>
          <w:sz w:val="28"/>
          <w:szCs w:val="28"/>
        </w:rPr>
        <w:t xml:space="preserve">万元，</w:t>
      </w:r>
      <w:r>
        <w:rPr>
          <w:rFonts w:hint="eastAsia"/>
          <w:sz w:val="28"/>
          <w:szCs w:val="28"/>
        </w:rPr>
        <w:t xml:space="preserve">增加4.89</w:t>
      </w:r>
      <w:r>
        <w:rPr>
          <w:rFonts w:hint="eastAsia"/>
          <w:b w:val="0"/>
          <w:bCs w:val="0"/>
          <w:sz w:val="28"/>
          <w:szCs w:val="28"/>
        </w:rPr>
        <w:t xml:space="preserve">万元，</w:t>
      </w:r>
      <w:r>
        <w:rPr>
          <w:rFonts w:hint="eastAsia"/>
          <w:sz w:val="28"/>
          <w:szCs w:val="28"/>
        </w:rPr>
        <w:t xml:space="preserve">增长12.39%</w:t>
      </w:r>
      <w:r>
        <w:rPr>
          <w:rFonts w:hint="eastAsia"/>
          <w:b w:val="0"/>
          <w:bCs w:val="0"/>
          <w:sz w:val="28"/>
          <w:szCs w:val="28"/>
        </w:rPr>
        <w:t xml:space="preserve">，主要原因是</w:t>
      </w:r>
      <w:r>
        <w:rPr>
          <w:rFonts w:hint="eastAsia"/>
          <w:highlight w:val="none"/>
          <w:lang w:val="en-US" w:eastAsia="zh-CN"/>
        </w:rPr>
        <w:t xml:space="preserve">2024年单位在职在编职工基础绩效奖增长和工资正常调档晋升</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24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44.36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39.47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增加4.89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增长12.39%</w:t>
      </w:r>
      <w:r>
        <w:rPr>
          <w:rFonts w:ascii="宋体" w:eastAsia="宋体" w:hAnsi="宋体" w:cs="宋体" w:hint="eastAsia"/>
          <w:sz w:val="28"/>
          <w:szCs w:val="28"/>
          <w:u w:color="auto"/>
        </w:rPr>
        <w:t xml:space="preserve">，主要原因是</w:t>
      </w:r>
      <w:r>
        <w:rPr>
          <w:rFonts w:hint="eastAsia"/>
          <w:highlight w:val="none"/>
          <w:lang w:val="en-US" w:eastAsia="zh-CN"/>
        </w:rPr>
        <w:t xml:space="preserve">2024年单位在职在编职工基础绩效奖增长和正常工资调档晋升</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24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44.36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39.47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增加4.89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增长12.39%</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2024年单位在职在编职工基础绩效奖增长和正常工资调档晋升</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2024年单位在职在编职工基础绩效奖增长和正常工资调档晋升</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3</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36.25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81.72%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增长14.46%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2024年单位在职在编职工基础绩效奖增长和正常工资调档晋升</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4.34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9.78%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减少0.12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减少2.69%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单位在职在编职工的五险基数调整减少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3.77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8.50%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增长0.43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增长12.87%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本单位在职在编职工的公积金基数调整，单位缴纳部分增加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41.36</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93.24%</w:t>
      </w:r>
      <w:r>
        <w:rPr>
          <w:rFonts w:ascii="宋体" w:eastAsia="宋体" w:hAnsi="宋体" w:cs="宋体"/>
          <w:sz w:val="28"/>
          <w:u w:color="auto"/>
        </w:rPr>
        <w:t xml:space="preserve">,比上年</w:t>
      </w:r>
      <w:r>
        <w:rPr>
          <w:rFonts w:ascii="宋体" w:eastAsia="宋体" w:hAnsi="宋体" w:cs="宋体"/>
          <w:sz w:val="28"/>
          <w:u w:color="auto"/>
        </w:rPr>
        <w:t xml:space="preserve">增长4.89</w:t>
      </w:r>
      <w:r>
        <w:rPr>
          <w:rFonts w:ascii="宋体" w:eastAsia="宋体" w:hAnsi="宋体" w:cs="宋体"/>
          <w:sz w:val="28"/>
          <w:u w:color="auto"/>
        </w:rPr>
        <w:t xml:space="preserve">万元，</w:t>
      </w:r>
      <w:r>
        <w:rPr>
          <w:rFonts w:ascii="宋体" w:eastAsia="宋体" w:hAnsi="宋体" w:cs="宋体"/>
          <w:sz w:val="28"/>
          <w:u w:color="auto"/>
        </w:rPr>
        <w:t xml:space="preserve">增长13.41%</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3.89</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9.41%</w:t>
      </w:r>
      <w:r>
        <w:rPr>
          <w:rFonts w:ascii="宋体" w:eastAsia="宋体" w:hAnsi="宋体" w:cs="宋体" w:hint="eastAsia"/>
          <w:sz w:val="28"/>
          <w:szCs w:val="28"/>
        </w:rPr>
        <w:t xml:space="preserve">,比上年</w:t>
      </w:r>
      <w:r>
        <w:rPr>
          <w:rFonts w:ascii="宋体" w:eastAsia="宋体" w:hAnsi="宋体" w:cs="宋体"/>
          <w:sz w:val="28"/>
          <w:u w:color="auto"/>
        </w:rPr>
        <w:t xml:space="preserve">减少0.20</w:t>
      </w:r>
      <w:r>
        <w:rPr>
          <w:rFonts w:ascii="宋体" w:eastAsia="宋体" w:hAnsi="宋体" w:cs="宋体"/>
          <w:sz w:val="28"/>
          <w:u w:color="auto"/>
        </w:rPr>
        <w:t xml:space="preserve">万元，</w:t>
      </w:r>
      <w:r>
        <w:rPr>
          <w:rFonts w:ascii="宋体" w:eastAsia="宋体" w:hAnsi="宋体" w:cs="宋体"/>
          <w:sz w:val="28"/>
          <w:u w:color="auto"/>
        </w:rPr>
        <w:t xml:space="preserve">减少4.89%</w:t>
      </w:r>
      <w:r>
        <w:rPr>
          <w:rFonts w:ascii="宋体" w:eastAsia="宋体" w:hAnsi="宋体" w:cs="宋体"/>
          <w:sz w:val="28"/>
          <w:u w:color="auto"/>
        </w:rPr>
        <w:t xml:space="preserve">,主要原因是：2024年度工会经费有所减少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37.47</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90.59%</w:t>
      </w:r>
      <w:r>
        <w:rPr>
          <w:rFonts w:ascii="宋体" w:eastAsia="宋体" w:hAnsi="宋体" w:cs="宋体" w:hint="eastAsia"/>
          <w:sz w:val="28"/>
          <w:szCs w:val="28"/>
        </w:rPr>
        <w:t xml:space="preserve">,比上年</w:t>
      </w:r>
      <w:r>
        <w:rPr>
          <w:rFonts w:ascii="宋体" w:eastAsia="宋体" w:hAnsi="宋体" w:cs="宋体"/>
          <w:sz w:val="28"/>
          <w:u w:color="auto"/>
        </w:rPr>
        <w:t xml:space="preserve">增长5.09</w:t>
      </w:r>
      <w:r>
        <w:rPr>
          <w:rFonts w:ascii="宋体" w:eastAsia="宋体" w:hAnsi="宋体" w:cs="宋体"/>
          <w:sz w:val="28"/>
          <w:u w:color="auto"/>
        </w:rPr>
        <w:t xml:space="preserve">万元，</w:t>
      </w:r>
      <w:r>
        <w:rPr>
          <w:rFonts w:ascii="宋体" w:eastAsia="宋体" w:hAnsi="宋体" w:cs="宋体"/>
          <w:sz w:val="28"/>
          <w:u w:color="auto"/>
        </w:rPr>
        <w:t xml:space="preserve">增长15.72%</w:t>
      </w:r>
      <w:r>
        <w:rPr>
          <w:rFonts w:ascii="宋体" w:eastAsia="宋体" w:hAnsi="宋体" w:cs="宋体"/>
          <w:sz w:val="28"/>
          <w:u w:color="auto"/>
        </w:rPr>
        <w:t xml:space="preserve">,主要原因是：单位在职在编职工的基础绩效奖增加、艰苦边远津贴调整增加和正常工资调档晋升</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6.76%</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100.00%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项目无增减，故未产生变化</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24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44.36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44.36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39.47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增长12.39%</w:t>
      </w:r>
      <w:r>
        <w:rPr>
          <w:rFonts w:ascii="宋体" w:eastAsia="宋体" w:hAnsi="宋体" w:cs="宋体" w:hint="eastAsia"/>
          <w:sz w:val="28"/>
          <w:szCs w:val="28"/>
        </w:rPr>
        <w:t xml:space="preserve">，主要原因是</w:t>
      </w:r>
      <w:r>
        <w:rPr>
          <w:rFonts w:hint="eastAsia"/>
          <w:highlight w:val="none"/>
          <w:lang w:val="en-US" w:eastAsia="zh-CN"/>
        </w:rPr>
        <w:t xml:space="preserve">2024年单位在职在编职工基础绩效奖增长和工资正常调档晋升</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39.47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增长12.39%</w:t>
      </w:r>
      <w:r>
        <w:rPr>
          <w:rFonts w:ascii="宋体" w:eastAsia="宋体" w:hAnsi="宋体" w:cs="宋体" w:hint="eastAsia"/>
          <w:sz w:val="28"/>
          <w:szCs w:val="28"/>
        </w:rPr>
        <w:t xml:space="preserve">，主要原因是</w:t>
      </w:r>
      <w:r>
        <w:rPr>
          <w:rFonts w:hint="eastAsia"/>
          <w:highlight w:val="none"/>
          <w:lang w:val="en-US" w:eastAsia="zh-CN"/>
        </w:rPr>
        <w:t xml:space="preserve">2024年单位在职在编职工基础绩效奖增长和工资正常调档晋升</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24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44.36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39.47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增加4.89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增长12.39%</w:t>
      </w:r>
      <w:r>
        <w:rPr>
          <w:rFonts w:ascii="宋体" w:eastAsia="宋体" w:hAnsi="宋体" w:cs="宋体" w:hint="eastAsia"/>
          <w:sz w:val="28"/>
          <w:szCs w:val="28"/>
        </w:rPr>
        <w:t xml:space="preserve">，主要原因是</w:t>
      </w:r>
      <w:r>
        <w:rPr>
          <w:rFonts w:hint="eastAsia"/>
          <w:highlight w:val="none"/>
          <w:lang w:val="en-US" w:eastAsia="zh-CN"/>
        </w:rPr>
        <w:t xml:space="preserve">2024年单位在职在编职工基础绩效奖增长和工资正常调档晋升</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36.25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81.72%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31.67</w:t>
      </w:r>
      <w:r>
        <w:rPr>
          <w:rFonts w:ascii="宋体" w:eastAsia="宋体" w:hAnsi="宋体" w:cs="宋体" w:hint="eastAsia"/>
          <w:sz w:val="28"/>
          <w:szCs w:val="28"/>
        </w:rPr>
        <w:t xml:space="preserve">万元，</w:t>
      </w:r>
      <w:r>
        <w:rPr>
          <w:rFonts w:ascii="宋体" w:eastAsia="宋体" w:hAnsi="宋体" w:cs="宋体"/>
          <w:sz w:val="28"/>
          <w:u w:color="auto"/>
        </w:rPr>
        <w:t xml:space="preserve">增长4.58</w:t>
      </w:r>
      <w:r>
        <w:rPr>
          <w:rFonts w:ascii="宋体" w:eastAsia="宋体" w:hAnsi="宋体" w:cs="宋体" w:hint="eastAsia"/>
          <w:sz w:val="28"/>
          <w:szCs w:val="28"/>
        </w:rPr>
        <w:t xml:space="preserve">万元，</w:t>
      </w:r>
      <w:r>
        <w:rPr>
          <w:rFonts w:ascii="宋体" w:eastAsia="宋体" w:hAnsi="宋体" w:cs="宋体"/>
          <w:sz w:val="28"/>
          <w:u w:color="auto"/>
        </w:rPr>
        <w:t xml:space="preserve">增长14.46%</w:t>
      </w:r>
      <w:r>
        <w:rPr>
          <w:rFonts w:ascii="宋体" w:eastAsia="宋体" w:hAnsi="宋体" w:cs="宋体" w:hint="eastAsia"/>
          <w:sz w:val="28"/>
          <w:szCs w:val="28"/>
        </w:rPr>
        <w:t xml:space="preserve">，主要原因是：</w:t>
      </w:r>
      <w:r>
        <w:rPr>
          <w:rFonts w:hint="eastAsia"/>
          <w:highlight w:val="none"/>
        </w:rPr>
        <w:t xml:space="preserve">2024年单位在职在编职工基础绩效奖增长和工资正常调档晋升</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3.77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8.50%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3.34</w:t>
      </w:r>
      <w:r>
        <w:rPr>
          <w:rFonts w:ascii="宋体" w:eastAsia="宋体" w:hAnsi="宋体" w:cs="宋体" w:hint="eastAsia"/>
          <w:sz w:val="28"/>
          <w:szCs w:val="28"/>
        </w:rPr>
        <w:t xml:space="preserve">万元，</w:t>
      </w:r>
      <w:r>
        <w:rPr>
          <w:rFonts w:ascii="宋体" w:eastAsia="宋体" w:hAnsi="宋体" w:cs="宋体"/>
          <w:sz w:val="28"/>
          <w:u w:color="auto"/>
        </w:rPr>
        <w:t xml:space="preserve">增长0.43</w:t>
      </w:r>
      <w:r>
        <w:rPr>
          <w:rFonts w:ascii="宋体" w:eastAsia="宋体" w:hAnsi="宋体" w:cs="宋体" w:hint="eastAsia"/>
          <w:sz w:val="28"/>
          <w:szCs w:val="28"/>
        </w:rPr>
        <w:t xml:space="preserve">万元，</w:t>
      </w:r>
      <w:r>
        <w:rPr>
          <w:rFonts w:ascii="宋体" w:eastAsia="宋体" w:hAnsi="宋体" w:cs="宋体"/>
          <w:sz w:val="28"/>
          <w:u w:color="auto"/>
        </w:rPr>
        <w:t xml:space="preserve">增长12.87%</w:t>
      </w:r>
      <w:r>
        <w:rPr>
          <w:rFonts w:ascii="宋体" w:eastAsia="宋体" w:hAnsi="宋体" w:cs="宋体" w:hint="eastAsia"/>
          <w:sz w:val="28"/>
          <w:szCs w:val="28"/>
        </w:rPr>
        <w:t xml:space="preserve">，主要原因是：</w:t>
      </w:r>
      <w:r>
        <w:rPr>
          <w:rFonts w:hint="eastAsia"/>
          <w:highlight w:val="none"/>
        </w:rPr>
        <w:t xml:space="preserve">本单位在职在编职工的公积金基数调整，单位缴纳部分增加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4.34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9.78%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4.46</w:t>
      </w:r>
      <w:r>
        <w:rPr>
          <w:rFonts w:ascii="宋体" w:eastAsia="宋体" w:hAnsi="宋体" w:cs="宋体" w:hint="eastAsia"/>
          <w:sz w:val="28"/>
          <w:szCs w:val="28"/>
        </w:rPr>
        <w:t xml:space="preserve">万元，</w:t>
      </w:r>
      <w:r>
        <w:rPr>
          <w:rFonts w:ascii="宋体" w:eastAsia="宋体" w:hAnsi="宋体" w:cs="宋体"/>
          <w:sz w:val="28"/>
          <w:u w:color="auto"/>
        </w:rPr>
        <w:t xml:space="preserve">减少0.12</w:t>
      </w:r>
      <w:r>
        <w:rPr>
          <w:rFonts w:ascii="宋体" w:eastAsia="宋体" w:hAnsi="宋体" w:cs="宋体" w:hint="eastAsia"/>
          <w:sz w:val="28"/>
          <w:szCs w:val="28"/>
        </w:rPr>
        <w:t xml:space="preserve">万元，</w:t>
      </w:r>
      <w:r>
        <w:rPr>
          <w:rFonts w:ascii="宋体" w:eastAsia="宋体" w:hAnsi="宋体" w:cs="宋体"/>
          <w:sz w:val="28"/>
          <w:u w:color="auto"/>
        </w:rPr>
        <w:t xml:space="preserve">减少2.69%</w:t>
      </w:r>
      <w:r>
        <w:rPr>
          <w:rFonts w:ascii="宋体" w:eastAsia="宋体" w:hAnsi="宋体" w:cs="宋体" w:hint="eastAsia"/>
          <w:sz w:val="28"/>
          <w:szCs w:val="28"/>
        </w:rPr>
        <w:t xml:space="preserve">，主要原因是：</w:t>
      </w:r>
      <w:r>
        <w:rPr>
          <w:rFonts w:hint="eastAsia"/>
          <w:highlight w:val="none"/>
        </w:rPr>
        <w:t xml:space="preserve">单位在职在编职工的五险基数调整，社保缴费基数减少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24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41.36</w:t>
      </w:r>
      <w:r>
        <w:rPr>
          <w:rFonts w:hint="eastAsia"/>
        </w:rPr>
        <w:t xml:space="preserve">万元，较2023年度预算数</w:t>
      </w:r>
      <w:r>
        <w:rPr>
          <w:rFonts w:hint="eastAsia"/>
          <w:lang w:val="en-US" w:eastAsia="zh-CN"/>
        </w:rPr>
        <w:t xml:space="preserve">36.47</w:t>
      </w:r>
      <w:r>
        <w:rPr>
          <w:rFonts w:hint="eastAsia"/>
        </w:rPr>
        <w:t xml:space="preserve">万元</w:t>
      </w:r>
      <w:r>
        <w:rPr>
          <w:rFonts w:hint="eastAsia"/>
          <w:lang w:val="en-US" w:eastAsia="zh-CN"/>
        </w:rPr>
        <w:t xml:space="preserve">,</w:t>
      </w:r>
      <w:r>
        <w:rPr>
          <w:u w:color="auto"/>
        </w:rPr>
        <w:t xml:space="preserve">增加4.89</w:t>
      </w:r>
      <w:r>
        <w:rPr>
          <w:rFonts w:hint="eastAsia"/>
        </w:rPr>
        <w:t xml:space="preserve">万元，</w:t>
      </w:r>
      <w:r>
        <w:rPr>
          <w:rFonts w:hint="eastAsia"/>
          <w:lang w:val="en-US" w:eastAsia="zh-CN"/>
        </w:rPr>
        <w:t xml:space="preserve">增长13.41%</w:t>
      </w:r>
      <w:r>
        <w:rPr>
          <w:rFonts w:hint="eastAsia"/>
        </w:rPr>
        <w:t xml:space="preserve">，主要原因是</w:t>
      </w:r>
      <w:r>
        <w:rPr>
          <w:rFonts w:hint="eastAsia"/>
          <w:highlight w:val="none"/>
          <w:lang w:val="en-US" w:eastAsia="zh-CN"/>
        </w:rPr>
        <w:t xml:space="preserve">2024年单位在职在编职工基础绩效奖增长和工资正常调档晋升。</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3.89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9.41%</w:t>
      </w:r>
      <w:r>
        <w:rPr>
          <w:rFonts w:hint="eastAsia"/>
        </w:rPr>
        <w:t xml:space="preserve">，较2023年度预算数</w:t>
      </w:r>
      <w:r>
        <w:rPr>
          <w:rFonts w:hint="eastAsia"/>
          <w:lang w:val="en-US" w:eastAsia="zh-CN"/>
        </w:rPr>
        <w:t xml:space="preserve">4.09</w:t>
      </w:r>
      <w:r>
        <w:rPr>
          <w:rFonts w:hint="eastAsia"/>
        </w:rPr>
        <w:t xml:space="preserve">万元，</w:t>
      </w:r>
      <w:r>
        <w:rPr>
          <w:rFonts w:hint="eastAsia"/>
          <w:lang w:val="en-US" w:eastAsia="zh-CN"/>
        </w:rPr>
        <w:t xml:space="preserve">减少0.20</w:t>
      </w:r>
      <w:r>
        <w:rPr>
          <w:rFonts w:hint="eastAsia"/>
        </w:rPr>
        <w:t xml:space="preserve">万元，</w:t>
      </w:r>
      <w:r>
        <w:rPr>
          <w:rFonts w:hint="eastAsia"/>
          <w:lang w:val="en-US" w:eastAsia="zh-CN"/>
        </w:rPr>
        <w:t xml:space="preserve">减少4.89%</w:t>
      </w:r>
      <w:r>
        <w:rPr>
          <w:rFonts w:hint="eastAsia"/>
        </w:rPr>
        <w:t xml:space="preserve">，主要原因是：</w:t>
      </w:r>
      <w:r>
        <w:rPr>
          <w:rFonts w:hint="eastAsia"/>
          <w:highlight w:val="none"/>
        </w:rPr>
        <w:t xml:space="preserve">2024年度工会经费减少。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37.47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90.59%</w:t>
      </w:r>
      <w:r>
        <w:rPr>
          <w:rFonts w:hint="eastAsia"/>
        </w:rPr>
        <w:t xml:space="preserve">，较2023年度预算数</w:t>
      </w:r>
      <w:r>
        <w:rPr>
          <w:rFonts w:hint="eastAsia"/>
          <w:lang w:val="en-US" w:eastAsia="zh-CN"/>
        </w:rPr>
        <w:t xml:space="preserve">32.38</w:t>
      </w:r>
      <w:r>
        <w:rPr>
          <w:rFonts w:hint="eastAsia"/>
        </w:rPr>
        <w:t xml:space="preserve">万元，</w:t>
      </w:r>
      <w:r>
        <w:rPr>
          <w:rFonts w:hint="eastAsia"/>
          <w:lang w:val="en-US" w:eastAsia="zh-CN"/>
        </w:rPr>
        <w:t xml:space="preserve">增长5.09</w:t>
      </w:r>
      <w:r>
        <w:rPr>
          <w:rFonts w:hint="eastAsia"/>
        </w:rPr>
        <w:t xml:space="preserve">万元，</w:t>
      </w:r>
      <w:r>
        <w:rPr>
          <w:rFonts w:hint="eastAsia"/>
          <w:lang w:val="en-US" w:eastAsia="zh-CN"/>
        </w:rPr>
        <w:t xml:space="preserve">增长15.72%</w:t>
      </w:r>
      <w:r>
        <w:rPr>
          <w:rFonts w:hint="eastAsia"/>
        </w:rPr>
        <w:t xml:space="preserve">，主要原因是：</w:t>
      </w:r>
      <w:r>
        <w:rPr>
          <w:rFonts w:hint="eastAsia"/>
          <w:highlight w:val="none"/>
        </w:rPr>
        <w:t xml:space="preserve">2024年单位在职在编职工基础绩效奖增长和工资正常调档晋升。</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24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本单位没有因公出国（境）费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本单位没有公务接待费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本单位没有公务用车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我单位2024年部门预算无政府性基金预算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我单位2024年部门预算无国有资本经营预算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3.89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4.09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减少0.20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下降4.89%</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2024年度工会经费有所减少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主要用于：本单位无政府采购预算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本单位没有重点项目</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环江毛南族自治县大安乡财政所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29"/>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环江毛南族自治县大安乡财政所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44.36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36.25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44.36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4.34</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3.77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44.36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44.36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44.36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44.36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环江毛南族自治县大安乡财政所</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707002</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环江毛南族自治县大安乡财政所</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44.36</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44.36</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44.36</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3"/>
      <w:bookmarkStart w:id="20" w:name="bookmark41"/>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环江毛南族自治县大安乡财政所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41.36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707002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41.36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35.89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32.89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5"/>
      <w:bookmarkStart w:id="23" w:name="bookmark46"/>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环江毛南族自治县大安乡财政所</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44.36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36.25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44.36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4.34</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3.77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44.36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44.36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44.36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44.36</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环江毛南族自治县大安乡财政所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707002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44.36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41.36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37.47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3.89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35.89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32.89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29.36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3.53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0.36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0.36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0.36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4.34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4.34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4.34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3.77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8"/>
      <w:bookmarkStart w:id="27" w:name="bookmark56"/>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环江毛南族自治县大安乡财政所</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10.85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7.30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6"/>
      <w:bookmarkStart w:id="29" w:name="bookmark65"/>
      <w:bookmarkStart w:id="30"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环江毛南族自治县大安乡财政所</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707002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环江毛南族自治县大安乡财政所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2010601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环江毛南族自治县大安乡财政所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bookmarkStart w:id="31" w:name="_GoBack"/>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环江毛南族自治县大安乡财政所</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707002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环江毛南族自治县大安乡财政所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严格审批并按时支付，保证单位正常运行。</w:t>
            </w:r>
            <w:bookmarkEnd w:id="31"/>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3"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00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251"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00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253"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01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254"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3012"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255"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3013"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6"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01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25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00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25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01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doNotDisplayPageBoundaries/>
  <w:bordersDoNotSurroundFooter w:val="0"/>
  <w:bordersDoNotSurroundHeader w:val="0"/>
  <w:doNotTrackMoves/>
  <w:documentProtection w:enforcement="1" w:edit="readOnly" w:salt="jif52WfSZ3l415tBNyaAlQ==" w:hash="YnwihL90fZ8M6LHM2Z/KZ5KtqhxYHUzlBYHxsDVSjxBVKJMifRl9sDgFagsfP92m/XfNjcBLw13Gp6s8lDn7U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44.36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36.25</c:v>
                </c:pt>
                <c:pt idx="1">
                  <c:v>4.34</c:v>
                </c:pt>
                <c:pt idx="2">
                  <c:v>3.77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39.47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44.36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41.36</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3.0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3.89</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37.47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37.47</c:v>
                </c:pt>
                <c:pt idx="1">
                  <c:v>3.89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2024-03-01T02:21:23Z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56</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3544D7FD83294A1AA12B1EA75CACAC5F_13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56</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2024-03-01T09:39:44Z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3544D7FD83294A1AA12B1EA75CACAC5F_13</vt:lpstr>
  </property>
</Properties>
</file>