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center"/>
        <w:rPr>
          <w:rFonts w:hint="eastAsia"/>
          <w:sz w:val="56"/>
          <w:szCs w:val="56"/>
          <w:lang w:eastAsia="zh-CN"/>
        </w:rPr>
      </w:pPr>
      <w:r>
        <w:rPr>
          <w:rFonts w:hint="eastAsia"/>
          <w:sz w:val="56"/>
          <w:szCs w:val="56"/>
          <w:lang w:eastAsia="zh-CN"/>
        </w:rPr>
        <w:t>环江毛南族</w:t>
      </w:r>
      <w:bookmarkStart w:id="43" w:name="_GoBack"/>
      <w:bookmarkEnd w:id="43"/>
      <w:r>
        <w:rPr>
          <w:rFonts w:hint="eastAsia"/>
          <w:sz w:val="56"/>
          <w:szCs w:val="56"/>
          <w:lang w:eastAsia="zh-CN"/>
        </w:rPr>
        <w:t>自治县长美乡爱洞村村民委员会</w:t>
      </w:r>
    </w:p>
    <w:p>
      <w:pPr>
        <w:pStyle w:val="6"/>
        <w:jc w:val="center"/>
        <w:rPr>
          <w:sz w:val="56"/>
          <w:szCs w:val="56"/>
        </w:rPr>
        <w:sectPr>
          <w:pgSz w:w="11900" w:h="16840"/>
          <w:pgMar w:top="4713" w:right="1913" w:bottom="4713" w:left="2020" w:header="4285" w:footer="2381" w:gutter="0"/>
          <w:pgBorders>
            <w:top w:val="none" w:sz="0" w:space="0"/>
            <w:left w:val="none" w:sz="0" w:space="0"/>
            <w:bottom w:val="none" w:sz="0" w:space="0"/>
            <w:right w:val="none" w:sz="0" w:space="0"/>
          </w:pgBorders>
          <w:pgNumType w:fmt="decimal" w:start="1"/>
          <w:cols w:space="720" w:num="1"/>
          <w:docGrid w:linePitch="360" w:charSpace="0"/>
        </w:sectPr>
      </w:pPr>
      <w:r>
        <w:rPr>
          <w:rFonts w:hint="eastAsia"/>
          <w:sz w:val="56"/>
          <w:szCs w:val="56"/>
          <w:lang w:eastAsia="zh-CN"/>
        </w:rPr>
        <w:t>2024</w:t>
      </w:r>
      <w:r>
        <w:rPr>
          <w:rFonts w:hint="eastAsia" w:asciiTheme="majorEastAsia" w:hAnsiTheme="majorEastAsia" w:eastAsiaTheme="majorEastAsia" w:cstheme="majorEastAsia"/>
          <w:sz w:val="56"/>
          <w:szCs w:val="56"/>
          <w:u w:color="auto"/>
        </w:rPr>
        <w:t>年</w:t>
      </w:r>
      <w:r>
        <w:rPr>
          <w:rFonts w:hint="eastAsia" w:asciiTheme="majorEastAsia" w:hAnsiTheme="majorEastAsia" w:eastAsiaTheme="majorEastAsia" w:cstheme="majorEastAsia"/>
          <w:sz w:val="56"/>
          <w:szCs w:val="56"/>
        </w:rPr>
        <w:t>度部门预算</w:t>
      </w:r>
    </w:p>
    <w:p>
      <w:pPr>
        <w:pStyle w:val="7"/>
        <w:keepNext/>
        <w:keepLines/>
        <w:spacing w:after="240"/>
        <w:jc w:val="center"/>
      </w:pPr>
      <w:bookmarkStart w:id="0" w:name="bookmark2"/>
      <w:bookmarkStart w:id="1" w:name="bookmark0"/>
      <w:bookmarkStart w:id="2" w:name="bookmark1"/>
      <w:r>
        <w:t>目录</w:t>
      </w:r>
      <w:bookmarkEnd w:id="0"/>
      <w:bookmarkEnd w:id="1"/>
      <w:bookmarkEnd w:id="2"/>
    </w:p>
    <w:p>
      <w:pPr>
        <w:pStyle w:val="8"/>
        <w:ind w:left="0" w:leftChars="0" w:firstLine="320" w:firstLineChars="100"/>
        <w:jc w:val="left"/>
      </w:pPr>
      <w:r>
        <w:t>第一部分</w:t>
      </w:r>
      <w:r>
        <w:rPr>
          <w:rFonts w:hint="eastAsia"/>
          <w:lang w:eastAsia="zh-CN"/>
        </w:rPr>
        <w:t>：</w:t>
      </w:r>
      <w:r>
        <w:rPr>
          <w:u w:color="auto"/>
        </w:rPr>
        <w:t>环江毛南族自治县长美乡爱洞村村民委员会单位</w:t>
      </w:r>
      <w:r>
        <w:t>概况</w:t>
      </w:r>
    </w:p>
    <w:p>
      <w:pPr>
        <w:pStyle w:val="8"/>
        <w:jc w:val="left"/>
      </w:pPr>
      <w:r>
        <w:rPr>
          <w:lang w:val="en-US" w:eastAsia="zh-CN" w:bidi="en-US"/>
        </w:rPr>
        <w:t>—</w:t>
      </w:r>
      <w:r>
        <w:t>、主要职责</w:t>
      </w:r>
    </w:p>
    <w:p>
      <w:pPr>
        <w:pStyle w:val="8"/>
        <w:jc w:val="left"/>
        <w:rPr>
          <w:rFonts w:hint="eastAsia"/>
        </w:rPr>
      </w:pPr>
      <w:r>
        <w:rPr>
          <w:rFonts w:hint="eastAsia"/>
          <w:lang w:val="en-US" w:eastAsia="zh-CN"/>
        </w:rPr>
        <w:t>二、</w:t>
      </w:r>
      <w:r>
        <w:rPr>
          <w:rFonts w:hint="eastAsia"/>
        </w:rPr>
        <w:t>机构设置情况</w:t>
      </w:r>
    </w:p>
    <w:p>
      <w:pPr>
        <w:pStyle w:val="8"/>
        <w:ind w:left="0" w:leftChars="0" w:firstLine="320" w:firstLineChars="100"/>
        <w:jc w:val="left"/>
      </w:pPr>
      <w:r>
        <w:t>第二部分</w:t>
      </w:r>
      <w:r>
        <w:rPr>
          <w:rFonts w:hint="eastAsia"/>
          <w:lang w:eastAsia="zh-CN"/>
        </w:rPr>
        <w:t>：</w:t>
      </w:r>
      <w:r>
        <w:rPr>
          <w:u w:color="auto"/>
        </w:rPr>
        <w:t>环江毛南族自治县长美乡爱洞村村民委员会2024</w:t>
      </w:r>
      <w:r>
        <w:t>部门预算情况说明</w:t>
      </w:r>
    </w:p>
    <w:p>
      <w:pPr>
        <w:pStyle w:val="8"/>
        <w:numPr>
          <w:ilvl w:val="0"/>
          <w:numId w:val="0"/>
        </w:numPr>
        <w:ind w:firstLine="640" w:firstLineChars="200"/>
        <w:jc w:val="left"/>
        <w:rPr>
          <w:rFonts w:hint="eastAsia"/>
        </w:rPr>
      </w:pPr>
      <w:r>
        <w:rPr>
          <w:rFonts w:hint="eastAsia"/>
        </w:rPr>
        <w:t>一、部门收支总体情况说明</w:t>
      </w:r>
    </w:p>
    <w:p>
      <w:pPr>
        <w:pStyle w:val="8"/>
        <w:numPr>
          <w:ilvl w:val="0"/>
          <w:numId w:val="0"/>
        </w:numPr>
        <w:ind w:firstLine="640" w:firstLineChars="200"/>
        <w:jc w:val="left"/>
        <w:rPr>
          <w:rFonts w:hint="eastAsia"/>
        </w:rPr>
      </w:pPr>
      <w:r>
        <w:rPr>
          <w:rFonts w:hint="eastAsia"/>
        </w:rPr>
        <w:t>二、部门收入总体情况说明</w:t>
      </w:r>
    </w:p>
    <w:p>
      <w:pPr>
        <w:pStyle w:val="8"/>
        <w:numPr>
          <w:ilvl w:val="0"/>
          <w:numId w:val="0"/>
        </w:numPr>
        <w:ind w:firstLine="640" w:firstLineChars="200"/>
        <w:jc w:val="left"/>
        <w:rPr>
          <w:rFonts w:hint="eastAsia"/>
        </w:rPr>
      </w:pPr>
      <w:r>
        <w:rPr>
          <w:rFonts w:hint="eastAsia"/>
        </w:rPr>
        <w:t>三、部门支出总体情况说明</w:t>
      </w:r>
    </w:p>
    <w:p>
      <w:pPr>
        <w:pStyle w:val="8"/>
        <w:numPr>
          <w:ilvl w:val="0"/>
          <w:numId w:val="0"/>
        </w:numPr>
        <w:ind w:firstLine="640" w:firstLineChars="200"/>
        <w:jc w:val="left"/>
        <w:rPr>
          <w:rFonts w:hint="eastAsia"/>
        </w:rPr>
      </w:pPr>
      <w:r>
        <w:rPr>
          <w:rFonts w:hint="eastAsia"/>
        </w:rPr>
        <w:t>四、财政拨款收支总体情况说明</w:t>
      </w:r>
    </w:p>
    <w:p>
      <w:pPr>
        <w:pStyle w:val="8"/>
        <w:numPr>
          <w:ilvl w:val="0"/>
          <w:numId w:val="0"/>
        </w:numPr>
        <w:ind w:firstLine="640" w:firstLineChars="200"/>
        <w:jc w:val="left"/>
        <w:rPr>
          <w:rFonts w:hint="eastAsia"/>
        </w:rPr>
      </w:pPr>
      <w:r>
        <w:rPr>
          <w:rFonts w:hint="eastAsia"/>
        </w:rPr>
        <w:t>五、一般公共预算支出情况说明</w:t>
      </w:r>
    </w:p>
    <w:p>
      <w:pPr>
        <w:pStyle w:val="8"/>
        <w:numPr>
          <w:ilvl w:val="0"/>
          <w:numId w:val="0"/>
        </w:numPr>
        <w:ind w:firstLine="640" w:firstLineChars="200"/>
        <w:jc w:val="left"/>
        <w:rPr>
          <w:rFonts w:hint="eastAsia"/>
        </w:rPr>
      </w:pPr>
      <w:r>
        <w:rPr>
          <w:rFonts w:hint="eastAsia"/>
        </w:rPr>
        <w:t>六、一般公共预算基本支出情况说明</w:t>
      </w:r>
    </w:p>
    <w:p>
      <w:pPr>
        <w:pStyle w:val="8"/>
        <w:numPr>
          <w:ilvl w:val="0"/>
          <w:numId w:val="0"/>
        </w:numPr>
        <w:ind w:firstLine="640" w:firstLineChars="200"/>
        <w:jc w:val="left"/>
        <w:rPr>
          <w:rFonts w:hint="eastAsia"/>
        </w:rPr>
      </w:pPr>
      <w:r>
        <w:rPr>
          <w:rFonts w:hint="eastAsia"/>
        </w:rPr>
        <w:t>七、一般公共预算“三公”经费支出情况说明</w:t>
      </w:r>
    </w:p>
    <w:p>
      <w:pPr>
        <w:pStyle w:val="8"/>
        <w:numPr>
          <w:ilvl w:val="0"/>
          <w:numId w:val="0"/>
        </w:numPr>
        <w:ind w:firstLine="640" w:firstLineChars="200"/>
        <w:jc w:val="left"/>
        <w:rPr>
          <w:rFonts w:hint="eastAsia"/>
        </w:rPr>
      </w:pPr>
      <w:r>
        <w:rPr>
          <w:rFonts w:hint="eastAsia"/>
        </w:rPr>
        <w:t>八、政府性基金预算支出情况说明</w:t>
      </w:r>
    </w:p>
    <w:p>
      <w:pPr>
        <w:pStyle w:val="8"/>
        <w:numPr>
          <w:ilvl w:val="0"/>
          <w:numId w:val="0"/>
        </w:numPr>
        <w:ind w:firstLine="640" w:firstLineChars="200"/>
        <w:jc w:val="left"/>
        <w:rPr>
          <w:rFonts w:hint="eastAsia"/>
        </w:rPr>
      </w:pPr>
      <w:r>
        <w:rPr>
          <w:rFonts w:hint="eastAsia"/>
        </w:rPr>
        <w:t>九、国有资本经营预算支出情况说明</w:t>
      </w:r>
    </w:p>
    <w:p>
      <w:pPr>
        <w:pStyle w:val="8"/>
        <w:numPr>
          <w:ilvl w:val="0"/>
          <w:numId w:val="0"/>
        </w:numPr>
        <w:ind w:firstLine="640" w:firstLineChars="200"/>
        <w:jc w:val="left"/>
      </w:pPr>
      <w:r>
        <w:rPr>
          <w:rFonts w:hint="eastAsia"/>
        </w:rPr>
        <w:t>十、其他重要事项情况说明</w:t>
      </w:r>
    </w:p>
    <w:p>
      <w:pPr>
        <w:pStyle w:val="8"/>
        <w:ind w:left="0" w:leftChars="0" w:firstLine="320" w:firstLineChars="100"/>
        <w:jc w:val="left"/>
      </w:pPr>
      <w:r>
        <w:t>第三部分</w:t>
      </w:r>
      <w:r>
        <w:rPr>
          <w:rFonts w:hint="eastAsia"/>
          <w:lang w:eastAsia="zh-CN"/>
        </w:rPr>
        <w:t>：</w:t>
      </w:r>
      <w:r>
        <w:rPr>
          <w:u w:color="auto"/>
        </w:rPr>
        <w:t>环江毛南族自治县长美乡爱洞村村民委员会2024</w:t>
      </w:r>
      <w:r>
        <w:rPr>
          <w:rFonts w:ascii="Times New Roman" w:hAnsi="Times New Roman" w:cs="Times New Roman"/>
          <w:u w:color="auto"/>
        </w:rPr>
        <w:t>年</w:t>
      </w:r>
      <w:r>
        <w:t>部门预算</w:t>
      </w:r>
      <w:r>
        <w:rPr>
          <w:rFonts w:hint="eastAsia"/>
          <w:lang w:val="en-US" w:eastAsia="zh-CN"/>
        </w:rPr>
        <w:t>相关报</w:t>
      </w:r>
      <w:r>
        <w:t>表</w:t>
      </w:r>
    </w:p>
    <w:p>
      <w:pPr>
        <w:pStyle w:val="8"/>
        <w:jc w:val="left"/>
        <w:rPr>
          <w:rFonts w:hint="eastAsia"/>
        </w:rPr>
      </w:pPr>
      <w:r>
        <w:rPr>
          <w:rFonts w:hint="eastAsia"/>
        </w:rPr>
        <w:t>一、部门收支总体情况表</w:t>
      </w:r>
    </w:p>
    <w:p>
      <w:pPr>
        <w:pStyle w:val="8"/>
        <w:jc w:val="left"/>
        <w:rPr>
          <w:rFonts w:hint="eastAsia"/>
        </w:rPr>
      </w:pPr>
      <w:r>
        <w:rPr>
          <w:rFonts w:hint="eastAsia"/>
        </w:rPr>
        <w:t>二、部门收入总体情况表</w:t>
      </w:r>
    </w:p>
    <w:p>
      <w:pPr>
        <w:pStyle w:val="8"/>
        <w:jc w:val="left"/>
        <w:rPr>
          <w:rFonts w:hint="eastAsia"/>
        </w:rPr>
      </w:pPr>
      <w:r>
        <w:rPr>
          <w:rFonts w:hint="eastAsia"/>
        </w:rPr>
        <w:t>三、部门支出总体情况表</w:t>
      </w:r>
    </w:p>
    <w:p>
      <w:pPr>
        <w:pStyle w:val="8"/>
        <w:jc w:val="left"/>
        <w:rPr>
          <w:rFonts w:hint="eastAsia"/>
        </w:rPr>
      </w:pPr>
      <w:r>
        <w:rPr>
          <w:rFonts w:hint="eastAsia"/>
        </w:rPr>
        <w:t>四、财政拨款收支总体情况表</w:t>
      </w:r>
    </w:p>
    <w:p>
      <w:pPr>
        <w:pStyle w:val="8"/>
        <w:jc w:val="left"/>
        <w:rPr>
          <w:rFonts w:hint="eastAsia"/>
        </w:rPr>
      </w:pPr>
      <w:r>
        <w:rPr>
          <w:rFonts w:hint="eastAsia"/>
        </w:rPr>
        <w:t>五、一般公共预算支出情况表</w:t>
      </w:r>
    </w:p>
    <w:p>
      <w:pPr>
        <w:pStyle w:val="8"/>
        <w:jc w:val="left"/>
        <w:rPr>
          <w:rFonts w:hint="eastAsia"/>
        </w:rPr>
      </w:pPr>
      <w:r>
        <w:rPr>
          <w:rFonts w:hint="eastAsia"/>
        </w:rPr>
        <w:t>六、一般公共预算基本支出情况表</w:t>
      </w:r>
    </w:p>
    <w:p>
      <w:pPr>
        <w:pStyle w:val="8"/>
        <w:jc w:val="left"/>
        <w:rPr>
          <w:rFonts w:hint="eastAsia"/>
        </w:rPr>
      </w:pPr>
      <w:r>
        <w:rPr>
          <w:rFonts w:hint="eastAsia"/>
        </w:rPr>
        <w:t>七、一般公开预算“三公”经费支出情况表</w:t>
      </w:r>
    </w:p>
    <w:p>
      <w:pPr>
        <w:pStyle w:val="8"/>
        <w:jc w:val="left"/>
        <w:rPr>
          <w:rFonts w:hint="eastAsia"/>
        </w:rPr>
      </w:pPr>
      <w:r>
        <w:rPr>
          <w:rFonts w:hint="eastAsia"/>
        </w:rPr>
        <w:t>八、政府性基金预算支出情况表</w:t>
      </w:r>
    </w:p>
    <w:p>
      <w:pPr>
        <w:pStyle w:val="8"/>
        <w:jc w:val="left"/>
        <w:rPr>
          <w:rFonts w:hint="eastAsia"/>
        </w:rPr>
      </w:pPr>
      <w:r>
        <w:rPr>
          <w:rFonts w:hint="eastAsia"/>
        </w:rPr>
        <w:t>九、国有资本经营预算支出情况表</w:t>
      </w:r>
    </w:p>
    <w:p>
      <w:pPr>
        <w:pStyle w:val="8"/>
        <w:jc w:val="left"/>
        <w:rPr>
          <w:rFonts w:hint="eastAsia" w:eastAsia="宋体"/>
          <w:lang w:eastAsia="zh-CN"/>
        </w:rPr>
      </w:pPr>
      <w:r>
        <w:rPr>
          <w:rFonts w:hint="eastAsia"/>
        </w:rPr>
        <w:t>十、2024年度预算项目绩效目标公开表</w:t>
      </w:r>
    </w:p>
    <w:p>
      <w:pPr>
        <w:pStyle w:val="8"/>
        <w:ind w:left="0" w:leftChars="0" w:firstLine="320" w:firstLineChars="100"/>
        <w:jc w:val="left"/>
        <w:rPr>
          <w:rFonts w:hint="eastAsia" w:eastAsia="宋体"/>
          <w:lang w:eastAsia="zh-CN"/>
        </w:rPr>
        <w:sectPr>
          <w:footerReference r:id="rId3" w:type="default"/>
          <w:pgSz w:w="11900" w:h="16840"/>
          <w:pgMar w:top="1508" w:right="1674" w:bottom="1508" w:left="1851" w:header="0" w:footer="1077" w:gutter="0"/>
          <w:pgBorders>
            <w:top w:val="none" w:sz="0" w:space="0"/>
            <w:left w:val="none" w:sz="0" w:space="0"/>
            <w:bottom w:val="none" w:sz="0" w:space="0"/>
            <w:right w:val="none" w:sz="0" w:space="0"/>
          </w:pgBorders>
          <w:pgNumType w:fmt="decimal"/>
          <w:cols w:space="720" w:num="1"/>
          <w:docGrid w:linePitch="360" w:charSpace="0"/>
        </w:sectPr>
      </w:pPr>
      <w:r>
        <w:t>第四部分</w:t>
      </w:r>
      <w:r>
        <w:rPr>
          <w:rFonts w:hint="eastAsia"/>
          <w:lang w:eastAsia="zh-CN"/>
        </w:rPr>
        <w:t>：</w:t>
      </w:r>
      <w:r>
        <w:t>名词</w:t>
      </w:r>
      <w:r>
        <w:rPr>
          <w:rFonts w:hint="eastAsia"/>
          <w:lang w:val="en-US" w:eastAsia="zh-CN"/>
        </w:rPr>
        <w:t>解释</w:t>
      </w:r>
    </w:p>
    <w:p>
      <w:pPr>
        <w:pStyle w:val="7"/>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3" w:name="bookmark14"/>
      <w:bookmarkStart w:id="4" w:name="bookmark13"/>
      <w:bookmarkStart w:id="5" w:name="bookmark12"/>
      <w:r>
        <w:rPr>
          <w:b/>
          <w:bCs/>
          <w:sz w:val="40"/>
          <w:szCs w:val="40"/>
        </w:rPr>
        <w:t>第一部分</w:t>
      </w:r>
      <w:r>
        <w:rPr>
          <w:rFonts w:hint="eastAsia"/>
          <w:b/>
          <w:bCs/>
          <w:sz w:val="40"/>
          <w:szCs w:val="40"/>
          <w:lang w:eastAsia="zh-CN"/>
        </w:rPr>
        <w:t>：</w:t>
      </w:r>
      <w:r>
        <w:rPr>
          <w:b/>
          <w:sz w:val="40"/>
          <w:u w:color="auto"/>
        </w:rPr>
        <w:t>环江毛南族自治县长美乡爱洞村村民委员会</w:t>
      </w:r>
      <w:r>
        <w:rPr>
          <w:b/>
          <w:bCs/>
          <w:sz w:val="40"/>
          <w:szCs w:val="40"/>
        </w:rPr>
        <w:t>概况</w:t>
      </w:r>
      <w:bookmarkEnd w:id="3"/>
      <w:bookmarkEnd w:id="4"/>
      <w:bookmarkEnd w:id="5"/>
    </w:p>
    <w:p>
      <w:pPr>
        <w:pStyle w:val="8"/>
        <w:spacing w:after="0" w:line="619" w:lineRule="exact"/>
        <w:ind w:firstLine="620"/>
        <w:jc w:val="left"/>
        <w:rPr>
          <w:b/>
          <w:bCs/>
        </w:rPr>
      </w:pPr>
      <w:r>
        <w:rPr>
          <w:rFonts w:hint="eastAsia"/>
          <w:b/>
          <w:bCs/>
          <w:lang w:val="en-US" w:eastAsia="zh-CN"/>
        </w:rPr>
        <w:t>一、</w:t>
      </w:r>
      <w:r>
        <w:rPr>
          <w:b/>
          <w:bCs/>
        </w:rPr>
        <w:t>主要职责</w:t>
      </w:r>
    </w:p>
    <w:p>
      <w:pPr>
        <w:pStyle w:val="9"/>
        <w:spacing w:line="623" w:lineRule="exact"/>
        <w:ind w:left="0" w:leftChars="0" w:firstLine="560" w:firstLineChars="200"/>
        <w:jc w:val="left"/>
        <w:rPr>
          <w:rFonts w:hint="default"/>
          <w:highlight w:val="yellow"/>
          <w:lang w:val="en-US" w:eastAsia="zh-CN"/>
        </w:rPr>
      </w:pPr>
      <w:r>
        <w:rPr>
          <w:rFonts w:hint="eastAsia"/>
          <w:highlight w:val="none"/>
          <w:lang w:val="en-US" w:eastAsia="zh-CN"/>
        </w:rPr>
        <w:t>（1）宣传贯彻宪法、法律、法规和国家的政策，维护村民合法权益，教育和推动村民履行法律、法规规定的义务，发展文化教育，普及科技知识，促进村和村之间的团结、互助，开展多种形式的社会主义精神文明建设活动；</w:t>
      </w:r>
    </w:p>
    <w:p>
      <w:pPr>
        <w:pStyle w:val="9"/>
        <w:spacing w:line="623" w:lineRule="exact"/>
        <w:ind w:left="0" w:leftChars="0" w:firstLine="560" w:firstLineChars="200"/>
        <w:jc w:val="left"/>
        <w:rPr>
          <w:rFonts w:hint="default"/>
          <w:highlight w:val="yellow"/>
          <w:lang w:val="en-US" w:eastAsia="zh-CN"/>
        </w:rPr>
      </w:pPr>
      <w:r>
        <w:rPr>
          <w:rFonts w:hint="eastAsia"/>
          <w:highlight w:val="none"/>
          <w:lang w:val="en-US" w:eastAsia="zh-CN"/>
        </w:rPr>
        <w:t>（2）依照法律规定，管理本村属于村农民集体所有的土地、和其他财产，教育村民合理利用自然资源，保护和改善生态环境；</w:t>
      </w:r>
    </w:p>
    <w:p>
      <w:pPr>
        <w:pStyle w:val="9"/>
        <w:spacing w:line="623" w:lineRule="exact"/>
        <w:ind w:left="0" w:leftChars="0" w:firstLine="560" w:firstLineChars="200"/>
        <w:jc w:val="left"/>
        <w:rPr>
          <w:rFonts w:hint="default"/>
          <w:highlight w:val="yellow"/>
          <w:lang w:val="en-US" w:eastAsia="zh-CN"/>
        </w:rPr>
      </w:pPr>
      <w:r>
        <w:rPr>
          <w:rFonts w:hint="eastAsia"/>
          <w:highlight w:val="none"/>
          <w:lang w:val="en-US" w:eastAsia="zh-CN"/>
        </w:rPr>
        <w:t>（3）支持和组织村民依法发展各种形式的合作经济和其他经济，承担本村生产的服务和协调工作，促进农村生产和社会主义市场经济的发展；</w:t>
      </w:r>
    </w:p>
    <w:p>
      <w:pPr>
        <w:pStyle w:val="9"/>
        <w:spacing w:line="623" w:lineRule="exact"/>
        <w:ind w:left="0" w:leftChars="0" w:firstLine="560" w:firstLineChars="200"/>
        <w:jc w:val="left"/>
        <w:rPr>
          <w:rFonts w:hint="default"/>
          <w:highlight w:val="yellow"/>
          <w:lang w:val="en-US" w:eastAsia="zh-CN"/>
        </w:rPr>
      </w:pPr>
      <w:r>
        <w:rPr>
          <w:rFonts w:hint="eastAsia"/>
          <w:highlight w:val="none"/>
          <w:lang w:val="en-US" w:eastAsia="zh-CN"/>
        </w:rPr>
        <w:t>（4）尊重村集体经济组织依法独立进行经济活动的自主权，维护以家庭承包经营为基础，统分结合的双层经营体制，保障集体经济组织和村民、承包经营户、联户或者合伙的合法的财产权和其他合法的权利和利益；</w:t>
      </w:r>
    </w:p>
    <w:p>
      <w:pPr>
        <w:pStyle w:val="9"/>
        <w:spacing w:line="623" w:lineRule="exact"/>
        <w:ind w:left="0" w:leftChars="0" w:firstLine="560" w:firstLineChars="200"/>
        <w:jc w:val="left"/>
        <w:rPr>
          <w:rFonts w:hint="default"/>
          <w:highlight w:val="yellow"/>
          <w:lang w:val="en-US" w:eastAsia="zh-CN"/>
        </w:rPr>
      </w:pPr>
      <w:r>
        <w:rPr>
          <w:rFonts w:hint="eastAsia"/>
          <w:highlight w:val="none"/>
          <w:lang w:val="en-US" w:eastAsia="zh-CN"/>
        </w:rPr>
        <w:t>（5）举办和管理本村的公共事务和公益事业；</w:t>
      </w:r>
    </w:p>
    <w:p>
      <w:pPr>
        <w:pStyle w:val="9"/>
        <w:spacing w:line="623" w:lineRule="exact"/>
        <w:ind w:left="0" w:leftChars="0" w:firstLine="560" w:firstLineChars="200"/>
        <w:jc w:val="left"/>
        <w:rPr>
          <w:rFonts w:hint="default"/>
          <w:highlight w:val="yellow"/>
          <w:lang w:val="en-US" w:eastAsia="zh-CN"/>
        </w:rPr>
      </w:pPr>
      <w:r>
        <w:rPr>
          <w:rFonts w:hint="eastAsia"/>
          <w:highlight w:val="none"/>
          <w:lang w:val="en-US" w:eastAsia="zh-CN"/>
        </w:rPr>
        <w:t>（6）组织实施本村的建设规划，兴修水利、道路等基础设施，指导村民建设住宅；</w:t>
      </w:r>
    </w:p>
    <w:p>
      <w:pPr>
        <w:pStyle w:val="9"/>
        <w:spacing w:line="623" w:lineRule="exact"/>
        <w:ind w:left="0" w:leftChars="0" w:firstLine="560" w:firstLineChars="200"/>
        <w:jc w:val="left"/>
        <w:rPr>
          <w:rFonts w:hint="default"/>
          <w:highlight w:val="yellow"/>
          <w:lang w:val="en-US" w:eastAsia="zh-CN"/>
        </w:rPr>
      </w:pPr>
      <w:r>
        <w:rPr>
          <w:rFonts w:hint="eastAsia"/>
          <w:highlight w:val="none"/>
          <w:lang w:val="en-US" w:eastAsia="zh-CN"/>
        </w:rPr>
        <w:t>（7）依法调解民间纠纷，协助维护本村的社会治安，向人民政府反映村民的意见要求和提出建议；</w:t>
      </w:r>
    </w:p>
    <w:p>
      <w:pPr>
        <w:pStyle w:val="9"/>
        <w:spacing w:line="623" w:lineRule="exact"/>
        <w:ind w:left="0" w:leftChars="0" w:firstLine="560" w:firstLineChars="200"/>
        <w:jc w:val="left"/>
        <w:rPr>
          <w:rFonts w:hint="default"/>
          <w:highlight w:val="yellow"/>
          <w:lang w:val="en-US" w:eastAsia="zh-CN"/>
        </w:rPr>
      </w:pPr>
      <w:r>
        <w:rPr>
          <w:rFonts w:hint="eastAsia"/>
          <w:highlight w:val="none"/>
          <w:lang w:val="en-US" w:eastAsia="zh-CN"/>
        </w:rPr>
        <w:t>（8）向村民会议或者村民代表会议报告工作并接受评议，执行村民会议或者村民代表会议的决议、议定；</w:t>
      </w:r>
    </w:p>
    <w:p>
      <w:pPr>
        <w:pStyle w:val="9"/>
        <w:spacing w:line="623" w:lineRule="exact"/>
        <w:ind w:left="0" w:leftChars="0" w:firstLine="560" w:firstLineChars="200"/>
        <w:jc w:val="left"/>
        <w:rPr>
          <w:rFonts w:hint="default"/>
          <w:highlight w:val="yellow"/>
          <w:lang w:val="en-US" w:eastAsia="zh-CN"/>
        </w:rPr>
      </w:pPr>
      <w:r>
        <w:rPr>
          <w:rFonts w:hint="eastAsia"/>
          <w:highlight w:val="none"/>
          <w:lang w:val="en-US" w:eastAsia="zh-CN"/>
        </w:rPr>
        <w:t>（9）建立健全村务公开和民主管理制度；</w:t>
      </w:r>
    </w:p>
    <w:p>
      <w:pPr>
        <w:pStyle w:val="9"/>
        <w:spacing w:line="623" w:lineRule="exact"/>
        <w:ind w:left="0" w:leftChars="0" w:firstLine="560" w:firstLineChars="200"/>
        <w:jc w:val="left"/>
        <w:rPr>
          <w:rFonts w:hint="default"/>
          <w:highlight w:val="yellow"/>
          <w:lang w:val="en-US" w:eastAsia="zh-CN"/>
        </w:rPr>
      </w:pPr>
      <w:r>
        <w:rPr>
          <w:rFonts w:hint="eastAsia"/>
          <w:highlight w:val="none"/>
          <w:lang w:val="en-US" w:eastAsia="zh-CN"/>
        </w:rPr>
        <w:t>（10）完成上级业务部门和乡党委、政府交给的其他工作任务。</w:t>
      </w:r>
    </w:p>
    <w:p>
      <w:pPr>
        <w:pStyle w:val="8"/>
        <w:spacing w:after="0" w:line="619" w:lineRule="exact"/>
        <w:ind w:firstLine="620"/>
        <w:jc w:val="left"/>
        <w:rPr>
          <w:rFonts w:hint="eastAsia"/>
          <w:b/>
          <w:bCs/>
          <w:lang w:val="en-US" w:eastAsia="zh-CN"/>
        </w:rPr>
      </w:pPr>
      <w:bookmarkStart w:id="6" w:name="bookmark24"/>
      <w:r>
        <w:rPr>
          <w:rFonts w:hint="eastAsia"/>
          <w:b/>
          <w:bCs/>
          <w:lang w:val="en-US" w:eastAsia="zh-CN"/>
        </w:rPr>
        <w:t>二</w:t>
      </w:r>
      <w:bookmarkEnd w:id="6"/>
      <w:r>
        <w:rPr>
          <w:rFonts w:hint="eastAsia"/>
          <w:b/>
          <w:bCs/>
          <w:lang w:val="en-US" w:eastAsia="zh-CN"/>
        </w:rPr>
        <w:t>、机构设置情况</w:t>
      </w:r>
    </w:p>
    <w:p>
      <w:pPr>
        <w:pStyle w:val="9"/>
        <w:spacing w:line="623" w:lineRule="exact"/>
        <w:ind w:left="0" w:leftChars="0" w:firstLine="560" w:firstLineChars="200"/>
        <w:jc w:val="left"/>
        <w:rPr>
          <w:rFonts w:hint="default"/>
          <w:highlight w:val="yellow"/>
          <w:lang w:val="en-US" w:eastAsia="zh-CN"/>
        </w:rPr>
      </w:pPr>
      <w:r>
        <w:rPr>
          <w:rFonts w:hint="eastAsia"/>
          <w:highlight w:val="none"/>
          <w:lang w:val="en-US" w:eastAsia="zh-CN"/>
        </w:rPr>
        <w:t>本部门由1个财政拨款预算单位（即长美乡爱洞村村民委员会）组成。</w:t>
      </w:r>
    </w:p>
    <w:p>
      <w:pPr>
        <w:pStyle w:val="9"/>
        <w:spacing w:line="623" w:lineRule="exact"/>
        <w:ind w:firstLine="1018" w:firstLineChars="0"/>
        <w:jc w:val="left"/>
        <w:rPr>
          <w:rFonts w:hint="eastAsia"/>
          <w:highlight w:val="none"/>
          <w:lang w:val="en-US" w:eastAsia="zh-CN"/>
        </w:rPr>
      </w:pPr>
    </w:p>
    <w:p>
      <w:pPr>
        <w:pStyle w:val="9"/>
        <w:spacing w:line="623" w:lineRule="exact"/>
        <w:ind w:firstLine="1018" w:firstLineChars="0"/>
        <w:jc w:val="left"/>
        <w:rPr>
          <w:rFonts w:hint="eastAsia"/>
          <w:highlight w:val="none"/>
          <w:lang w:val="en-US" w:eastAsia="zh-CN"/>
        </w:rPr>
      </w:pPr>
    </w:p>
    <w:p>
      <w:r>
        <w:br w:type="page"/>
      </w:r>
    </w:p>
    <w:p>
      <w:pPr>
        <w:pStyle w:val="7"/>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70"/>
      <w:bookmarkStart w:id="8" w:name="bookmark69"/>
      <w:bookmarkStart w:id="9" w:name="bookmark68"/>
      <w:bookmarkStart w:id="10" w:name="bookmark27"/>
      <w:bookmarkStart w:id="11" w:name="bookmark28"/>
      <w:bookmarkStart w:id="12" w:name="bookmark26"/>
      <w:r>
        <w:rPr>
          <w:b/>
          <w:bCs/>
          <w:sz w:val="40"/>
          <w:szCs w:val="40"/>
        </w:rPr>
        <w:t>第</w:t>
      </w:r>
      <w:r>
        <w:rPr>
          <w:rFonts w:hint="eastAsia"/>
          <w:b/>
          <w:bCs/>
          <w:sz w:val="40"/>
          <w:szCs w:val="40"/>
          <w:lang w:val="en-US" w:eastAsia="zh-CN"/>
        </w:rPr>
        <w:t>二</w:t>
      </w:r>
      <w:r>
        <w:rPr>
          <w:b/>
          <w:bCs/>
          <w:sz w:val="40"/>
          <w:szCs w:val="40"/>
        </w:rPr>
        <w:t>部分</w:t>
      </w:r>
      <w:r>
        <w:rPr>
          <w:rFonts w:hint="eastAsia"/>
          <w:b/>
          <w:bCs/>
          <w:sz w:val="40"/>
          <w:szCs w:val="40"/>
          <w:lang w:eastAsia="zh-CN"/>
        </w:rPr>
        <w:t>：</w:t>
      </w:r>
      <w:bookmarkEnd w:id="7"/>
      <w:bookmarkEnd w:id="8"/>
      <w:bookmarkEnd w:id="9"/>
      <w:r>
        <w:rPr>
          <w:rFonts w:hint="eastAsia"/>
          <w:b/>
          <w:bCs/>
          <w:sz w:val="40"/>
          <w:szCs w:val="40"/>
          <w:lang w:eastAsia="zh-CN"/>
        </w:rPr>
        <w:t>环江毛南族自治县长美乡爱洞村村民委员会</w:t>
      </w:r>
      <w:r>
        <w:rPr>
          <w:b/>
          <w:sz w:val="40"/>
          <w:u w:color="auto"/>
        </w:rPr>
        <w:t>2024年部门预算情况说明</w:t>
      </w:r>
    </w:p>
    <w:p>
      <w:pPr>
        <w:pStyle w:val="8"/>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一</w:t>
      </w:r>
      <w:bookmarkEnd w:id="13"/>
      <w:r>
        <w:rPr>
          <w:rFonts w:hint="eastAsia"/>
          <w:b/>
          <w:bCs/>
          <w:lang w:val="en-US" w:eastAsia="zh-CN"/>
        </w:rPr>
        <w:t>、部门预算收支总体情况说明</w:t>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我部门总收入</w:t>
      </w:r>
      <w:r>
        <w:rPr>
          <w:rFonts w:hint="eastAsia"/>
          <w:sz w:val="28"/>
          <w:szCs w:val="28"/>
          <w:lang w:val="en-US" w:eastAsia="zh-CN"/>
        </w:rPr>
        <w:t>169.46</w:t>
      </w:r>
      <w:r>
        <w:rPr>
          <w:rFonts w:hint="eastAsia"/>
          <w:b w:val="0"/>
          <w:bCs w:val="0"/>
          <w:sz w:val="28"/>
          <w:szCs w:val="28"/>
        </w:rPr>
        <w:t>万元，总支出</w:t>
      </w:r>
      <w:r>
        <w:rPr>
          <w:rFonts w:hint="eastAsia"/>
          <w:sz w:val="28"/>
          <w:szCs w:val="28"/>
          <w:lang w:val="en-US" w:eastAsia="zh-CN"/>
        </w:rPr>
        <w:t>169.46</w:t>
      </w:r>
      <w:r>
        <w:rPr>
          <w:rFonts w:hint="eastAsia"/>
          <w:b w:val="0"/>
          <w:bCs w:val="0"/>
          <w:sz w:val="28"/>
          <w:szCs w:val="28"/>
        </w:rPr>
        <w:t>万元。总收入较2023年度预算数</w:t>
      </w:r>
      <w:r>
        <w:rPr>
          <w:rFonts w:hint="eastAsia"/>
          <w:sz w:val="28"/>
          <w:szCs w:val="28"/>
          <w:lang w:val="en-US" w:eastAsia="zh-CN"/>
        </w:rPr>
        <w:t>159.33</w:t>
      </w:r>
      <w:r>
        <w:rPr>
          <w:rFonts w:hint="eastAsia"/>
          <w:b w:val="0"/>
          <w:bCs w:val="0"/>
          <w:sz w:val="28"/>
          <w:szCs w:val="28"/>
        </w:rPr>
        <w:t>万元，</w:t>
      </w:r>
      <w:r>
        <w:rPr>
          <w:rFonts w:hint="eastAsia"/>
          <w:sz w:val="28"/>
          <w:szCs w:val="28"/>
        </w:rPr>
        <w:t>增加10.13</w:t>
      </w:r>
      <w:r>
        <w:rPr>
          <w:rFonts w:hint="eastAsia"/>
          <w:b w:val="0"/>
          <w:bCs w:val="0"/>
          <w:sz w:val="28"/>
          <w:szCs w:val="28"/>
        </w:rPr>
        <w:t>万元，</w:t>
      </w:r>
      <w:r>
        <w:rPr>
          <w:rFonts w:hint="eastAsia"/>
          <w:sz w:val="28"/>
          <w:szCs w:val="28"/>
        </w:rPr>
        <w:t>增长6.36%</w:t>
      </w:r>
      <w:r>
        <w:rPr>
          <w:rFonts w:hint="eastAsia"/>
          <w:b w:val="0"/>
          <w:bCs w:val="0"/>
          <w:sz w:val="28"/>
          <w:szCs w:val="28"/>
        </w:rPr>
        <w:t>，主要原因是</w:t>
      </w:r>
      <w:r>
        <w:rPr>
          <w:rFonts w:hint="eastAsia"/>
          <w:highlight w:val="none"/>
          <w:lang w:val="en-US" w:eastAsia="zh-CN"/>
        </w:rPr>
        <w:t>村干部人员变动、工资福利变化及党建星级村变化影响经费增加</w:t>
      </w:r>
      <w:r>
        <w:rPr>
          <w:rFonts w:hint="eastAsia"/>
          <w:b w:val="0"/>
          <w:bCs w:val="0"/>
          <w:sz w:val="28"/>
          <w:szCs w:val="28"/>
        </w:rPr>
        <w:t>。总支出较2023年度预算数</w:t>
      </w:r>
      <w:r>
        <w:rPr>
          <w:rFonts w:hint="eastAsia"/>
          <w:sz w:val="28"/>
          <w:szCs w:val="28"/>
          <w:lang w:val="en-US" w:eastAsia="zh-CN"/>
        </w:rPr>
        <w:t>159.33</w:t>
      </w:r>
      <w:r>
        <w:rPr>
          <w:rFonts w:hint="eastAsia"/>
          <w:b w:val="0"/>
          <w:bCs w:val="0"/>
          <w:sz w:val="28"/>
          <w:szCs w:val="28"/>
        </w:rPr>
        <w:t>万元，</w:t>
      </w:r>
      <w:r>
        <w:rPr>
          <w:rFonts w:hint="eastAsia"/>
          <w:sz w:val="28"/>
          <w:szCs w:val="28"/>
        </w:rPr>
        <w:t>增加10.13</w:t>
      </w:r>
      <w:r>
        <w:rPr>
          <w:rFonts w:hint="eastAsia"/>
          <w:b w:val="0"/>
          <w:bCs w:val="0"/>
          <w:sz w:val="28"/>
          <w:szCs w:val="28"/>
        </w:rPr>
        <w:t>万元，</w:t>
      </w:r>
      <w:r>
        <w:rPr>
          <w:rFonts w:hint="eastAsia"/>
          <w:sz w:val="28"/>
          <w:szCs w:val="28"/>
        </w:rPr>
        <w:t>增长6.36%</w:t>
      </w:r>
      <w:r>
        <w:rPr>
          <w:rFonts w:hint="eastAsia"/>
          <w:b w:val="0"/>
          <w:bCs w:val="0"/>
          <w:sz w:val="28"/>
          <w:szCs w:val="28"/>
        </w:rPr>
        <w:t>，主要原因是</w:t>
      </w:r>
      <w:r>
        <w:rPr>
          <w:rFonts w:hint="eastAsia"/>
          <w:highlight w:val="none"/>
          <w:lang w:val="en-US" w:eastAsia="zh-CN"/>
        </w:rPr>
        <w:t>村干部人员变动、工资福利变化及党建星级村变化影响经费增加</w:t>
      </w:r>
      <w:r>
        <w:rPr>
          <w:rFonts w:hint="eastAsia"/>
          <w:b w:val="0"/>
          <w:bCs w:val="0"/>
          <w:sz w:val="28"/>
          <w:szCs w:val="28"/>
        </w:rPr>
        <w:t>。</w:t>
      </w:r>
    </w:p>
    <w:p>
      <w:pPr>
        <w:pStyle w:val="8"/>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二、部门收入总体情况说明</w:t>
      </w:r>
    </w:p>
    <w:p>
      <w:pPr>
        <w:pStyle w:val="9"/>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0795"/>
            <wp:docPr id="2575"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u w:color="auto"/>
          <w:lang w:eastAsia="zh-CN"/>
        </w:rPr>
        <w:t>2024</w:t>
      </w:r>
      <w:r>
        <w:rPr>
          <w:rFonts w:hint="eastAsia" w:ascii="宋体" w:hAnsi="宋体" w:eastAsia="宋体" w:cs="宋体"/>
          <w:sz w:val="28"/>
          <w:szCs w:val="28"/>
          <w:u w:color="auto"/>
        </w:rPr>
        <w:t>年我部门总收入</w:t>
      </w:r>
      <w:r>
        <w:rPr>
          <w:rFonts w:hint="eastAsia" w:ascii="宋体" w:hAnsi="宋体" w:eastAsia="宋体" w:cs="宋体"/>
          <w:sz w:val="28"/>
          <w:szCs w:val="28"/>
          <w:lang w:val="en-US" w:eastAsia="zh-CN"/>
        </w:rPr>
        <w:t>169.46</w:t>
      </w:r>
      <w:r>
        <w:rPr>
          <w:rFonts w:hint="eastAsia" w:ascii="宋体" w:hAnsi="宋体" w:eastAsia="宋体" w:cs="宋体"/>
          <w:sz w:val="28"/>
          <w:szCs w:val="28"/>
          <w:u w:color="auto"/>
        </w:rPr>
        <w:t>万元，较2023年度预算数</w:t>
      </w:r>
      <w:r>
        <w:rPr>
          <w:rFonts w:hint="eastAsia" w:ascii="宋体" w:hAnsi="宋体" w:eastAsia="宋体" w:cs="宋体"/>
          <w:sz w:val="28"/>
          <w:szCs w:val="28"/>
          <w:lang w:val="en-US" w:eastAsia="zh-CN"/>
        </w:rPr>
        <w:t>159.33</w:t>
      </w:r>
      <w:r>
        <w:rPr>
          <w:rFonts w:hint="eastAsia" w:ascii="宋体" w:hAnsi="宋体" w:eastAsia="宋体" w:cs="宋体"/>
          <w:sz w:val="28"/>
          <w:szCs w:val="28"/>
          <w:u w:color="auto"/>
        </w:rPr>
        <w:t>万元，</w:t>
      </w:r>
      <w:r>
        <w:rPr>
          <w:rFonts w:hint="eastAsia" w:ascii="宋体" w:hAnsi="宋体" w:eastAsia="宋体" w:cs="宋体"/>
          <w:sz w:val="28"/>
          <w:szCs w:val="28"/>
        </w:rPr>
        <w:t>增加10.13</w:t>
      </w:r>
      <w:r>
        <w:rPr>
          <w:rFonts w:hint="eastAsia" w:ascii="宋体" w:hAnsi="宋体" w:eastAsia="宋体" w:cs="宋体"/>
          <w:sz w:val="28"/>
          <w:szCs w:val="28"/>
          <w:u w:color="auto"/>
        </w:rPr>
        <w:t>万元，</w:t>
      </w:r>
      <w:r>
        <w:rPr>
          <w:rFonts w:hint="eastAsia" w:ascii="宋体" w:hAnsi="宋体" w:eastAsia="宋体" w:cs="宋体"/>
          <w:sz w:val="28"/>
          <w:szCs w:val="28"/>
        </w:rPr>
        <w:t>增长6.36%</w:t>
      </w:r>
      <w:r>
        <w:rPr>
          <w:rFonts w:hint="eastAsia" w:ascii="宋体" w:hAnsi="宋体" w:eastAsia="宋体" w:cs="宋体"/>
          <w:sz w:val="28"/>
          <w:szCs w:val="28"/>
          <w:u w:color="auto"/>
        </w:rPr>
        <w:t>，主要原因是</w:t>
      </w:r>
      <w:r>
        <w:rPr>
          <w:rFonts w:hint="eastAsia"/>
          <w:highlight w:val="none"/>
          <w:lang w:val="en-US" w:eastAsia="zh-CN"/>
        </w:rPr>
        <w:t>村干部人员变动、工资福利变化及党建星级村变化影响经费增加</w:t>
      </w:r>
      <w:r>
        <w:rPr>
          <w:rFonts w:hint="eastAsia" w:ascii="宋体" w:hAnsi="宋体" w:eastAsia="宋体" w:cs="宋体"/>
          <w:sz w:val="28"/>
          <w:szCs w:val="28"/>
          <w:u w:color="auto"/>
        </w:rPr>
        <w:t>。</w:t>
      </w:r>
    </w:p>
    <w:p>
      <w:pPr>
        <w:pStyle w:val="8"/>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三、部门支出总体情况说明</w:t>
      </w:r>
    </w:p>
    <w:p>
      <w:pPr>
        <w:pStyle w:val="9"/>
        <w:spacing w:line="240" w:lineRule="auto"/>
        <w:ind w:firstLine="0"/>
        <w:jc w:val="left"/>
        <w:rPr>
          <w:rFonts w:ascii="Times New Roman" w:hAnsi="Times New Roman" w:eastAsia="Times New Roman" w:cs="Times New Roman"/>
          <w:sz w:val="30"/>
          <w:szCs w:val="30"/>
        </w:rPr>
      </w:pPr>
      <w:r>
        <w:rPr>
          <w:rFonts w:ascii="Times New Roman" w:hAnsi="Times New Roman" w:eastAsia="Times New Roman" w:cs="Times New Roman"/>
          <w:sz w:val="30"/>
          <w:szCs w:val="30"/>
        </w:rPr>
        <w:drawing>
          <wp:inline distT="0" distB="0" distL="114300" distR="114300">
            <wp:extent cx="5080000" cy="3810000"/>
            <wp:effectExtent l="4445" t="4445" r="5715" b="10795"/>
            <wp:docPr id="2576"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Times New Roman" w:hAnsi="Times New Roman" w:cs="Times New Roman"/>
          <w:sz w:val="30"/>
          <w:szCs w:val="30"/>
          <w:lang w:eastAsia="zh-CN"/>
        </w:rPr>
      </w:pPr>
      <w:r>
        <w:rPr>
          <w:rFonts w:hint="eastAsia" w:ascii="宋体" w:hAnsi="宋体" w:eastAsia="宋体" w:cs="宋体"/>
          <w:sz w:val="28"/>
          <w:szCs w:val="28"/>
          <w:lang w:eastAsia="zh-CN"/>
        </w:rPr>
        <w:t>2024</w:t>
      </w:r>
      <w:r>
        <w:rPr>
          <w:rFonts w:ascii="宋体" w:hAnsi="宋体" w:eastAsia="宋体" w:cs="宋体"/>
          <w:sz w:val="28"/>
          <w:u w:color="auto"/>
        </w:rPr>
        <w:t>年我部门总支出</w:t>
      </w:r>
      <w:r>
        <w:rPr>
          <w:rFonts w:hint="eastAsia" w:ascii="宋体" w:hAnsi="宋体" w:eastAsia="宋体" w:cs="宋体"/>
          <w:sz w:val="28"/>
          <w:szCs w:val="28"/>
          <w:lang w:val="en-US" w:eastAsia="zh-CN"/>
        </w:rPr>
        <w:t>169.46</w:t>
      </w:r>
      <w:r>
        <w:rPr>
          <w:rFonts w:hint="eastAsia" w:ascii="宋体" w:hAnsi="宋体" w:eastAsia="宋体" w:cs="宋体"/>
          <w:sz w:val="28"/>
          <w:szCs w:val="28"/>
          <w:lang w:eastAsia="zh-CN"/>
        </w:rPr>
        <w:t>万元，较2023年度预算数</w:t>
      </w:r>
      <w:r>
        <w:rPr>
          <w:rFonts w:hint="eastAsia" w:ascii="宋体" w:hAnsi="宋体" w:eastAsia="宋体" w:cs="宋体"/>
          <w:sz w:val="28"/>
          <w:szCs w:val="28"/>
          <w:lang w:val="en-US" w:eastAsia="zh-CN"/>
        </w:rPr>
        <w:t>159.33</w:t>
      </w:r>
      <w:r>
        <w:rPr>
          <w:rFonts w:hint="eastAsia" w:ascii="宋体" w:hAnsi="宋体" w:eastAsia="宋体" w:cs="宋体"/>
          <w:sz w:val="28"/>
          <w:szCs w:val="28"/>
          <w:lang w:eastAsia="zh-CN"/>
        </w:rPr>
        <w:t>万元，</w:t>
      </w:r>
      <w:r>
        <w:rPr>
          <w:rFonts w:hint="eastAsia" w:ascii="宋体" w:hAnsi="宋体" w:eastAsia="宋体" w:cs="宋体"/>
          <w:sz w:val="28"/>
          <w:szCs w:val="28"/>
        </w:rPr>
        <w:t>增加10.13</w:t>
      </w:r>
      <w:r>
        <w:rPr>
          <w:rFonts w:hint="eastAsia" w:ascii="宋体" w:hAnsi="宋体" w:eastAsia="宋体" w:cs="宋体"/>
          <w:sz w:val="28"/>
          <w:szCs w:val="28"/>
          <w:lang w:eastAsia="zh-CN"/>
        </w:rPr>
        <w:t>万元，</w:t>
      </w:r>
      <w:r>
        <w:rPr>
          <w:rFonts w:hint="eastAsia" w:ascii="宋体" w:hAnsi="宋体" w:eastAsia="宋体" w:cs="宋体"/>
          <w:sz w:val="28"/>
          <w:szCs w:val="28"/>
        </w:rPr>
        <w:t>增长6.36%</w:t>
      </w:r>
      <w:r>
        <w:rPr>
          <w:rFonts w:hint="eastAsia" w:ascii="宋体" w:hAnsi="宋体" w:eastAsia="宋体" w:cs="宋体"/>
          <w:sz w:val="28"/>
          <w:szCs w:val="28"/>
          <w:lang w:eastAsia="zh-CN"/>
        </w:rPr>
        <w:t>，主要原因是</w:t>
      </w:r>
      <w:r>
        <w:rPr>
          <w:rFonts w:hint="eastAsia"/>
          <w:highlight w:val="none"/>
          <w:lang w:val="en-US" w:eastAsia="zh-CN"/>
        </w:rPr>
        <w:t>村干部人员变动、工资福利及党建星级村变化影响经费增加</w:t>
      </w:r>
      <w:r>
        <w:rPr>
          <w:rFonts w:hint="eastAsia" w:ascii="Times New Roman" w:hAnsi="Times New Roman" w:cs="Times New Roman"/>
          <w:sz w:val="30"/>
          <w:szCs w:val="30"/>
          <w:lang w:eastAsia="zh-CN"/>
        </w:rPr>
        <w:t>。主要包括：</w:t>
      </w:r>
      <w:r>
        <w:rPr>
          <w:rFonts w:hint="eastAsia"/>
          <w:highlight w:val="none"/>
          <w:lang w:val="en-US" w:eastAsia="zh-CN"/>
        </w:rPr>
        <w:t>人员变动、工资福利及党建星级村增加</w:t>
      </w:r>
      <w:r>
        <w:rPr>
          <w:rFonts w:hint="eastAsia" w:ascii="Times New Roman" w:hAnsi="Times New Roman" w:cs="Times New Roman"/>
          <w:sz w:val="30"/>
          <w:szCs w:val="30"/>
          <w:lang w:eastAsia="zh-CN"/>
        </w:rPr>
        <w:t>。</w:t>
      </w:r>
    </w:p>
    <w:p>
      <w:pPr>
        <w:pStyle w:val="9"/>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pPr>
      <w:r>
        <w:t>（一）按支出功能分类科目划分，共分为</w:t>
      </w:r>
      <w:r>
        <w:rPr>
          <w:rFonts w:hint="eastAsia"/>
          <w:lang w:val="en-US" w:eastAsia="zh-CN"/>
        </w:rPr>
        <w:t>1</w:t>
      </w:r>
      <w:r>
        <w:t>类，其中:</w:t>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rPr>
      </w:pPr>
      <w:r>
        <w:rPr>
          <w:rFonts w:hint="eastAsia"/>
        </w:rPr>
        <w:t>(</w:t>
      </w:r>
      <w:r>
        <w:rPr>
          <w:u w:color="auto"/>
        </w:rPr>
        <w:t>1)农林水支出</w:t>
      </w:r>
      <w:r>
        <w:rPr>
          <w:rFonts w:hint="eastAsia"/>
          <w:lang w:val="en-US" w:eastAsia="zh-CN"/>
        </w:rPr>
        <w:t>169.46</w:t>
      </w:r>
      <w:r>
        <w:rPr>
          <w:rFonts w:hint="eastAsia"/>
        </w:rPr>
        <w:t>万元，占支出总预算</w:t>
      </w:r>
      <w:r>
        <w:rPr>
          <w:rFonts w:hint="eastAsia"/>
          <w:lang w:val="en-US" w:eastAsia="zh-CN"/>
        </w:rPr>
        <w:t>100.00%</w:t>
      </w:r>
      <w:r>
        <w:rPr>
          <w:rFonts w:hint="eastAsia"/>
        </w:rPr>
        <w:t>,比上年</w:t>
      </w:r>
      <w:r>
        <w:rPr>
          <w:rFonts w:hint="eastAsia"/>
          <w:lang w:val="en-US" w:eastAsia="zh-CN"/>
        </w:rPr>
        <w:t>增长10.13</w:t>
      </w:r>
      <w:r>
        <w:rPr>
          <w:rFonts w:hint="eastAsia"/>
        </w:rPr>
        <w:t>万元，</w:t>
      </w:r>
      <w:r>
        <w:rPr>
          <w:rFonts w:hint="eastAsia"/>
          <w:lang w:val="en-US" w:eastAsia="zh-CN"/>
        </w:rPr>
        <w:t>增长6.36%</w:t>
      </w:r>
      <w:r>
        <w:rPr>
          <w:rFonts w:hint="eastAsia"/>
        </w:rPr>
        <w:t>,</w:t>
      </w:r>
      <w:r>
        <w:rPr>
          <w:rFonts w:hint="eastAsia"/>
          <w:highlight w:val="none"/>
        </w:rPr>
        <w:t>主要原因是：</w:t>
      </w:r>
      <w:r>
        <w:rPr>
          <w:rFonts w:hint="eastAsia"/>
          <w:highlight w:val="none"/>
          <w:lang w:val="en-US" w:eastAsia="zh-CN"/>
        </w:rPr>
        <w:t>村干部人员变动、工资福利及党建星级村变化影响经费增加</w:t>
      </w:r>
      <w:r>
        <w:rPr>
          <w:rFonts w:hint="eastAsia"/>
          <w:highlight w:val="none"/>
        </w:rPr>
        <w:t>。</w:t>
      </w:r>
    </w:p>
    <w:p>
      <w:pPr>
        <w:pStyle w:val="9"/>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pPr>
      <w:r>
        <w:t>(二)按支出结构分类划分，分为基本支出预算和项目支出预算。</w:t>
      </w:r>
    </w:p>
    <w:p>
      <w:pPr>
        <w:pStyle w:val="9"/>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560" w:firstLineChars="200"/>
        <w:jc w:val="left"/>
        <w:textAlignment w:val="auto"/>
      </w:pPr>
      <w:r>
        <w:t>基本支出预算。</w:t>
      </w:r>
    </w:p>
    <w:p>
      <w:pPr>
        <w:pStyle w:val="9"/>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eastAsia"/>
          <w:lang w:val="en-US" w:eastAsia="zh-CN"/>
        </w:rPr>
      </w:pPr>
      <w:r>
        <w:rPr>
          <w:rFonts w:hint="eastAsia"/>
        </w:rPr>
        <w:t>基本支出预算</w:t>
      </w:r>
      <w:r>
        <w:rPr>
          <w:rFonts w:hint="eastAsia"/>
          <w:lang w:val="en-US" w:eastAsia="zh-CN"/>
        </w:rPr>
        <w:t>169.46</w:t>
      </w:r>
      <w:r>
        <w:rPr>
          <w:rFonts w:hint="eastAsia"/>
        </w:rPr>
        <w:t>万元，占支出预算</w:t>
      </w:r>
      <w:r>
        <w:rPr>
          <w:u w:color="auto"/>
        </w:rPr>
        <w:t>100.00%,比上年增长10.13万元，增长6.36%</w:t>
      </w:r>
      <w:r>
        <w:t>。</w:t>
      </w:r>
      <w:r>
        <w:rPr>
          <w:rFonts w:hint="eastAsia"/>
          <w:lang w:val="en-US" w:eastAsia="zh-CN"/>
        </w:rPr>
        <w:t>其中：</w:t>
      </w:r>
    </w:p>
    <w:p>
      <w:pPr>
        <w:pStyle w:val="1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w:t>
      </w:r>
      <w:r>
        <w:rPr>
          <w:rFonts w:ascii="宋体" w:hAnsi="宋体" w:eastAsia="宋体" w:cs="宋体"/>
          <w:sz w:val="28"/>
          <w:u w:color="auto"/>
        </w:rPr>
        <w:t>1)商品和服务支出</w:t>
      </w:r>
      <w:r>
        <w:rPr>
          <w:rFonts w:hint="eastAsia" w:ascii="宋体" w:hAnsi="宋体" w:eastAsia="宋体" w:cs="宋体"/>
          <w:sz w:val="28"/>
          <w:szCs w:val="28"/>
          <w:lang w:val="en-US" w:eastAsia="zh-CN"/>
        </w:rPr>
        <w:t>20.25</w:t>
      </w:r>
      <w:r>
        <w:rPr>
          <w:rFonts w:hint="eastAsia" w:ascii="宋体" w:hAnsi="宋体" w:eastAsia="宋体" w:cs="宋体"/>
          <w:sz w:val="28"/>
          <w:szCs w:val="28"/>
        </w:rPr>
        <w:t>万</w:t>
      </w:r>
      <w:r>
        <w:rPr>
          <w:rFonts w:ascii="宋体" w:hAnsi="宋体" w:eastAsia="宋体" w:cs="宋体"/>
          <w:sz w:val="28"/>
          <w:szCs w:val="28"/>
        </w:rPr>
        <w:t>元，占基本</w:t>
      </w:r>
      <w:r>
        <w:rPr>
          <w:rFonts w:hint="eastAsia" w:ascii="宋体" w:hAnsi="宋体" w:eastAsia="宋体" w:cs="宋体"/>
          <w:sz w:val="28"/>
          <w:szCs w:val="28"/>
        </w:rPr>
        <w:t>支出总预算</w:t>
      </w:r>
      <w:r>
        <w:rPr>
          <w:rFonts w:hint="eastAsia" w:ascii="宋体" w:hAnsi="宋体" w:eastAsia="宋体" w:cs="宋体"/>
          <w:sz w:val="28"/>
          <w:szCs w:val="28"/>
          <w:lang w:val="en-US" w:eastAsia="zh-CN"/>
        </w:rPr>
        <w:t>11.95%</w:t>
      </w:r>
      <w:r>
        <w:rPr>
          <w:rFonts w:hint="eastAsia" w:ascii="宋体" w:hAnsi="宋体" w:eastAsia="宋体" w:cs="宋体"/>
          <w:sz w:val="28"/>
          <w:szCs w:val="28"/>
        </w:rPr>
        <w:t>,比上年</w:t>
      </w:r>
      <w:r>
        <w:rPr>
          <w:rFonts w:ascii="宋体" w:hAnsi="宋体" w:eastAsia="宋体" w:cs="宋体"/>
          <w:sz w:val="28"/>
          <w:u w:color="auto"/>
        </w:rPr>
        <w:t>增长0.30万元，增长1.50%,主要原因是：党建星级村增加，相应的商品和服务支出增加</w:t>
      </w:r>
      <w:r>
        <w:rPr>
          <w:rFonts w:hint="eastAsia" w:ascii="宋体" w:hAnsi="宋体" w:eastAsia="宋体" w:cs="宋体"/>
          <w:sz w:val="28"/>
          <w:szCs w:val="28"/>
          <w:lang w:val="en-US" w:eastAsia="zh-CN"/>
        </w:rPr>
        <w:t>。</w:t>
      </w:r>
    </w:p>
    <w:p>
      <w:pPr>
        <w:pStyle w:val="1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w:t>
      </w:r>
      <w:r>
        <w:rPr>
          <w:rFonts w:ascii="宋体" w:hAnsi="宋体" w:eastAsia="宋体" w:cs="宋体"/>
          <w:sz w:val="28"/>
          <w:u w:color="auto"/>
        </w:rPr>
        <w:t>2)对个人和家庭的补助</w:t>
      </w:r>
      <w:r>
        <w:rPr>
          <w:rFonts w:hint="eastAsia" w:ascii="宋体" w:hAnsi="宋体" w:eastAsia="宋体" w:cs="宋体"/>
          <w:sz w:val="28"/>
          <w:szCs w:val="28"/>
          <w:lang w:val="en-US" w:eastAsia="zh-CN"/>
        </w:rPr>
        <w:t>149.21</w:t>
      </w:r>
      <w:r>
        <w:rPr>
          <w:rFonts w:hint="eastAsia" w:ascii="宋体" w:hAnsi="宋体" w:eastAsia="宋体" w:cs="宋体"/>
          <w:sz w:val="28"/>
          <w:szCs w:val="28"/>
        </w:rPr>
        <w:t>万</w:t>
      </w:r>
      <w:r>
        <w:rPr>
          <w:rFonts w:ascii="宋体" w:hAnsi="宋体" w:eastAsia="宋体" w:cs="宋体"/>
          <w:sz w:val="28"/>
          <w:szCs w:val="28"/>
        </w:rPr>
        <w:t>元，占基本</w:t>
      </w:r>
      <w:r>
        <w:rPr>
          <w:rFonts w:hint="eastAsia" w:ascii="宋体" w:hAnsi="宋体" w:eastAsia="宋体" w:cs="宋体"/>
          <w:sz w:val="28"/>
          <w:szCs w:val="28"/>
        </w:rPr>
        <w:t>支出总预算</w:t>
      </w:r>
      <w:r>
        <w:rPr>
          <w:rFonts w:hint="eastAsia" w:ascii="宋体" w:hAnsi="宋体" w:eastAsia="宋体" w:cs="宋体"/>
          <w:sz w:val="28"/>
          <w:szCs w:val="28"/>
          <w:lang w:val="en-US" w:eastAsia="zh-CN"/>
        </w:rPr>
        <w:t>88.05%</w:t>
      </w:r>
      <w:r>
        <w:rPr>
          <w:rFonts w:hint="eastAsia" w:ascii="宋体" w:hAnsi="宋体" w:eastAsia="宋体" w:cs="宋体"/>
          <w:sz w:val="28"/>
          <w:szCs w:val="28"/>
        </w:rPr>
        <w:t>,比上年</w:t>
      </w:r>
      <w:r>
        <w:rPr>
          <w:rFonts w:ascii="宋体" w:hAnsi="宋体" w:eastAsia="宋体" w:cs="宋体"/>
          <w:sz w:val="28"/>
          <w:u w:color="auto"/>
        </w:rPr>
        <w:t>增长9.83万元，增长7.05%,主要原因是：村干部人员变动、工资福利等基本支出增加</w:t>
      </w:r>
      <w:r>
        <w:rPr>
          <w:rFonts w:hint="eastAsia" w:ascii="宋体" w:hAnsi="宋体" w:eastAsia="宋体" w:cs="宋体"/>
          <w:sz w:val="28"/>
          <w:szCs w:val="28"/>
          <w:lang w:val="en-US" w:eastAsia="zh-CN"/>
        </w:rPr>
        <w:t>。</w:t>
      </w:r>
    </w:p>
    <w:p>
      <w:pPr>
        <w:pStyle w:val="9"/>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b w:val="0"/>
          <w:bCs w:val="0"/>
          <w:color w:val="000000"/>
          <w:sz w:val="28"/>
          <w:szCs w:val="28"/>
          <w:lang w:val="zh-TW" w:eastAsia="zh-TW" w:bidi="zh-TW"/>
        </w:rPr>
      </w:pPr>
      <w:r>
        <w:rPr>
          <w:rFonts w:hint="eastAsia" w:ascii="宋体" w:hAnsi="宋体" w:eastAsia="宋体" w:cs="宋体"/>
          <w:b w:val="0"/>
          <w:bCs w:val="0"/>
          <w:color w:val="000000"/>
          <w:sz w:val="28"/>
          <w:szCs w:val="28"/>
          <w:lang w:val="zh-TW" w:eastAsia="zh-TW" w:bidi="zh-TW"/>
        </w:rPr>
        <w:t>项目支出预算。</w:t>
      </w:r>
    </w:p>
    <w:p>
      <w:pPr>
        <w:pStyle w:val="9"/>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eastAsia"/>
          <w:lang w:val="en-US" w:eastAsia="zh-CN"/>
        </w:rPr>
      </w:pPr>
      <w:r>
        <w:rPr>
          <w:rFonts w:hint="eastAsia"/>
        </w:rPr>
        <w:t>项目支出预算</w:t>
      </w:r>
      <w:r>
        <w:rPr>
          <w:rFonts w:hint="eastAsia"/>
          <w:lang w:val="en-US" w:eastAsia="zh-CN"/>
        </w:rPr>
        <w:t>0.00</w:t>
      </w:r>
      <w:r>
        <w:rPr>
          <w:rFonts w:hint="eastAsia"/>
        </w:rPr>
        <w:t>万元，占支出预算</w:t>
      </w:r>
      <w:r>
        <w:rPr>
          <w:u w:color="auto"/>
        </w:rPr>
        <w:t>0.00%</w:t>
      </w:r>
      <w:r>
        <w:rPr>
          <w:rFonts w:hint="eastAsia"/>
        </w:rPr>
        <w:t>,比上年</w:t>
      </w:r>
      <w:r>
        <w:rPr>
          <w:u w:color="auto"/>
        </w:rPr>
        <w:t>增长0.00</w:t>
      </w:r>
      <w:r>
        <w:rPr>
          <w:rFonts w:hint="eastAsia"/>
        </w:rPr>
        <w:t>万元，</w:t>
      </w:r>
      <w:r>
        <w:rPr>
          <w:u w:color="auto"/>
        </w:rPr>
        <w:t>增长0%</w:t>
      </w:r>
      <w:r>
        <w:t>。</w:t>
      </w:r>
    </w:p>
    <w:p>
      <w:pPr>
        <w:pStyle w:val="8"/>
        <w:spacing w:after="0" w:line="619" w:lineRule="exact"/>
        <w:ind w:firstLine="620"/>
        <w:jc w:val="left"/>
        <w:rPr>
          <w:rFonts w:hint="eastAsia"/>
          <w:b/>
          <w:bCs/>
          <w:lang w:val="en-US" w:eastAsia="zh-CN"/>
        </w:rPr>
      </w:pPr>
      <w:r>
        <w:rPr>
          <w:rFonts w:hint="eastAsia"/>
          <w:b/>
          <w:bCs/>
          <w:lang w:val="en-US" w:eastAsia="zh-CN"/>
        </w:rPr>
        <w:t>四、财政拨款收支总体情况说明</w:t>
      </w:r>
    </w:p>
    <w:p>
      <w:pPr>
        <w:pStyle w:val="9"/>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2577"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pStyle w:val="9"/>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u w:color="auto"/>
        </w:rPr>
        <w:t>年</w:t>
      </w:r>
      <w:r>
        <w:rPr>
          <w:rFonts w:hint="eastAsia" w:ascii="宋体" w:hAnsi="宋体" w:eastAsia="宋体" w:cs="宋体"/>
          <w:sz w:val="28"/>
          <w:szCs w:val="28"/>
        </w:rPr>
        <w:t>财政拨款收入我部门财政拨款总收入</w:t>
      </w:r>
      <w:r>
        <w:rPr>
          <w:rFonts w:hint="eastAsia" w:ascii="宋体" w:hAnsi="宋体" w:eastAsia="宋体" w:cs="宋体"/>
          <w:sz w:val="28"/>
          <w:szCs w:val="28"/>
          <w:lang w:val="en-US" w:eastAsia="zh-CN" w:bidi="en-US"/>
        </w:rPr>
        <w:t>169.46</w:t>
      </w:r>
      <w:r>
        <w:rPr>
          <w:rFonts w:hint="eastAsia" w:ascii="宋体" w:hAnsi="宋体" w:eastAsia="宋体" w:cs="宋体"/>
          <w:sz w:val="28"/>
          <w:szCs w:val="28"/>
        </w:rPr>
        <w:t>万元，总支出</w:t>
      </w:r>
      <w:r>
        <w:rPr>
          <w:rFonts w:hint="eastAsia" w:ascii="宋体" w:hAnsi="宋体" w:eastAsia="宋体" w:cs="宋体"/>
          <w:sz w:val="28"/>
          <w:szCs w:val="28"/>
          <w:lang w:val="en-US" w:eastAsia="zh-CN" w:bidi="en-US"/>
        </w:rPr>
        <w:t>169.46</w:t>
      </w:r>
      <w:r>
        <w:rPr>
          <w:rFonts w:hint="eastAsia" w:ascii="宋体" w:hAnsi="宋体" w:eastAsia="宋体" w:cs="宋体"/>
          <w:sz w:val="28"/>
          <w:szCs w:val="28"/>
        </w:rPr>
        <w:t>万元。财政拨款总收入较2023年度预算数</w:t>
      </w:r>
      <w:r>
        <w:rPr>
          <w:rFonts w:hint="eastAsia" w:ascii="宋体" w:hAnsi="宋体" w:eastAsia="宋体" w:cs="宋体"/>
          <w:sz w:val="28"/>
          <w:szCs w:val="28"/>
          <w:lang w:val="en-US" w:eastAsia="zh-CN" w:bidi="en-US"/>
        </w:rPr>
        <w:t>159.33</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增加10.13</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增长6.36%</w:t>
      </w:r>
      <w:r>
        <w:rPr>
          <w:rFonts w:hint="eastAsia" w:ascii="宋体" w:hAnsi="宋体" w:eastAsia="宋体" w:cs="宋体"/>
          <w:sz w:val="28"/>
          <w:szCs w:val="28"/>
        </w:rPr>
        <w:t>，主要原因是</w:t>
      </w:r>
      <w:r>
        <w:rPr>
          <w:rFonts w:hint="eastAsia"/>
          <w:highlight w:val="none"/>
          <w:lang w:val="en-US" w:eastAsia="zh-CN"/>
        </w:rPr>
        <w:t>村干部人员变动、工资福利及党建星级村变化影响经费增加</w:t>
      </w:r>
      <w:r>
        <w:rPr>
          <w:rFonts w:hint="eastAsia" w:ascii="宋体" w:hAnsi="宋体" w:eastAsia="宋体" w:cs="宋体"/>
          <w:sz w:val="28"/>
          <w:szCs w:val="28"/>
        </w:rPr>
        <w:t>。财政拨款总支出较2023年度预算数</w:t>
      </w:r>
      <w:r>
        <w:rPr>
          <w:rFonts w:hint="eastAsia" w:ascii="宋体" w:hAnsi="宋体" w:eastAsia="宋体" w:cs="宋体"/>
          <w:sz w:val="28"/>
          <w:szCs w:val="28"/>
          <w:lang w:val="en-US" w:eastAsia="zh-CN" w:bidi="en-US"/>
        </w:rPr>
        <w:t>159.33</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增加10.13</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增长6.36%</w:t>
      </w:r>
      <w:r>
        <w:rPr>
          <w:rFonts w:hint="eastAsia" w:ascii="宋体" w:hAnsi="宋体" w:eastAsia="宋体" w:cs="宋体"/>
          <w:sz w:val="28"/>
          <w:szCs w:val="28"/>
        </w:rPr>
        <w:t>，主要原因是</w:t>
      </w:r>
      <w:r>
        <w:rPr>
          <w:rFonts w:hint="eastAsia"/>
          <w:highlight w:val="none"/>
          <w:lang w:val="en-US" w:eastAsia="zh-CN"/>
        </w:rPr>
        <w:t>村干部人员变动、工资福利及党建星级村变化影响经费增加</w:t>
      </w:r>
      <w:r>
        <w:rPr>
          <w:rFonts w:hint="eastAsia" w:ascii="宋体" w:hAnsi="宋体" w:eastAsia="宋体" w:cs="宋体"/>
          <w:sz w:val="28"/>
          <w:szCs w:val="28"/>
        </w:rPr>
        <w:t>。</w:t>
      </w:r>
    </w:p>
    <w:p>
      <w:pPr>
        <w:pStyle w:val="8"/>
        <w:spacing w:after="0" w:line="619" w:lineRule="exact"/>
        <w:ind w:firstLine="620"/>
        <w:jc w:val="left"/>
        <w:rPr>
          <w:rFonts w:hint="eastAsia"/>
          <w:b/>
          <w:bCs/>
          <w:lang w:val="en-US" w:eastAsia="zh-CN"/>
        </w:rPr>
      </w:pPr>
      <w:r>
        <w:rPr>
          <w:rFonts w:hint="eastAsia"/>
          <w:b/>
          <w:bCs/>
          <w:lang w:val="en-US" w:eastAsia="zh-CN"/>
        </w:rPr>
        <w:t>五、一般公共预算支出情况说明</w:t>
      </w:r>
    </w:p>
    <w:p>
      <w:pPr>
        <w:pStyle w:val="9"/>
        <w:spacing w:line="240" w:lineRule="auto"/>
        <w:ind w:firstLine="0"/>
        <w:jc w:val="left"/>
        <w:rPr>
          <w:lang w:eastAsia="zh-CN"/>
        </w:rPr>
      </w:pPr>
      <w:r>
        <w:rPr>
          <w:lang w:eastAsia="zh-CN"/>
        </w:rPr>
        <w:drawing>
          <wp:inline distT="0" distB="0" distL="114300" distR="114300">
            <wp:extent cx="5080000" cy="3810000"/>
            <wp:effectExtent l="4445" t="4445" r="5715" b="10795"/>
            <wp:docPr id="2578"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lang w:val="en-US" w:eastAsia="zh-CN"/>
        </w:rPr>
        <w:t>年</w:t>
      </w:r>
      <w:r>
        <w:rPr>
          <w:rFonts w:hint="eastAsia" w:ascii="宋体" w:hAnsi="宋体" w:eastAsia="宋体" w:cs="宋体"/>
          <w:sz w:val="28"/>
          <w:szCs w:val="28"/>
        </w:rPr>
        <w:t>一般公共预算支出共</w:t>
      </w:r>
      <w:r>
        <w:rPr>
          <w:rFonts w:hint="eastAsia" w:ascii="宋体" w:hAnsi="宋体" w:eastAsia="宋体" w:cs="宋体"/>
          <w:sz w:val="28"/>
          <w:szCs w:val="28"/>
          <w:lang w:val="en-US" w:eastAsia="zh-CN"/>
        </w:rPr>
        <w:t>169.46</w:t>
      </w:r>
      <w:r>
        <w:rPr>
          <w:rFonts w:hint="eastAsia" w:ascii="宋体" w:hAnsi="宋体" w:eastAsia="宋体" w:cs="宋体"/>
          <w:sz w:val="28"/>
          <w:szCs w:val="28"/>
        </w:rPr>
        <w:t>万元，较2023年度预算数</w:t>
      </w:r>
      <w:r>
        <w:rPr>
          <w:rFonts w:hint="eastAsia" w:ascii="宋体" w:hAnsi="宋体" w:eastAsia="宋体" w:cs="宋体"/>
          <w:sz w:val="28"/>
          <w:szCs w:val="28"/>
          <w:lang w:val="en-US" w:eastAsia="zh-CN"/>
        </w:rPr>
        <w:t>159.33</w:t>
      </w:r>
      <w:r>
        <w:rPr>
          <w:rFonts w:hint="eastAsia" w:ascii="宋体" w:hAnsi="宋体" w:eastAsia="宋体" w:cs="宋体"/>
          <w:sz w:val="28"/>
          <w:szCs w:val="28"/>
        </w:rPr>
        <w:t>万元，</w:t>
      </w:r>
      <w:r>
        <w:rPr>
          <w:rFonts w:hint="eastAsia" w:ascii="宋体" w:hAnsi="宋体" w:eastAsia="宋体" w:cs="宋体"/>
          <w:sz w:val="28"/>
          <w:szCs w:val="28"/>
          <w:lang w:val="en-US" w:eastAsia="zh-CN"/>
        </w:rPr>
        <w:t>增加10.13</w:t>
      </w:r>
      <w:r>
        <w:rPr>
          <w:rFonts w:hint="eastAsia" w:ascii="宋体" w:hAnsi="宋体" w:eastAsia="宋体" w:cs="宋体"/>
          <w:sz w:val="28"/>
          <w:szCs w:val="28"/>
        </w:rPr>
        <w:t>万元，</w:t>
      </w:r>
      <w:r>
        <w:rPr>
          <w:rFonts w:hint="eastAsia" w:ascii="宋体" w:hAnsi="宋体" w:eastAsia="宋体" w:cs="宋体"/>
          <w:sz w:val="28"/>
          <w:szCs w:val="28"/>
          <w:lang w:val="en-US" w:eastAsia="zh-CN"/>
        </w:rPr>
        <w:t>增长6.36%</w:t>
      </w:r>
      <w:r>
        <w:rPr>
          <w:rFonts w:hint="eastAsia" w:ascii="宋体" w:hAnsi="宋体" w:eastAsia="宋体" w:cs="宋体"/>
          <w:sz w:val="28"/>
          <w:szCs w:val="28"/>
        </w:rPr>
        <w:t>，主要原因是</w:t>
      </w:r>
      <w:r>
        <w:rPr>
          <w:rFonts w:hint="eastAsia"/>
          <w:highlight w:val="none"/>
          <w:lang w:val="en-US" w:eastAsia="zh-CN"/>
        </w:rPr>
        <w:t>村干部人员变动、工资福利及党建星级村变化影响经费增加</w:t>
      </w:r>
      <w:r>
        <w:rPr>
          <w:rFonts w:hint="eastAsia" w:ascii="宋体" w:hAnsi="宋体" w:eastAsia="宋体" w:cs="宋体"/>
          <w:sz w:val="28"/>
          <w:szCs w:val="28"/>
        </w:rPr>
        <w:t>。中央提前下达2024年一般公共预算转移支付资金安排的支出</w:t>
      </w:r>
      <w:r>
        <w:rPr>
          <w:rFonts w:hint="eastAsia" w:ascii="宋体" w:hAnsi="宋体" w:eastAsia="宋体" w:cs="宋体"/>
          <w:sz w:val="28"/>
          <w:szCs w:val="28"/>
          <w:lang w:val="en-US" w:eastAsia="zh-CN"/>
        </w:rPr>
        <w:t>0.00</w:t>
      </w:r>
      <w:r>
        <w:rPr>
          <w:rFonts w:hint="eastAsia" w:ascii="宋体" w:hAnsi="宋体" w:eastAsia="宋体" w:cs="宋体"/>
          <w:sz w:val="28"/>
          <w:szCs w:val="28"/>
        </w:rPr>
        <w:t>万元。具体情况为：</w:t>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农林水支出（类）支出</w:t>
      </w:r>
      <w:r>
        <w:rPr>
          <w:rFonts w:ascii="宋体" w:hAnsi="宋体" w:eastAsia="宋体" w:cs="宋体"/>
          <w:sz w:val="28"/>
          <w:u w:color="auto"/>
        </w:rPr>
        <w:t>169.46</w:t>
      </w:r>
      <w:r>
        <w:rPr>
          <w:rFonts w:hint="eastAsia" w:ascii="宋体" w:hAnsi="宋体" w:eastAsia="宋体" w:cs="宋体"/>
          <w:sz w:val="28"/>
          <w:szCs w:val="28"/>
        </w:rPr>
        <w:t>万元，占支出总预算的</w:t>
      </w:r>
      <w:r>
        <w:rPr>
          <w:rFonts w:ascii="宋体" w:hAnsi="宋体" w:eastAsia="宋体" w:cs="宋体"/>
          <w:sz w:val="28"/>
          <w:u w:color="auto"/>
        </w:rPr>
        <w:t>100.00%</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159.33</w:t>
      </w:r>
      <w:r>
        <w:rPr>
          <w:rFonts w:hint="eastAsia" w:ascii="宋体" w:hAnsi="宋体" w:eastAsia="宋体" w:cs="宋体"/>
          <w:sz w:val="28"/>
          <w:szCs w:val="28"/>
        </w:rPr>
        <w:t>万元，</w:t>
      </w:r>
      <w:r>
        <w:rPr>
          <w:rFonts w:ascii="宋体" w:hAnsi="宋体" w:eastAsia="宋体" w:cs="宋体"/>
          <w:sz w:val="28"/>
          <w:u w:color="auto"/>
        </w:rPr>
        <w:t>增长10.13</w:t>
      </w:r>
      <w:r>
        <w:rPr>
          <w:rFonts w:hint="eastAsia" w:ascii="宋体" w:hAnsi="宋体" w:eastAsia="宋体" w:cs="宋体"/>
          <w:sz w:val="28"/>
          <w:szCs w:val="28"/>
        </w:rPr>
        <w:t>万元，</w:t>
      </w:r>
      <w:r>
        <w:rPr>
          <w:rFonts w:ascii="宋体" w:hAnsi="宋体" w:eastAsia="宋体" w:cs="宋体"/>
          <w:sz w:val="28"/>
          <w:u w:color="auto"/>
        </w:rPr>
        <w:t>增长6.36%</w:t>
      </w:r>
      <w:r>
        <w:rPr>
          <w:rFonts w:hint="eastAsia" w:ascii="宋体" w:hAnsi="宋体" w:eastAsia="宋体" w:cs="宋体"/>
          <w:sz w:val="28"/>
          <w:szCs w:val="28"/>
        </w:rPr>
        <w:t>，主要原因是：</w:t>
      </w:r>
      <w:r>
        <w:rPr>
          <w:rFonts w:hint="eastAsia"/>
          <w:highlight w:val="none"/>
        </w:rPr>
        <w:t>村干部人员变动、工资福利及党建星级村变化影响经费增加</w:t>
      </w:r>
      <w:r>
        <w:rPr>
          <w:rFonts w:hint="eastAsia" w:ascii="宋体" w:hAnsi="宋体" w:eastAsia="宋体" w:cs="宋体"/>
          <w:sz w:val="28"/>
          <w:szCs w:val="28"/>
        </w:rPr>
        <w:t>。</w:t>
      </w:r>
    </w:p>
    <w:p>
      <w:pPr>
        <w:pStyle w:val="8"/>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六、一般公共预算基本支出情况说明</w:t>
      </w:r>
    </w:p>
    <w:p>
      <w:pPr>
        <w:pStyle w:val="8"/>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5715" b="10795"/>
            <wp:docPr id="2579"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lang w:val="en-US" w:eastAsia="zh-CN"/>
        </w:rPr>
      </w:pPr>
      <w:r>
        <w:rPr>
          <w:rFonts w:hint="eastAsia"/>
          <w:lang w:val="en-US" w:eastAsia="zh-CN"/>
        </w:rPr>
        <w:t>2024</w:t>
      </w:r>
      <w:r>
        <w:rPr>
          <w:u w:color="auto"/>
        </w:rPr>
        <w:t>年</w:t>
      </w:r>
      <w:r>
        <w:rPr>
          <w:rFonts w:hint="eastAsia"/>
        </w:rPr>
        <w:t>一般公共预算基本支出共</w:t>
      </w:r>
      <w:r>
        <w:rPr>
          <w:rFonts w:hint="eastAsia"/>
          <w:lang w:val="en-US" w:eastAsia="zh-CN"/>
        </w:rPr>
        <w:t>169.46</w:t>
      </w:r>
      <w:r>
        <w:rPr>
          <w:rFonts w:hint="eastAsia"/>
        </w:rPr>
        <w:t>万元，较2023年度预算数</w:t>
      </w:r>
      <w:r>
        <w:rPr>
          <w:rFonts w:hint="eastAsia"/>
          <w:lang w:val="en-US" w:eastAsia="zh-CN"/>
        </w:rPr>
        <w:t>159.33</w:t>
      </w:r>
      <w:r>
        <w:rPr>
          <w:rFonts w:hint="eastAsia"/>
        </w:rPr>
        <w:t>万元</w:t>
      </w:r>
      <w:r>
        <w:rPr>
          <w:rFonts w:hint="eastAsia"/>
          <w:lang w:val="en-US" w:eastAsia="zh-CN"/>
        </w:rPr>
        <w:t>,</w:t>
      </w:r>
      <w:r>
        <w:rPr>
          <w:u w:color="auto"/>
        </w:rPr>
        <w:t>增加10.13</w:t>
      </w:r>
      <w:r>
        <w:rPr>
          <w:rFonts w:hint="eastAsia"/>
        </w:rPr>
        <w:t>万元，</w:t>
      </w:r>
      <w:r>
        <w:rPr>
          <w:rFonts w:hint="eastAsia"/>
          <w:lang w:val="en-US" w:eastAsia="zh-CN"/>
        </w:rPr>
        <w:t>增长6.36%</w:t>
      </w:r>
      <w:r>
        <w:rPr>
          <w:rFonts w:hint="eastAsia"/>
        </w:rPr>
        <w:t>，主要原因是</w:t>
      </w:r>
      <w:r>
        <w:rPr>
          <w:rFonts w:hint="eastAsia"/>
          <w:highlight w:val="none"/>
          <w:lang w:val="en-US" w:eastAsia="zh-CN"/>
        </w:rPr>
        <w:t>村干部人员变动、工资福利及党建星级村变化影响经费增加</w:t>
      </w:r>
      <w:r>
        <w:rPr>
          <w:rFonts w:hint="eastAsia"/>
        </w:rPr>
        <w:t>。具体情况为：</w:t>
      </w:r>
    </w:p>
    <w:p>
      <w:pPr>
        <w:pStyle w:val="9"/>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商品和服务支出</w:t>
      </w:r>
      <w:r>
        <w:rPr>
          <w:rFonts w:hint="eastAsia"/>
        </w:rPr>
        <w:t>支出预算</w:t>
      </w:r>
      <w:r>
        <w:rPr>
          <w:rFonts w:hint="eastAsia"/>
          <w:lang w:val="en-US" w:eastAsia="zh-CN"/>
        </w:rPr>
        <w:t>20.25</w:t>
      </w:r>
      <w:r>
        <w:t>万元</w:t>
      </w:r>
      <w:r>
        <w:rPr>
          <w:rFonts w:hint="eastAsia"/>
          <w:lang w:eastAsia="zh-CN"/>
        </w:rPr>
        <w:t>，</w:t>
      </w:r>
      <w:r>
        <w:rPr>
          <w:rFonts w:hint="eastAsia"/>
        </w:rPr>
        <w:t>占基本支出预算的</w:t>
      </w:r>
      <w:r>
        <w:rPr>
          <w:rFonts w:hint="eastAsia"/>
          <w:lang w:val="en-US" w:eastAsia="zh-CN"/>
        </w:rPr>
        <w:t>11.95%</w:t>
      </w:r>
      <w:r>
        <w:rPr>
          <w:rFonts w:hint="eastAsia"/>
        </w:rPr>
        <w:t>，较2023年度预算数</w:t>
      </w:r>
      <w:r>
        <w:rPr>
          <w:rFonts w:hint="eastAsia"/>
          <w:lang w:val="en-US" w:eastAsia="zh-CN"/>
        </w:rPr>
        <w:t>19.95</w:t>
      </w:r>
      <w:r>
        <w:rPr>
          <w:rFonts w:hint="eastAsia"/>
        </w:rPr>
        <w:t>万元，</w:t>
      </w:r>
      <w:r>
        <w:rPr>
          <w:rFonts w:hint="eastAsia"/>
          <w:lang w:val="en-US" w:eastAsia="zh-CN"/>
        </w:rPr>
        <w:t>增长0.30</w:t>
      </w:r>
      <w:r>
        <w:rPr>
          <w:rFonts w:hint="eastAsia"/>
        </w:rPr>
        <w:t>万元，</w:t>
      </w:r>
      <w:r>
        <w:rPr>
          <w:rFonts w:hint="eastAsia"/>
          <w:lang w:val="en-US" w:eastAsia="zh-CN"/>
        </w:rPr>
        <w:t>增长1.50%</w:t>
      </w:r>
      <w:r>
        <w:rPr>
          <w:rFonts w:hint="eastAsia"/>
        </w:rPr>
        <w:t>，主要原因是：</w:t>
      </w:r>
      <w:r>
        <w:rPr>
          <w:rFonts w:hint="eastAsia"/>
          <w:highlight w:val="none"/>
        </w:rPr>
        <w:t>党建星级村增加，相应的商品和服务支出增加</w:t>
      </w:r>
      <w:r>
        <w:rPr>
          <w:rFonts w:hint="eastAsia"/>
          <w:highlight w:val="none"/>
          <w:lang w:val="en-US" w:eastAsia="zh-CN"/>
        </w:rPr>
        <w:t>。</w:t>
      </w:r>
    </w:p>
    <w:p>
      <w:pPr>
        <w:pStyle w:val="9"/>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对个人和家庭的补助</w:t>
      </w:r>
      <w:r>
        <w:rPr>
          <w:rFonts w:hint="eastAsia"/>
        </w:rPr>
        <w:t>支出预算</w:t>
      </w:r>
      <w:r>
        <w:rPr>
          <w:rFonts w:hint="eastAsia"/>
          <w:lang w:val="en-US" w:eastAsia="zh-CN"/>
        </w:rPr>
        <w:t>149.21</w:t>
      </w:r>
      <w:r>
        <w:t>万元</w:t>
      </w:r>
      <w:r>
        <w:rPr>
          <w:rFonts w:hint="eastAsia"/>
          <w:lang w:eastAsia="zh-CN"/>
        </w:rPr>
        <w:t>，</w:t>
      </w:r>
      <w:r>
        <w:rPr>
          <w:rFonts w:hint="eastAsia"/>
        </w:rPr>
        <w:t>占基本支出预算的</w:t>
      </w:r>
      <w:r>
        <w:rPr>
          <w:rFonts w:hint="eastAsia"/>
          <w:lang w:val="en-US" w:eastAsia="zh-CN"/>
        </w:rPr>
        <w:t>88.05%</w:t>
      </w:r>
      <w:r>
        <w:rPr>
          <w:rFonts w:hint="eastAsia"/>
        </w:rPr>
        <w:t>，较2023年度预算数</w:t>
      </w:r>
      <w:r>
        <w:rPr>
          <w:rFonts w:hint="eastAsia"/>
          <w:lang w:val="en-US" w:eastAsia="zh-CN"/>
        </w:rPr>
        <w:t>139.38</w:t>
      </w:r>
      <w:r>
        <w:rPr>
          <w:rFonts w:hint="eastAsia"/>
        </w:rPr>
        <w:t>万元，</w:t>
      </w:r>
      <w:r>
        <w:rPr>
          <w:rFonts w:hint="eastAsia"/>
          <w:lang w:val="en-US" w:eastAsia="zh-CN"/>
        </w:rPr>
        <w:t>增长9.83</w:t>
      </w:r>
      <w:r>
        <w:rPr>
          <w:rFonts w:hint="eastAsia"/>
        </w:rPr>
        <w:t>万元，</w:t>
      </w:r>
      <w:r>
        <w:rPr>
          <w:rFonts w:hint="eastAsia"/>
          <w:lang w:val="en-US" w:eastAsia="zh-CN"/>
        </w:rPr>
        <w:t>增长7.05%</w:t>
      </w:r>
      <w:r>
        <w:rPr>
          <w:rFonts w:hint="eastAsia"/>
        </w:rPr>
        <w:t>，主要原因是：</w:t>
      </w:r>
      <w:r>
        <w:rPr>
          <w:rFonts w:hint="eastAsia"/>
          <w:highlight w:val="none"/>
        </w:rPr>
        <w:t>村干部人员变动、工资福利等基本支出增加</w:t>
      </w:r>
      <w:r>
        <w:rPr>
          <w:rFonts w:hint="eastAsia"/>
          <w:highlight w:val="none"/>
          <w:lang w:val="en-US" w:eastAsia="zh-CN"/>
        </w:rPr>
        <w:t>。</w:t>
      </w:r>
    </w:p>
    <w:p>
      <w:pPr>
        <w:pStyle w:val="8"/>
        <w:spacing w:after="0" w:line="619" w:lineRule="exact"/>
        <w:ind w:firstLine="620"/>
        <w:jc w:val="left"/>
        <w:rPr>
          <w:rFonts w:hint="eastAsia"/>
          <w:b/>
          <w:bCs/>
        </w:rPr>
      </w:pPr>
      <w:r>
        <w:rPr>
          <w:rFonts w:hint="eastAsia"/>
          <w:b/>
          <w:bCs/>
          <w:lang w:val="en-US" w:eastAsia="zh-CN"/>
        </w:rPr>
        <w:t>七、一般公共预算</w:t>
      </w:r>
      <w:r>
        <w:rPr>
          <w:rFonts w:hint="eastAsia"/>
          <w:b/>
          <w:bCs/>
          <w:lang w:val="zh-CN" w:eastAsia="zh-CN"/>
        </w:rPr>
        <w:t>“三</w:t>
      </w:r>
      <w:r>
        <w:rPr>
          <w:rFonts w:hint="eastAsia"/>
          <w:b/>
          <w:bCs/>
          <w:lang w:val="en-US" w:eastAsia="zh-CN"/>
        </w:rPr>
        <w:t>公”经费支出情况说明</w:t>
      </w:r>
    </w:p>
    <w:p>
      <w:pPr>
        <w:pStyle w:val="8"/>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2580"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pStyle w:val="8"/>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4" w:name="bookmark90"/>
      <w:r>
        <w:rPr>
          <w:rFonts w:hint="eastAsia"/>
          <w:b w:val="0"/>
          <w:bCs w:val="0"/>
          <w:sz w:val="28"/>
          <w:szCs w:val="28"/>
          <w:lang w:eastAsia="zh-CN"/>
        </w:rPr>
        <w:t>（</w:t>
      </w:r>
      <w:r>
        <w:rPr>
          <w:rFonts w:hint="eastAsia"/>
          <w:b w:val="0"/>
          <w:bCs w:val="0"/>
          <w:sz w:val="28"/>
          <w:szCs w:val="28"/>
          <w:lang w:val="en-US" w:eastAsia="zh-CN"/>
        </w:rPr>
        <w:t>一</w:t>
      </w:r>
      <w:r>
        <w:rPr>
          <w:rFonts w:hint="eastAsia"/>
          <w:b w:val="0"/>
          <w:bCs w:val="0"/>
          <w:sz w:val="28"/>
          <w:szCs w:val="28"/>
          <w:lang w:eastAsia="zh-CN"/>
        </w:rPr>
        <w:t>）</w:t>
      </w:r>
      <w:r>
        <w:rPr>
          <w:sz w:val="28"/>
          <w:u w:color="auto"/>
        </w:rPr>
        <w:t>2024年部门预算共安排</w:t>
      </w:r>
      <w:r>
        <w:rPr>
          <w:rFonts w:hint="eastAsia"/>
          <w:b w:val="0"/>
          <w:bCs w:val="0"/>
          <w:sz w:val="28"/>
          <w:szCs w:val="28"/>
          <w:lang w:val="zh-CN" w:eastAsia="zh-CN"/>
        </w:rPr>
        <w:t>“三公</w:t>
      </w:r>
      <w:r>
        <w:rPr>
          <w:rFonts w:hint="eastAsia"/>
          <w:b w:val="0"/>
          <w:bCs w:val="0"/>
          <w:sz w:val="28"/>
          <w:szCs w:val="28"/>
          <w:lang w:val="en-US" w:eastAsia="zh-CN"/>
        </w:rPr>
        <w:t>"</w:t>
      </w:r>
      <w:r>
        <w:rPr>
          <w:rFonts w:hint="eastAsia"/>
          <w:b w:val="0"/>
          <w:bCs w:val="0"/>
          <w:sz w:val="28"/>
          <w:szCs w:val="28"/>
          <w:lang w:eastAsia="zh-CN"/>
        </w:rPr>
        <w:t>经费支出预算</w:t>
      </w:r>
      <w:r>
        <w:rPr>
          <w:rFonts w:hint="eastAsia"/>
          <w:b w:val="0"/>
          <w:bCs w:val="0"/>
          <w:sz w:val="28"/>
          <w:szCs w:val="28"/>
          <w:lang w:val="en-US" w:eastAsia="zh-CN"/>
        </w:rPr>
        <w:t>0.00</w:t>
      </w:r>
      <w:r>
        <w:rPr>
          <w:rFonts w:hint="eastAsia"/>
          <w:b w:val="0"/>
          <w:bCs w:val="0"/>
          <w:sz w:val="28"/>
          <w:szCs w:val="28"/>
          <w:lang w:eastAsia="zh-CN"/>
        </w:rPr>
        <w:t>万元（全口径），其中：因公出国（境）经费支出预算</w:t>
      </w:r>
      <w:r>
        <w:rPr>
          <w:rFonts w:hint="eastAsia"/>
          <w:b w:val="0"/>
          <w:bCs w:val="0"/>
          <w:sz w:val="28"/>
          <w:szCs w:val="28"/>
          <w:lang w:val="en-US" w:eastAsia="zh-CN"/>
        </w:rPr>
        <w:t>0.00</w:t>
      </w:r>
      <w:r>
        <w:rPr>
          <w:rFonts w:hint="eastAsia"/>
          <w:b w:val="0"/>
          <w:bCs w:val="0"/>
          <w:sz w:val="28"/>
          <w:szCs w:val="28"/>
          <w:lang w:eastAsia="zh-CN"/>
        </w:rPr>
        <w:t>万元，公务接待费支出预算</w:t>
      </w:r>
      <w:r>
        <w:rPr>
          <w:rFonts w:hint="eastAsia"/>
          <w:b w:val="0"/>
          <w:bCs w:val="0"/>
          <w:sz w:val="28"/>
          <w:szCs w:val="28"/>
          <w:lang w:val="en-US" w:eastAsia="zh-CN"/>
        </w:rPr>
        <w:t>0.00</w:t>
      </w:r>
      <w:r>
        <w:rPr>
          <w:rFonts w:hint="eastAsia"/>
          <w:b w:val="0"/>
          <w:bCs w:val="0"/>
          <w:sz w:val="28"/>
          <w:szCs w:val="28"/>
          <w:lang w:eastAsia="zh-CN"/>
        </w:rPr>
        <w:t>万元，公务用车购置及运行费支出预算</w:t>
      </w:r>
      <w:r>
        <w:rPr>
          <w:rFonts w:hint="eastAsia"/>
          <w:b w:val="0"/>
          <w:bCs w:val="0"/>
          <w:sz w:val="28"/>
          <w:szCs w:val="28"/>
          <w:lang w:val="en-US" w:eastAsia="zh-CN"/>
        </w:rPr>
        <w:t>0.00</w:t>
      </w:r>
      <w:r>
        <w:rPr>
          <w:rFonts w:hint="eastAsia"/>
          <w:b w:val="0"/>
          <w:bCs w:val="0"/>
          <w:sz w:val="28"/>
          <w:szCs w:val="28"/>
          <w:lang w:eastAsia="zh-CN"/>
        </w:rPr>
        <w:t>万元（公务用车购置费</w:t>
      </w:r>
      <w:r>
        <w:rPr>
          <w:rFonts w:hint="eastAsia"/>
          <w:b w:val="0"/>
          <w:bCs w:val="0"/>
          <w:sz w:val="28"/>
          <w:szCs w:val="28"/>
          <w:lang w:val="en-US" w:eastAsia="zh-CN"/>
        </w:rPr>
        <w:t>0.00</w:t>
      </w:r>
      <w:r>
        <w:rPr>
          <w:rFonts w:hint="eastAsia"/>
          <w:b w:val="0"/>
          <w:bCs w:val="0"/>
          <w:sz w:val="28"/>
          <w:szCs w:val="28"/>
          <w:lang w:eastAsia="zh-CN"/>
        </w:rPr>
        <w:t>万元,公务用车运行维护费</w:t>
      </w:r>
      <w:r>
        <w:rPr>
          <w:rFonts w:hint="eastAsia"/>
          <w:b w:val="0"/>
          <w:bCs w:val="0"/>
          <w:sz w:val="28"/>
          <w:szCs w:val="28"/>
          <w:lang w:val="en-US" w:eastAsia="zh-CN"/>
        </w:rPr>
        <w:t>0.00</w:t>
      </w:r>
      <w:r>
        <w:rPr>
          <w:rFonts w:hint="eastAsia"/>
          <w:b w:val="0"/>
          <w:bCs w:val="0"/>
          <w:sz w:val="28"/>
          <w:szCs w:val="28"/>
          <w:lang w:eastAsia="zh-CN"/>
        </w:rPr>
        <w:t>万元）。</w:t>
      </w:r>
    </w:p>
    <w:p>
      <w:pPr>
        <w:pStyle w:val="8"/>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w:t>
      </w:r>
      <w:r>
        <w:rPr>
          <w:rFonts w:hint="eastAsia"/>
          <w:b w:val="0"/>
          <w:bCs w:val="0"/>
          <w:sz w:val="28"/>
          <w:szCs w:val="28"/>
          <w:lang w:val="en-US" w:eastAsia="zh-CN"/>
        </w:rPr>
        <w:t>二</w:t>
      </w:r>
      <w:r>
        <w:rPr>
          <w:rFonts w:hint="eastAsia"/>
          <w:b w:val="0"/>
          <w:bCs w:val="0"/>
          <w:sz w:val="28"/>
          <w:szCs w:val="28"/>
          <w:lang w:eastAsia="zh-CN"/>
        </w:rPr>
        <w:t>）</w:t>
      </w:r>
      <w:r>
        <w:rPr>
          <w:sz w:val="28"/>
          <w:u w:color="auto"/>
        </w:rPr>
        <w:t>2024</w:t>
      </w:r>
      <w:r>
        <w:rPr>
          <w:rFonts w:hint="eastAsia"/>
          <w:b w:val="0"/>
          <w:bCs w:val="0"/>
          <w:sz w:val="28"/>
          <w:szCs w:val="28"/>
        </w:rPr>
        <w:t>年一般公共预算安排的“三公”经费支出预算</w:t>
      </w:r>
      <w:r>
        <w:rPr>
          <w:rFonts w:hint="eastAsia"/>
          <w:b w:val="0"/>
          <w:bCs w:val="0"/>
          <w:sz w:val="28"/>
          <w:szCs w:val="28"/>
          <w:lang w:val="en-US" w:eastAsia="zh-CN"/>
        </w:rPr>
        <w:t>0.00</w:t>
      </w:r>
      <w:r>
        <w:rPr>
          <w:rFonts w:hint="eastAsia"/>
          <w:b w:val="0"/>
          <w:bCs w:val="0"/>
          <w:sz w:val="28"/>
          <w:szCs w:val="28"/>
        </w:rPr>
        <w:t>万元，同口径较2023年度预算数</w:t>
      </w:r>
      <w:r>
        <w:rPr>
          <w:rFonts w:hint="eastAsia"/>
          <w:b w:val="0"/>
          <w:bCs w:val="0"/>
          <w:sz w:val="28"/>
          <w:szCs w:val="28"/>
          <w:lang w:val="en-US" w:eastAsia="zh-CN"/>
        </w:rPr>
        <w:t>0.00</w:t>
      </w:r>
      <w:r>
        <w:rPr>
          <w:rFonts w:hint="eastAsia"/>
          <w:b w:val="0"/>
          <w:bCs w:val="0"/>
          <w:sz w:val="28"/>
          <w:szCs w:val="28"/>
        </w:rPr>
        <w:t>万元，</w:t>
      </w:r>
      <w:r>
        <w:rPr>
          <w:rFonts w:hint="eastAsia"/>
          <w:b w:val="0"/>
          <w:bCs w:val="0"/>
          <w:sz w:val="28"/>
          <w:szCs w:val="28"/>
          <w:lang w:val="en-US" w:eastAsia="zh-CN"/>
        </w:rPr>
        <w:t>增长0.00</w:t>
      </w:r>
      <w:r>
        <w:rPr>
          <w:rFonts w:hint="eastAsia"/>
          <w:b w:val="0"/>
          <w:bCs w:val="0"/>
          <w:sz w:val="28"/>
          <w:szCs w:val="28"/>
        </w:rPr>
        <w:t>万元，</w:t>
      </w:r>
      <w:r>
        <w:rPr>
          <w:rFonts w:hint="eastAsia"/>
          <w:b w:val="0"/>
          <w:bCs w:val="0"/>
          <w:sz w:val="28"/>
          <w:szCs w:val="28"/>
          <w:lang w:val="en-US" w:eastAsia="zh-CN"/>
        </w:rPr>
        <w:t>增长0%</w:t>
      </w:r>
      <w:r>
        <w:rPr>
          <w:rFonts w:hint="eastAsia"/>
          <w:b w:val="0"/>
          <w:bCs w:val="0"/>
          <w:sz w:val="28"/>
          <w:szCs w:val="28"/>
        </w:rPr>
        <w:t>，具体如下：</w:t>
      </w:r>
    </w:p>
    <w:p>
      <w:pPr>
        <w:pStyle w:val="8"/>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eastAsia="宋体"/>
          <w:b w:val="0"/>
          <w:bCs w:val="0"/>
          <w:sz w:val="28"/>
          <w:szCs w:val="28"/>
          <w:lang w:eastAsia="zh-CN"/>
        </w:rPr>
      </w:pPr>
      <w:r>
        <w:rPr>
          <w:rFonts w:hint="eastAsia"/>
          <w:b w:val="0"/>
          <w:bCs w:val="0"/>
          <w:sz w:val="28"/>
          <w:szCs w:val="28"/>
        </w:rPr>
        <w:t>1.因公出国（境）费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sz w:val="28"/>
          <w:szCs w:val="28"/>
          <w:highlight w:val="none"/>
          <w:lang w:val="en-US" w:eastAsia="zh-CN"/>
        </w:rPr>
        <w:t>我部门2024年部门预算无因公出国（境）预算</w:t>
      </w:r>
      <w:r>
        <w:rPr>
          <w:rFonts w:hint="eastAsia"/>
          <w:b w:val="0"/>
          <w:bCs w:val="0"/>
          <w:sz w:val="28"/>
          <w:szCs w:val="28"/>
        </w:rPr>
        <w:t>。</w:t>
      </w:r>
    </w:p>
    <w:p>
      <w:pPr>
        <w:pStyle w:val="8"/>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eastAsia="宋体"/>
          <w:b w:val="0"/>
          <w:bCs w:val="0"/>
          <w:sz w:val="28"/>
          <w:szCs w:val="28"/>
          <w:lang w:eastAsia="zh-CN"/>
        </w:rPr>
      </w:pPr>
      <w:r>
        <w:rPr>
          <w:rFonts w:hint="eastAsia"/>
          <w:b w:val="0"/>
          <w:bCs w:val="0"/>
          <w:sz w:val="28"/>
          <w:szCs w:val="28"/>
        </w:rPr>
        <w:t>2.公务接待费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sz w:val="28"/>
          <w:szCs w:val="28"/>
          <w:highlight w:val="none"/>
          <w:lang w:val="en-US" w:eastAsia="zh-CN"/>
        </w:rPr>
        <w:t>我部门2024年部门预算无公务接待预算</w:t>
      </w:r>
      <w:r>
        <w:rPr>
          <w:rFonts w:hint="eastAsia"/>
          <w:b w:val="0"/>
          <w:bCs w:val="0"/>
          <w:sz w:val="28"/>
          <w:szCs w:val="28"/>
        </w:rPr>
        <w:t>。</w:t>
      </w:r>
    </w:p>
    <w:p>
      <w:pPr>
        <w:pStyle w:val="8"/>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3.公务用车购置及运行费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，其中：</w:t>
      </w:r>
    </w:p>
    <w:p>
      <w:pPr>
        <w:pStyle w:val="8"/>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eastAsia="宋体"/>
          <w:b w:val="0"/>
          <w:bCs w:val="0"/>
          <w:sz w:val="28"/>
          <w:szCs w:val="28"/>
          <w:lang w:eastAsia="zh-CN"/>
        </w:rPr>
      </w:pPr>
      <w:r>
        <w:rPr>
          <w:rFonts w:hint="eastAsia"/>
          <w:b w:val="0"/>
          <w:bCs w:val="0"/>
          <w:sz w:val="28"/>
          <w:szCs w:val="28"/>
        </w:rPr>
        <w:t>公务用车购置费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sz w:val="28"/>
          <w:szCs w:val="28"/>
          <w:highlight w:val="none"/>
          <w:lang w:val="en-US" w:eastAsia="zh-CN"/>
        </w:rPr>
        <w:t>我部门2024年部门预算无公务用车购置预算</w:t>
      </w:r>
      <w:r>
        <w:rPr>
          <w:rFonts w:hint="eastAsia"/>
          <w:b w:val="0"/>
          <w:bCs w:val="0"/>
          <w:sz w:val="28"/>
          <w:szCs w:val="28"/>
        </w:rPr>
        <w:t>。</w:t>
      </w:r>
    </w:p>
    <w:p>
      <w:pPr>
        <w:pStyle w:val="8"/>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公务用车运行维护费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sz w:val="28"/>
          <w:szCs w:val="28"/>
          <w:highlight w:val="none"/>
          <w:lang w:val="en-US" w:eastAsia="zh-CN"/>
        </w:rPr>
        <w:t>我部门2024年部门预算无公务用车运行维护预算</w:t>
      </w:r>
      <w:r>
        <w:rPr>
          <w:rFonts w:hint="eastAsia"/>
          <w:b w:val="0"/>
          <w:bCs w:val="0"/>
          <w:sz w:val="28"/>
          <w:szCs w:val="28"/>
        </w:rPr>
        <w:t>。</w:t>
      </w:r>
    </w:p>
    <w:p>
      <w:pPr>
        <w:pStyle w:val="8"/>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八</w:t>
      </w:r>
      <w:bookmarkEnd w:id="14"/>
      <w:r>
        <w:rPr>
          <w:rFonts w:hint="eastAsia"/>
          <w:b/>
          <w:bCs/>
          <w:lang w:val="en-US" w:eastAsia="zh-CN"/>
        </w:rPr>
        <w:t>、政府性基金预算支出情况说明</w:t>
      </w:r>
    </w:p>
    <w:p>
      <w:pPr>
        <w:pStyle w:val="9"/>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eastAsia="宋体"/>
          <w:sz w:val="28"/>
          <w:szCs w:val="28"/>
          <w:lang w:eastAsia="zh-CN"/>
        </w:rPr>
      </w:pPr>
      <w:r>
        <w:rPr>
          <w:rFonts w:hint="eastAsia"/>
          <w:sz w:val="28"/>
          <w:szCs w:val="28"/>
        </w:rPr>
        <w:t>我部门</w:t>
      </w:r>
      <w:r>
        <w:rPr>
          <w:rFonts w:hint="eastAsia"/>
          <w:b w:val="0"/>
          <w:bCs w:val="0"/>
          <w:sz w:val="28"/>
          <w:szCs w:val="28"/>
          <w:lang w:eastAsia="zh-CN"/>
        </w:rPr>
        <w:t>2024</w:t>
      </w:r>
      <w:r>
        <w:rPr>
          <w:rFonts w:hint="eastAsia"/>
          <w:sz w:val="28"/>
          <w:szCs w:val="28"/>
        </w:rPr>
        <w:t>年政府性基金预算支出共</w:t>
      </w:r>
      <w:r>
        <w:rPr>
          <w:rFonts w:hint="eastAsia"/>
          <w:b w:val="0"/>
          <w:bCs w:val="0"/>
          <w:sz w:val="28"/>
          <w:szCs w:val="28"/>
          <w:lang w:eastAsia="zh-CN"/>
        </w:rPr>
        <w:t>0.00</w:t>
      </w:r>
      <w:r>
        <w:rPr>
          <w:rFonts w:hint="eastAsia"/>
          <w:sz w:val="28"/>
          <w:szCs w:val="28"/>
        </w:rPr>
        <w:t>万元，较2023年度预算数</w:t>
      </w:r>
      <w:r>
        <w:rPr>
          <w:rFonts w:hint="eastAsia"/>
          <w:b w:val="0"/>
          <w:bCs w:val="0"/>
          <w:sz w:val="28"/>
          <w:szCs w:val="28"/>
          <w:lang w:eastAsia="zh-CN"/>
        </w:rPr>
        <w:t>0.00</w:t>
      </w:r>
      <w:r>
        <w:rPr>
          <w:rFonts w:hint="eastAsia"/>
          <w:sz w:val="28"/>
          <w:szCs w:val="28"/>
        </w:rPr>
        <w:t>万元，</w:t>
      </w:r>
      <w:r>
        <w:rPr>
          <w:rFonts w:hint="eastAsia"/>
          <w:b w:val="0"/>
          <w:bCs w:val="0"/>
          <w:sz w:val="28"/>
          <w:szCs w:val="28"/>
          <w:lang w:eastAsia="zh-CN"/>
        </w:rPr>
        <w:t>增加0.00</w:t>
      </w:r>
      <w:r>
        <w:rPr>
          <w:rFonts w:hint="eastAsia"/>
          <w:sz w:val="28"/>
          <w:szCs w:val="28"/>
        </w:rPr>
        <w:t>万元，</w:t>
      </w:r>
      <w:r>
        <w:rPr>
          <w:rFonts w:hint="eastAsia"/>
          <w:b w:val="0"/>
          <w:bCs w:val="0"/>
          <w:sz w:val="28"/>
          <w:szCs w:val="28"/>
          <w:lang w:eastAsia="zh-CN"/>
        </w:rPr>
        <w:t>增长0%</w:t>
      </w:r>
      <w:r>
        <w:rPr>
          <w:rFonts w:hint="eastAsia"/>
          <w:sz w:val="28"/>
          <w:szCs w:val="28"/>
        </w:rPr>
        <w:t>，主要原因是</w:t>
      </w:r>
      <w:r>
        <w:rPr>
          <w:rFonts w:hint="eastAsia"/>
          <w:sz w:val="28"/>
          <w:szCs w:val="28"/>
          <w:highlight w:val="none"/>
          <w:lang w:val="en-US" w:eastAsia="zh-CN"/>
        </w:rPr>
        <w:t>我部门2024年部门预算无政府性基金预算</w:t>
      </w:r>
      <w:r>
        <w:rPr>
          <w:rFonts w:hint="eastAsia"/>
          <w:sz w:val="28"/>
          <w:szCs w:val="28"/>
        </w:rPr>
        <w:t>。</w:t>
      </w:r>
    </w:p>
    <w:p>
      <w:pPr>
        <w:pStyle w:val="8"/>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5" w:name="bookmark91"/>
      <w:r>
        <w:rPr>
          <w:rFonts w:hint="eastAsia"/>
          <w:b/>
          <w:bCs/>
          <w:lang w:val="en-US" w:eastAsia="zh-CN"/>
        </w:rPr>
        <w:t>九</w:t>
      </w:r>
      <w:bookmarkEnd w:id="15"/>
      <w:r>
        <w:rPr>
          <w:rFonts w:hint="eastAsia"/>
          <w:b/>
          <w:bCs/>
          <w:lang w:val="en-US" w:eastAsia="zh-CN"/>
        </w:rPr>
        <w:t>、国有资本经营预算支出情况说明</w:t>
      </w:r>
    </w:p>
    <w:p>
      <w:pPr>
        <w:pStyle w:val="9"/>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eastAsia="宋体"/>
          <w:sz w:val="28"/>
          <w:szCs w:val="28"/>
          <w:lang w:eastAsia="zh-CN"/>
        </w:rPr>
      </w:pPr>
      <w:r>
        <w:rPr>
          <w:rFonts w:hint="eastAsia"/>
          <w:sz w:val="28"/>
          <w:szCs w:val="28"/>
        </w:rPr>
        <w:t>我部门</w:t>
      </w:r>
      <w:r>
        <w:rPr>
          <w:rFonts w:hint="eastAsia"/>
          <w:sz w:val="28"/>
          <w:szCs w:val="28"/>
          <w:lang w:eastAsia="zh-CN"/>
        </w:rPr>
        <w:t>2024</w:t>
      </w:r>
      <w:r>
        <w:rPr>
          <w:rFonts w:hint="eastAsia"/>
          <w:sz w:val="28"/>
          <w:szCs w:val="28"/>
        </w:rPr>
        <w:t>年国有资本经营预算支出共</w:t>
      </w:r>
      <w:r>
        <w:rPr>
          <w:rFonts w:hint="eastAsia"/>
          <w:sz w:val="28"/>
          <w:szCs w:val="28"/>
          <w:lang w:eastAsia="zh-CN"/>
        </w:rPr>
        <w:t>0.00</w:t>
      </w:r>
      <w:r>
        <w:rPr>
          <w:rFonts w:hint="eastAsia"/>
          <w:sz w:val="28"/>
          <w:szCs w:val="28"/>
        </w:rPr>
        <w:t>万元，较2023年度预算数</w:t>
      </w:r>
      <w:r>
        <w:rPr>
          <w:rFonts w:hint="eastAsia"/>
          <w:sz w:val="28"/>
          <w:szCs w:val="28"/>
          <w:lang w:eastAsia="zh-CN"/>
        </w:rPr>
        <w:t>0.00</w:t>
      </w:r>
      <w:r>
        <w:rPr>
          <w:rFonts w:hint="eastAsia"/>
          <w:sz w:val="28"/>
          <w:szCs w:val="28"/>
        </w:rPr>
        <w:t>万元，</w:t>
      </w:r>
      <w:r>
        <w:rPr>
          <w:rFonts w:hint="eastAsia"/>
          <w:sz w:val="28"/>
          <w:szCs w:val="28"/>
          <w:lang w:eastAsia="zh-CN"/>
        </w:rPr>
        <w:t>增加0.00</w:t>
      </w:r>
      <w:r>
        <w:rPr>
          <w:rFonts w:hint="eastAsia"/>
          <w:sz w:val="28"/>
          <w:szCs w:val="28"/>
        </w:rPr>
        <w:t>万元，</w:t>
      </w:r>
      <w:r>
        <w:rPr>
          <w:rFonts w:hint="eastAsia"/>
          <w:sz w:val="28"/>
          <w:szCs w:val="28"/>
          <w:lang w:eastAsia="zh-CN"/>
        </w:rPr>
        <w:t>增长0%</w:t>
      </w:r>
      <w:r>
        <w:rPr>
          <w:rFonts w:hint="eastAsia"/>
          <w:sz w:val="28"/>
          <w:szCs w:val="28"/>
        </w:rPr>
        <w:t>，主要原因是</w:t>
      </w:r>
      <w:r>
        <w:rPr>
          <w:rFonts w:hint="eastAsia"/>
          <w:sz w:val="28"/>
          <w:szCs w:val="28"/>
          <w:lang w:val="en-US" w:eastAsia="zh-CN"/>
        </w:rPr>
        <w:t>我部门2024年部门预算无国有资本经营预算</w:t>
      </w:r>
      <w:r>
        <w:rPr>
          <w:rFonts w:hint="eastAsia"/>
          <w:sz w:val="28"/>
          <w:szCs w:val="28"/>
        </w:rPr>
        <w:t>。</w:t>
      </w:r>
    </w:p>
    <w:p>
      <w:pPr>
        <w:pStyle w:val="8"/>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十、其他重要事项</w:t>
      </w:r>
      <w:r>
        <w:rPr>
          <w:rFonts w:hint="eastAsia"/>
          <w:b/>
          <w:bCs/>
          <w:lang w:val="en-US" w:eastAsia="zh-CN"/>
        </w:rPr>
        <w:t>情况</w:t>
      </w:r>
      <w:r>
        <w:rPr>
          <w:b/>
          <w:bCs/>
        </w:rPr>
        <w:t>说明</w:t>
      </w:r>
    </w:p>
    <w:p>
      <w:pPr>
        <w:pStyle w:val="9"/>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（一）机关运行经费安排情况说明</w:t>
      </w:r>
    </w:p>
    <w:p>
      <w:pPr>
        <w:pStyle w:val="9"/>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2024</w:t>
      </w:r>
      <w:r>
        <w:rPr>
          <w:rFonts w:ascii="宋体" w:hAnsi="宋体" w:eastAsia="宋体" w:cs="宋体"/>
          <w:sz w:val="28"/>
          <w:u w:color="auto"/>
        </w:rPr>
        <w:t>年本部门机关运行经费预算</w:t>
      </w:r>
      <w:r>
        <w:rPr>
          <w:rFonts w:hint="eastAsia" w:ascii="宋体" w:hAnsi="宋体" w:eastAsia="宋体" w:cs="宋体"/>
          <w:sz w:val="28"/>
          <w:szCs w:val="28"/>
          <w:lang w:val="en-US" w:eastAsia="zh-CN"/>
        </w:rPr>
        <w:t>20.25</w:t>
      </w:r>
      <w:r>
        <w:rPr>
          <w:rFonts w:hint="eastAsia" w:ascii="宋体" w:hAnsi="宋体" w:eastAsia="宋体" w:cs="宋体"/>
          <w:sz w:val="28"/>
          <w:szCs w:val="28"/>
          <w:lang w:eastAsia="zh-CN"/>
        </w:rPr>
        <w:t>万元，较2023年度预算数</w:t>
      </w:r>
      <w:r>
        <w:rPr>
          <w:rFonts w:hint="eastAsia" w:ascii="宋体" w:hAnsi="宋体" w:eastAsia="宋体" w:cs="宋体"/>
          <w:sz w:val="28"/>
          <w:szCs w:val="28"/>
          <w:lang w:val="en-US" w:eastAsia="zh-CN"/>
        </w:rPr>
        <w:t>19.95</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增加0.30</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增长1.50%</w:t>
      </w:r>
      <w:r>
        <w:rPr>
          <w:rFonts w:hint="eastAsia" w:ascii="宋体" w:hAnsi="宋体" w:eastAsia="宋体" w:cs="宋体"/>
          <w:sz w:val="28"/>
          <w:szCs w:val="28"/>
          <w:lang w:eastAsia="zh-CN"/>
        </w:rPr>
        <w:t>，主要原因是：</w:t>
      </w:r>
      <w:r>
        <w:rPr>
          <w:rFonts w:hint="eastAsia" w:ascii="宋体" w:hAnsi="宋体" w:eastAsia="宋体" w:cs="宋体"/>
          <w:sz w:val="28"/>
          <w:szCs w:val="28"/>
          <w:lang w:val="en-US" w:eastAsia="zh-CN"/>
        </w:rPr>
        <w:t>2024年度增加党建星级村，相应的日常办公支出增加</w:t>
      </w:r>
      <w:r>
        <w:rPr>
          <w:rFonts w:hint="eastAsia" w:ascii="宋体" w:hAnsi="宋体" w:eastAsia="宋体" w:cs="宋体"/>
          <w:sz w:val="28"/>
          <w:szCs w:val="28"/>
          <w:lang w:eastAsia="zh-CN"/>
        </w:rPr>
        <w:t>。</w:t>
      </w:r>
    </w:p>
    <w:p>
      <w:pPr>
        <w:pStyle w:val="9"/>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（二）政府采购预算安排情况说明</w:t>
      </w:r>
    </w:p>
    <w:p>
      <w:pPr>
        <w:pStyle w:val="9"/>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default" w:ascii="宋体" w:hAnsi="宋体" w:eastAsia="宋体" w:cs="宋体"/>
          <w:sz w:val="28"/>
          <w:szCs w:val="28"/>
          <w:lang w:val="en-US" w:eastAsia="zh-CN"/>
        </w:rPr>
      </w:pPr>
      <w:r>
        <w:rPr>
          <w:rFonts w:hint="eastAsia" w:ascii="宋体" w:hAnsi="宋体" w:eastAsia="宋体" w:cs="宋体"/>
          <w:sz w:val="28"/>
          <w:szCs w:val="28"/>
          <w:lang w:eastAsia="zh-CN"/>
        </w:rPr>
        <w:t>我部门2024年政府采购预算总金额</w:t>
      </w:r>
      <w:r>
        <w:rPr>
          <w:rFonts w:hint="eastAsia" w:ascii="宋体" w:hAnsi="宋体" w:eastAsia="宋体" w:cs="宋体"/>
          <w:sz w:val="28"/>
          <w:szCs w:val="28"/>
          <w:lang w:val="en-US" w:eastAsia="zh-CN"/>
        </w:rPr>
        <w:t>3</w:t>
      </w:r>
      <w:r>
        <w:rPr>
          <w:rFonts w:hint="eastAsia" w:ascii="宋体" w:hAnsi="宋体" w:eastAsia="宋体" w:cs="宋体"/>
          <w:sz w:val="28"/>
          <w:szCs w:val="28"/>
          <w:lang w:eastAsia="zh-CN"/>
        </w:rPr>
        <w:t>万元。其中：货物类采购</w:t>
      </w:r>
      <w:r>
        <w:rPr>
          <w:rFonts w:hint="eastAsia" w:ascii="宋体" w:hAnsi="宋体" w:eastAsia="宋体" w:cs="宋体"/>
          <w:sz w:val="28"/>
          <w:szCs w:val="28"/>
          <w:lang w:val="en-US" w:eastAsia="zh-CN"/>
        </w:rPr>
        <w:t>3</w:t>
      </w:r>
      <w:r>
        <w:rPr>
          <w:rFonts w:hint="eastAsia" w:ascii="宋体" w:hAnsi="宋体" w:eastAsia="宋体" w:cs="宋体"/>
          <w:sz w:val="28"/>
          <w:szCs w:val="28"/>
          <w:lang w:eastAsia="zh-CN"/>
        </w:rPr>
        <w:t>万元、工程类采购</w:t>
      </w:r>
      <w:r>
        <w:rPr>
          <w:rFonts w:hint="eastAsia" w:ascii="宋体" w:hAnsi="宋体" w:eastAsia="宋体" w:cs="宋体"/>
          <w:sz w:val="28"/>
          <w:szCs w:val="28"/>
          <w:lang w:val="en-US" w:eastAsia="zh-CN"/>
        </w:rPr>
        <w:t>0</w:t>
      </w:r>
      <w:r>
        <w:rPr>
          <w:rFonts w:hint="eastAsia" w:ascii="宋体" w:hAnsi="宋体" w:eastAsia="宋体" w:cs="宋体"/>
          <w:sz w:val="28"/>
          <w:szCs w:val="28"/>
          <w:lang w:eastAsia="zh-CN"/>
        </w:rPr>
        <w:t>万元、服务类采购</w:t>
      </w:r>
      <w:r>
        <w:rPr>
          <w:rFonts w:hint="eastAsia" w:ascii="宋体" w:hAnsi="宋体" w:eastAsia="宋体" w:cs="宋体"/>
          <w:sz w:val="28"/>
          <w:szCs w:val="28"/>
          <w:lang w:val="en-US" w:eastAsia="zh-CN"/>
        </w:rPr>
        <w:t>0</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主要用于：村委办公耗材如复印纸张等办公用品购置</w:t>
      </w:r>
      <w:r>
        <w:rPr>
          <w:rFonts w:hint="eastAsia" w:cs="宋体"/>
          <w:sz w:val="28"/>
          <w:szCs w:val="28"/>
          <w:lang w:val="en-US" w:eastAsia="zh-CN"/>
        </w:rPr>
        <w:t>。</w:t>
      </w:r>
    </w:p>
    <w:p>
      <w:pPr>
        <w:pStyle w:val="9"/>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（三）国有资产占用情况说明</w:t>
      </w:r>
    </w:p>
    <w:p>
      <w:pPr>
        <w:pStyle w:val="9"/>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截至2023年12月31日，本部门共有车辆</w:t>
      </w:r>
      <w:r>
        <w:rPr>
          <w:rFonts w:hint="eastAsia"/>
          <w:sz w:val="28"/>
          <w:szCs w:val="28"/>
          <w:highlight w:val="none"/>
          <w:lang w:val="en-US" w:eastAsia="zh-CN"/>
        </w:rPr>
        <w:t>0</w:t>
      </w:r>
      <w:r>
        <w:rPr>
          <w:rFonts w:hint="eastAsia" w:ascii="宋体" w:hAnsi="宋体" w:eastAsia="宋体" w:cs="宋体"/>
          <w:sz w:val="28"/>
          <w:szCs w:val="28"/>
          <w:lang w:eastAsia="zh-CN"/>
        </w:rPr>
        <w:t>辆，其中，应急机要通信用车</w:t>
      </w:r>
      <w:r>
        <w:rPr>
          <w:rFonts w:hint="eastAsia"/>
          <w:sz w:val="28"/>
          <w:szCs w:val="28"/>
          <w:highlight w:val="none"/>
          <w:lang w:val="en-US" w:eastAsia="zh-CN"/>
        </w:rPr>
        <w:t>0</w:t>
      </w:r>
      <w:r>
        <w:rPr>
          <w:rFonts w:hint="eastAsia" w:ascii="宋体" w:hAnsi="宋体" w:eastAsia="宋体" w:cs="宋体"/>
          <w:sz w:val="28"/>
          <w:szCs w:val="28"/>
          <w:lang w:eastAsia="zh-CN"/>
        </w:rPr>
        <w:t>辆、一般执法执勤用车</w:t>
      </w:r>
      <w:r>
        <w:rPr>
          <w:rFonts w:hint="eastAsia"/>
          <w:sz w:val="28"/>
          <w:szCs w:val="28"/>
          <w:highlight w:val="none"/>
          <w:lang w:val="en-US" w:eastAsia="zh-CN"/>
        </w:rPr>
        <w:t>0</w:t>
      </w:r>
      <w:r>
        <w:rPr>
          <w:rFonts w:hint="eastAsia" w:ascii="宋体" w:hAnsi="宋体" w:eastAsia="宋体" w:cs="宋体"/>
          <w:sz w:val="28"/>
          <w:szCs w:val="28"/>
          <w:lang w:eastAsia="zh-CN"/>
        </w:rPr>
        <w:t>辆、特种专业技术用车</w:t>
      </w:r>
      <w:r>
        <w:rPr>
          <w:rFonts w:hint="eastAsia"/>
          <w:sz w:val="28"/>
          <w:szCs w:val="28"/>
          <w:highlight w:val="none"/>
          <w:lang w:val="en-US" w:eastAsia="zh-CN"/>
        </w:rPr>
        <w:t>0</w:t>
      </w:r>
      <w:r>
        <w:rPr>
          <w:rFonts w:hint="eastAsia" w:ascii="宋体" w:hAnsi="宋体" w:eastAsia="宋体" w:cs="宋体"/>
          <w:sz w:val="28"/>
          <w:szCs w:val="28"/>
          <w:lang w:eastAsia="zh-CN"/>
        </w:rPr>
        <w:t>辆、其他用车</w:t>
      </w:r>
      <w:r>
        <w:rPr>
          <w:rFonts w:hint="eastAsia"/>
          <w:sz w:val="28"/>
          <w:szCs w:val="28"/>
          <w:highlight w:val="none"/>
          <w:lang w:val="en-US" w:eastAsia="zh-CN"/>
        </w:rPr>
        <w:t>0</w:t>
      </w:r>
      <w:r>
        <w:rPr>
          <w:rFonts w:hint="eastAsia" w:ascii="宋体" w:hAnsi="宋体" w:eastAsia="宋体" w:cs="宋体"/>
          <w:sz w:val="28"/>
          <w:szCs w:val="28"/>
          <w:lang w:eastAsia="zh-CN"/>
        </w:rPr>
        <w:t>辆，单位价值200万元以上大型设备</w:t>
      </w:r>
      <w:r>
        <w:rPr>
          <w:rFonts w:hint="eastAsia"/>
          <w:sz w:val="28"/>
          <w:szCs w:val="28"/>
          <w:highlight w:val="none"/>
          <w:lang w:val="en-US" w:eastAsia="zh-CN"/>
        </w:rPr>
        <w:t>0</w:t>
      </w:r>
      <w:r>
        <w:rPr>
          <w:rFonts w:hint="eastAsia" w:ascii="宋体" w:hAnsi="宋体" w:eastAsia="宋体" w:cs="宋体"/>
          <w:sz w:val="28"/>
          <w:szCs w:val="28"/>
          <w:lang w:eastAsia="zh-CN"/>
        </w:rPr>
        <w:t>台（套）。</w:t>
      </w:r>
    </w:p>
    <w:p>
      <w:pPr>
        <w:pStyle w:val="9"/>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（四）预算绩效目标情况说明</w:t>
      </w:r>
    </w:p>
    <w:p>
      <w:pPr>
        <w:pStyle w:val="9"/>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1.我部门2024年所有项目支出全面实施绩效目标管理，涉及项目</w:t>
      </w:r>
      <w:r>
        <w:rPr>
          <w:rFonts w:hint="eastAsia"/>
          <w:sz w:val="28"/>
          <w:szCs w:val="28"/>
          <w:highlight w:val="none"/>
          <w:lang w:val="en-US" w:eastAsia="zh-CN"/>
        </w:rPr>
        <w:t>0</w:t>
      </w:r>
      <w:r>
        <w:rPr>
          <w:rFonts w:hint="eastAsia" w:ascii="宋体" w:hAnsi="宋体" w:eastAsia="宋体" w:cs="宋体"/>
          <w:sz w:val="28"/>
          <w:szCs w:val="28"/>
          <w:lang w:eastAsia="zh-CN"/>
        </w:rPr>
        <w:t>个，预算资金</w:t>
      </w:r>
      <w:r>
        <w:rPr>
          <w:rFonts w:hint="eastAsia"/>
          <w:sz w:val="28"/>
          <w:szCs w:val="28"/>
          <w:highlight w:val="none"/>
          <w:lang w:val="en-US" w:eastAsia="zh-CN"/>
        </w:rPr>
        <w:t>0</w:t>
      </w:r>
      <w:r>
        <w:rPr>
          <w:rFonts w:hint="eastAsia" w:ascii="宋体" w:hAnsi="宋体" w:eastAsia="宋体" w:cs="宋体"/>
          <w:sz w:val="28"/>
          <w:szCs w:val="28"/>
          <w:lang w:eastAsia="zh-CN"/>
        </w:rPr>
        <w:t>万元。绩效目标情况详见报表（日常运转类项目、工资类人员经费项目和涉密项目等除外）。</w:t>
      </w:r>
    </w:p>
    <w:p>
      <w:pPr>
        <w:pStyle w:val="9"/>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2.重点项目预算绩效目标说明。</w:t>
      </w:r>
    </w:p>
    <w:p>
      <w:pPr>
        <w:pStyle w:val="9"/>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本部门2024年无重点项目预算。</w:t>
      </w:r>
    </w:p>
    <w:p>
      <w:pPr>
        <w:pStyle w:val="9"/>
        <w:spacing w:line="624" w:lineRule="exact"/>
        <w:ind w:firstLine="600"/>
        <w:jc w:val="left"/>
        <w:rPr>
          <w:rFonts w:hint="eastAsia"/>
          <w:sz w:val="28"/>
          <w:szCs w:val="28"/>
          <w:highlight w:val="none"/>
          <w:lang w:val="en-US" w:eastAsia="zh-CN"/>
        </w:rPr>
      </w:pPr>
    </w:p>
    <w:p>
      <w:pPr>
        <w:pStyle w:val="9"/>
        <w:spacing w:line="624" w:lineRule="exact"/>
        <w:jc w:val="left"/>
        <w:rPr>
          <w:rFonts w:hint="default"/>
          <w:sz w:val="28"/>
          <w:szCs w:val="28"/>
          <w:highlight w:val="none"/>
          <w:lang w:val="en-US" w:eastAsia="zh-CN"/>
        </w:rPr>
        <w:sectPr>
          <w:headerReference r:id="rId4" w:type="default"/>
          <w:footerReference r:id="rId5" w:type="default"/>
          <w:pgSz w:w="11900" w:h="16840"/>
          <w:pgMar w:top="1440" w:right="1800" w:bottom="1440" w:left="1800" w:header="0" w:footer="1077" w:gutter="0"/>
          <w:pgBorders>
            <w:top w:val="none" w:sz="0" w:space="0"/>
            <w:left w:val="none" w:sz="0" w:space="0"/>
            <w:bottom w:val="none" w:sz="0" w:space="0"/>
            <w:right w:val="none" w:sz="0" w:space="0"/>
          </w:pgBorders>
          <w:pgNumType w:fmt="decimal"/>
          <w:cols w:space="720" w:num="1"/>
          <w:docGrid w:linePitch="360" w:charSpace="0"/>
        </w:sectPr>
      </w:pPr>
    </w:p>
    <w:bookmarkEnd w:id="10"/>
    <w:bookmarkEnd w:id="11"/>
    <w:bookmarkEnd w:id="12"/>
    <w:p>
      <w:pPr>
        <w:pStyle w:val="7"/>
        <w:keepNext/>
        <w:keepLines/>
        <w:spacing w:after="980"/>
        <w:jc w:val="center"/>
        <w:rPr>
          <w:rFonts w:hint="eastAsia" w:ascii="宋体" w:hAnsi="宋体" w:eastAsia="宋体" w:cs="宋体"/>
          <w:b/>
          <w:bCs/>
          <w:sz w:val="36"/>
          <w:szCs w:val="36"/>
        </w:rPr>
      </w:pPr>
      <w:r>
        <w:rPr>
          <w:rFonts w:hint="eastAsia" w:ascii="宋体" w:hAnsi="宋体" w:eastAsia="宋体" w:cs="宋体"/>
          <w:b/>
          <w:bCs/>
          <w:sz w:val="36"/>
          <w:szCs w:val="36"/>
        </w:rPr>
        <w:t>第</w:t>
      </w:r>
      <w:r>
        <w:rPr>
          <w:rFonts w:hint="eastAsia" w:ascii="宋体" w:hAnsi="宋体" w:eastAsia="宋体" w:cs="宋体"/>
          <w:b/>
          <w:bCs/>
          <w:sz w:val="36"/>
          <w:szCs w:val="36"/>
          <w:lang w:val="en-US" w:eastAsia="zh-CN"/>
        </w:rPr>
        <w:t>三</w:t>
      </w:r>
      <w:r>
        <w:rPr>
          <w:rFonts w:hint="eastAsia" w:ascii="宋体" w:hAnsi="宋体" w:eastAsia="宋体" w:cs="宋体"/>
          <w:b/>
          <w:bCs/>
          <w:sz w:val="36"/>
          <w:szCs w:val="36"/>
        </w:rPr>
        <w:t>部分</w:t>
      </w:r>
      <w:r>
        <w:rPr>
          <w:rFonts w:hint="eastAsia" w:ascii="宋体" w:hAnsi="宋体" w:eastAsia="宋体" w:cs="宋体"/>
          <w:b/>
          <w:bCs/>
          <w:sz w:val="36"/>
          <w:szCs w:val="36"/>
          <w:lang w:eastAsia="zh-CN"/>
        </w:rPr>
        <w:t>环江毛南族自治县长美乡爱洞村村民委员会</w:t>
      </w:r>
      <w:r>
        <w:rPr>
          <w:rFonts w:ascii="宋体" w:hAnsi="宋体" w:eastAsia="宋体" w:cs="宋体"/>
          <w:b/>
          <w:sz w:val="36"/>
          <w:u w:color="auto"/>
        </w:rPr>
        <w:t>2024年</w:t>
      </w:r>
      <w:r>
        <w:rPr>
          <w:rFonts w:hint="eastAsia" w:ascii="宋体" w:hAnsi="宋体" w:eastAsia="宋体" w:cs="宋体"/>
          <w:b/>
          <w:bCs/>
          <w:sz w:val="36"/>
          <w:szCs w:val="36"/>
        </w:rPr>
        <w:t>部门预算表</w:t>
      </w:r>
    </w:p>
    <w:p>
      <w:pPr>
        <w:pStyle w:val="11"/>
        <w:keepNext/>
        <w:keepLines/>
        <w:spacing w:after="240"/>
        <w:jc w:val="center"/>
      </w:pPr>
      <w:bookmarkStart w:id="16" w:name="bookmark29"/>
      <w:bookmarkStart w:id="17" w:name="bookmark31"/>
      <w:bookmarkStart w:id="18" w:name="bookmark30"/>
      <w:r>
        <w:t>收支总体情况表</w:t>
      </w:r>
      <w:bookmarkEnd w:id="16"/>
      <w:bookmarkEnd w:id="17"/>
      <w:bookmarkEnd w:id="18"/>
    </w:p>
    <w:tbl>
      <w:tblPr>
        <w:tblStyle w:val="3"/>
        <w:tblW w:w="0" w:type="auto"/>
        <w:tblInd w:w="0" w:type="dxa"/>
        <w:tblLayout w:type="fixed"/>
        <w:tblCellMar>
          <w:top w:w="0" w:type="dxa"/>
          <w:left w:w="10" w:type="dxa"/>
          <w:bottom w:w="0" w:type="dxa"/>
          <w:right w:w="10" w:type="dxa"/>
        </w:tblCellMar>
      </w:tblPr>
      <w:tblGrid>
        <w:gridCol w:w="3339"/>
        <w:gridCol w:w="3760"/>
        <w:gridCol w:w="3542"/>
        <w:gridCol w:w="3571"/>
      </w:tblGrid>
      <w:tr>
        <w:tblPrEx>
          <w:tblCellMar>
            <w:top w:w="0" w:type="dxa"/>
            <w:left w:w="10" w:type="dxa"/>
            <w:bottom w:w="0" w:type="dxa"/>
            <w:right w:w="10" w:type="dxa"/>
          </w:tblCellMar>
        </w:tblPrEx>
        <w:trPr>
          <w:trHeight w:val="331" w:hRule="exact"/>
        </w:trPr>
        <w:tc>
          <w:tcPr>
            <w:tcW w:w="10641" w:type="dxa"/>
            <w:gridSpan w:val="3"/>
            <w:tcBorders>
              <w:bottom w:val="single" w:color="auto" w:sz="4" w:space="0"/>
            </w:tcBorders>
            <w:shd w:val="clear" w:color="auto" w:fill="FFFFFF"/>
          </w:tcPr>
          <w:p>
            <w:pPr>
              <w:pStyle w:val="12"/>
              <w:spacing w:line="240" w:lineRule="auto"/>
              <w:ind w:firstLine="0"/>
              <w:jc w:val="left"/>
              <w:rPr>
                <w:sz w:val="17"/>
                <w:szCs w:val="17"/>
              </w:rPr>
            </w:pPr>
            <w:r>
              <w:rPr>
                <w:sz w:val="17"/>
                <w:szCs w:val="17"/>
              </w:rPr>
              <w:t>单位名称：</w:t>
            </w:r>
            <w:r>
              <w:rPr>
                <w:rFonts w:hint="eastAsia"/>
                <w:sz w:val="17"/>
                <w:szCs w:val="17"/>
                <w:lang w:eastAsia="zh-CN"/>
              </w:rPr>
              <w:t>环江毛南族自治县长美乡爱洞村村民委员会</w:t>
            </w:r>
          </w:p>
        </w:tc>
        <w:tc>
          <w:tcPr>
            <w:tcW w:w="3571" w:type="dxa"/>
            <w:tcBorders>
              <w:bottom w:val="single" w:color="auto" w:sz="4" w:space="0"/>
            </w:tcBorders>
            <w:shd w:val="clear" w:color="auto" w:fill="FFFFFF"/>
          </w:tcPr>
          <w:p>
            <w:pPr>
              <w:pStyle w:val="12"/>
              <w:spacing w:line="240" w:lineRule="auto"/>
              <w:ind w:firstLine="2380" w:firstLineChars="1400"/>
              <w:jc w:val="left"/>
              <w:rPr>
                <w:sz w:val="17"/>
                <w:szCs w:val="17"/>
              </w:rPr>
            </w:pPr>
            <w:r>
              <w:rPr>
                <w:sz w:val="17"/>
                <w:szCs w:val="17"/>
              </w:rPr>
              <w:t>单位：万元</w:t>
            </w:r>
          </w:p>
        </w:tc>
      </w:tr>
      <w:tr>
        <w:tblPrEx>
          <w:tblCellMar>
            <w:top w:w="0" w:type="dxa"/>
            <w:left w:w="10" w:type="dxa"/>
            <w:bottom w:w="0" w:type="dxa"/>
            <w:right w:w="10" w:type="dxa"/>
          </w:tblCellMar>
        </w:tblPrEx>
        <w:trPr>
          <w:trHeight w:val="456" w:hRule="exact"/>
        </w:trPr>
        <w:tc>
          <w:tcPr>
            <w:tcW w:w="70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2890" w:firstLineChars="1700"/>
              <w:jc w:val="both"/>
              <w:rPr>
                <w:sz w:val="17"/>
                <w:szCs w:val="17"/>
              </w:rPr>
            </w:pPr>
            <w:r>
              <w:rPr>
                <w:sz w:val="17"/>
                <w:szCs w:val="17"/>
              </w:rPr>
              <w:t>收入</w:t>
            </w:r>
          </w:p>
        </w:tc>
        <w:tc>
          <w:tcPr>
            <w:tcW w:w="71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right="340" w:firstLine="2890" w:firstLineChars="1700"/>
              <w:jc w:val="both"/>
              <w:rPr>
                <w:sz w:val="17"/>
                <w:szCs w:val="17"/>
              </w:rPr>
            </w:pPr>
            <w:r>
              <w:rPr>
                <w:sz w:val="17"/>
                <w:szCs w:val="17"/>
              </w:rPr>
              <w:t>支出</w:t>
            </w:r>
          </w:p>
        </w:tc>
      </w:tr>
      <w:tr>
        <w:tblPrEx>
          <w:tblCellMar>
            <w:top w:w="0" w:type="dxa"/>
            <w:left w:w="10" w:type="dxa"/>
            <w:bottom w:w="0" w:type="dxa"/>
            <w:right w:w="10" w:type="dxa"/>
          </w:tblCellMar>
        </w:tblPrEx>
        <w:trPr>
          <w:trHeight w:val="432"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sz w:val="17"/>
                <w:szCs w:val="17"/>
              </w:rPr>
            </w:pPr>
            <w:r>
              <w:rPr>
                <w:sz w:val="17"/>
                <w:szCs w:val="17"/>
              </w:rPr>
              <w:t>项目</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sz w:val="17"/>
                <w:szCs w:val="17"/>
              </w:rPr>
            </w:pPr>
            <w:r>
              <w:rPr>
                <w:sz w:val="17"/>
                <w:szCs w:val="17"/>
              </w:rPr>
              <w:t>预算数</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tabs>
                <w:tab w:val="left" w:pos="894"/>
              </w:tabs>
              <w:spacing w:line="240" w:lineRule="auto"/>
              <w:jc w:val="left"/>
              <w:rPr>
                <w:sz w:val="17"/>
                <w:szCs w:val="17"/>
              </w:rPr>
            </w:pPr>
            <w:r>
              <w:rPr>
                <w:sz w:val="17"/>
                <w:szCs w:val="17"/>
              </w:rPr>
              <w:t>项</w:t>
            </w:r>
            <w:r>
              <w:rPr>
                <w:sz w:val="17"/>
                <w:szCs w:val="17"/>
              </w:rPr>
              <w:tab/>
            </w:r>
            <w:r>
              <w:rPr>
                <w:sz w:val="17"/>
                <w:szCs w:val="17"/>
              </w:rPr>
              <w:t>目（按支出功能科目分类）</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sz w:val="17"/>
                <w:szCs w:val="17"/>
              </w:rPr>
            </w:pPr>
            <w:r>
              <w:rPr>
                <w:sz w:val="17"/>
                <w:szCs w:val="17"/>
              </w:rPr>
              <w:t>预算数</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一、一般公共预算拨款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169.46</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一、一般公共服务支出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 xml:space="preserve">     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二、外交支出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 xml:space="preserve">     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169.46</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三、国防支出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二、政府性基金预算拨款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四、公共安全支出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 xml:space="preserve">     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五、教育支出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 xml:space="preserve">     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六、科学技术支出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三、国有资本经营预算拨款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七、文化旅游体育与传媒支出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八、社会保障和就业支出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九、卫生健康支出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四、财政专户管理资金收入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十、节能环保支出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五、事业收入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十一、城乡社区支出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六、事业单位经营收入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十二、农林水支出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169.46</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七、上级补助收入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十三、交通运输支出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八、附属单位上缴收入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十四、资源勘探工业信息等支出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九、其他收入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十五、商业服务业等支出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十六、金融支出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十七、援助其他地区支出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十八、自然资源海洋气象等支出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十九、住房保障支出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二十、粮油物资储备支出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二十一、国有资本经营预算支出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二十二、灾害防治及应急管理支出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二十三、其他支出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二十四、债务还本支出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二十五、债务付息支出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二十六、债务发行费用支出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本年收入合计</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169.46</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本年支出合计</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169.46</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上年结转结余</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结转下年支出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收入总计</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169.46</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180"/>
              <w:jc w:val="left"/>
              <w:rPr>
                <w:rFonts w:hint="default" w:eastAsia="宋体"/>
                <w:sz w:val="17"/>
                <w:szCs w:val="17"/>
                <w:lang w:val="en-US" w:eastAsia="zh-CN"/>
              </w:rPr>
            </w:pPr>
            <w:r>
              <w:rPr>
                <w:rFonts w:hint="eastAsia"/>
                <w:sz w:val="17"/>
                <w:szCs w:val="17"/>
                <w:lang w:val="en-US" w:eastAsia="zh-CN"/>
              </w:rPr>
              <w:t>支出总计</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spacing w:line="240" w:lineRule="auto"/>
              <w:ind w:firstLine="0"/>
              <w:jc w:val="left"/>
              <w:rPr>
                <w:rFonts w:hint="default" w:eastAsia="宋体"/>
                <w:sz w:val="17"/>
                <w:szCs w:val="17"/>
                <w:lang w:val="en-US" w:eastAsia="zh-CN"/>
              </w:rPr>
            </w:pPr>
            <w:r>
              <w:rPr>
                <w:rFonts w:hint="eastAsia"/>
                <w:sz w:val="17"/>
                <w:szCs w:val="17"/>
                <w:lang w:val="en-US" w:eastAsia="zh-CN"/>
              </w:rPr>
              <w:t>169.46</w:t>
            </w:r>
          </w:p>
        </w:tc>
      </w:tr>
    </w:tbl>
    <w:p>
      <w:pPr>
        <w:pStyle w:val="13"/>
        <w:ind w:left="101"/>
        <w:jc w:val="left"/>
      </w:pPr>
      <w:r>
        <w:t>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r:id="rId6" w:type="default"/>
          <w:footerReference r:id="rId7" w:type="default"/>
          <w:pgSz w:w="16840" w:h="11900" w:orient="landscape"/>
          <w:pgMar w:top="2397" w:right="761" w:bottom="1966" w:left="739" w:header="0" w:footer="1474" w:gutter="0"/>
          <w:pgBorders>
            <w:top w:val="none" w:sz="0" w:space="0"/>
            <w:left w:val="none" w:sz="0" w:space="0"/>
            <w:bottom w:val="none" w:sz="0" w:space="0"/>
            <w:right w:val="none" w:sz="0" w:space="0"/>
          </w:pgBorders>
          <w:pgNumType w:fmt="decimal"/>
          <w:cols w:space="720" w:num="1"/>
          <w:docGrid w:linePitch="360" w:charSpace="0"/>
        </w:sectPr>
      </w:pPr>
    </w:p>
    <w:p>
      <w:pPr>
        <w:tabs>
          <w:tab w:val="left" w:pos="859"/>
        </w:tabs>
        <w:jc w:val="left"/>
        <w:rPr>
          <w:rFonts w:eastAsia="宋体"/>
          <w:lang w:eastAsia="zh-CN"/>
        </w:rPr>
      </w:pPr>
    </w:p>
    <w:p>
      <w:pPr>
        <w:tabs>
          <w:tab w:val="left" w:pos="859"/>
        </w:tabs>
        <w:jc w:val="center"/>
        <w:rPr>
          <w:rFonts w:hint="eastAsia" w:eastAsia="宋体"/>
          <w:lang w:val="en-US" w:eastAsia="zh-CN"/>
        </w:rPr>
      </w:pPr>
    </w:p>
    <w:p>
      <w:pPr>
        <w:tabs>
          <w:tab w:val="left" w:pos="859"/>
        </w:tabs>
        <w:jc w:val="center"/>
        <w:rPr>
          <w:rFonts w:hint="eastAsia" w:eastAsia="宋体"/>
          <w:lang w:val="en-US" w:eastAsia="zh-CN"/>
        </w:rPr>
      </w:pPr>
      <w:r>
        <w:rPr>
          <w:rFonts w:hint="eastAsia" w:eastAsia="宋体"/>
          <w:lang w:val="en-US" w:eastAsia="zh-CN"/>
        </w:rPr>
        <w:t>收入总体情况表</w:t>
      </w:r>
    </w:p>
    <w:p>
      <w:pPr>
        <w:tabs>
          <w:tab w:val="left" w:pos="859"/>
        </w:tabs>
        <w:jc w:val="center"/>
        <w:rPr>
          <w:rFonts w:hint="eastAsia" w:eastAsia="宋体"/>
          <w:lang w:val="en-US" w:eastAsia="zh-CN"/>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6"/>
        <w:gridCol w:w="1279"/>
        <w:gridCol w:w="990"/>
        <w:gridCol w:w="926"/>
        <w:gridCol w:w="909"/>
        <w:gridCol w:w="968"/>
        <w:gridCol w:w="990"/>
        <w:gridCol w:w="1078"/>
        <w:gridCol w:w="972"/>
        <w:gridCol w:w="919"/>
        <w:gridCol w:w="1011"/>
        <w:gridCol w:w="859"/>
        <w:gridCol w:w="944"/>
        <w:gridCol w:w="150"/>
        <w:gridCol w:w="937"/>
        <w:gridCol w:w="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481" w:type="dxa"/>
            <w:gridSpan w:val="13"/>
            <w:tcBorders>
              <w:top w:val="nil"/>
              <w:left w:val="nil"/>
              <w:right w:val="nil"/>
            </w:tcBorders>
          </w:tcPr>
          <w:p>
            <w:pPr>
              <w:pStyle w:val="13"/>
              <w:jc w:val="both"/>
              <w:rPr>
                <w:rFonts w:hint="eastAsia"/>
                <w:lang w:val="en-US" w:eastAsia="zh-CN"/>
              </w:rPr>
            </w:pPr>
            <w:r>
              <w:rPr>
                <w:sz w:val="17"/>
                <w:szCs w:val="17"/>
              </w:rPr>
              <w:t>单位名称：</w:t>
            </w:r>
            <w:r>
              <w:rPr>
                <w:rFonts w:hint="eastAsia"/>
                <w:sz w:val="17"/>
                <w:szCs w:val="17"/>
                <w:lang w:eastAsia="zh-CN"/>
              </w:rPr>
              <w:t>环江毛南族自治县长美乡爱洞村村民委员会</w:t>
            </w:r>
            <w:r>
              <w:rPr>
                <w:rFonts w:hint="eastAsia"/>
                <w:lang w:val="en-US" w:eastAsia="zh-CN"/>
              </w:rPr>
              <w:t xml:space="preserve">                                                                                  </w:t>
            </w:r>
          </w:p>
        </w:tc>
        <w:tc>
          <w:tcPr>
            <w:tcW w:w="2076" w:type="dxa"/>
            <w:gridSpan w:val="3"/>
            <w:tcBorders>
              <w:top w:val="nil"/>
              <w:left w:val="nil"/>
              <w:right w:val="nil"/>
            </w:tcBorders>
          </w:tcPr>
          <w:p>
            <w:pPr>
              <w:pStyle w:val="13"/>
              <w:ind w:firstLine="340" w:firstLineChars="200"/>
              <w:jc w:val="left"/>
              <w:rPr>
                <w:rFonts w:hint="eastAsia"/>
                <w:lang w:val="en-US" w:eastAsia="zh-CN"/>
              </w:rPr>
            </w:pPr>
            <w:r>
              <w:rPr>
                <w:sz w:val="17"/>
                <w:szCs w:val="17"/>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Merge w:val="restart"/>
            <w:vAlign w:val="center"/>
          </w:tcPr>
          <w:p>
            <w:pPr>
              <w:tabs>
                <w:tab w:val="left" w:pos="859"/>
              </w:tabs>
              <w:jc w:val="center"/>
              <w:rPr>
                <w:rFonts w:hint="eastAsia" w:eastAsia="宋体"/>
                <w:vertAlign w:val="baseline"/>
                <w:lang w:val="en-US" w:eastAsia="zh-CN"/>
              </w:rPr>
            </w:pPr>
            <w:r>
              <w:rPr>
                <w:sz w:val="17"/>
                <w:szCs w:val="17"/>
              </w:rPr>
              <w:t>部门（单位）代码</w:t>
            </w:r>
          </w:p>
        </w:tc>
        <w:tc>
          <w:tcPr>
            <w:tcW w:w="1279" w:type="dxa"/>
            <w:vMerge w:val="restart"/>
            <w:vAlign w:val="center"/>
          </w:tcPr>
          <w:p>
            <w:pPr>
              <w:tabs>
                <w:tab w:val="left" w:pos="859"/>
              </w:tabs>
              <w:jc w:val="center"/>
              <w:rPr>
                <w:rFonts w:hint="eastAsia" w:eastAsia="宋体"/>
                <w:vertAlign w:val="baseline"/>
                <w:lang w:val="en-US" w:eastAsia="zh-CN"/>
              </w:rPr>
            </w:pPr>
            <w:r>
              <w:rPr>
                <w:sz w:val="17"/>
                <w:szCs w:val="17"/>
              </w:rPr>
              <w:t>部门（单位）名称</w:t>
            </w:r>
          </w:p>
        </w:tc>
        <w:tc>
          <w:tcPr>
            <w:tcW w:w="990" w:type="dxa"/>
            <w:vMerge w:val="restart"/>
            <w:vAlign w:val="center"/>
          </w:tcPr>
          <w:p>
            <w:pPr>
              <w:pStyle w:val="12"/>
              <w:spacing w:line="240" w:lineRule="auto"/>
              <w:ind w:left="0" w:leftChars="0" w:firstLine="0" w:firstLineChars="0"/>
              <w:jc w:val="center"/>
              <w:rPr>
                <w:rFonts w:hint="eastAsia" w:eastAsia="宋体"/>
                <w:vertAlign w:val="baseline"/>
                <w:lang w:val="en-US" w:eastAsia="zh-CN"/>
              </w:rPr>
            </w:pPr>
            <w:r>
              <w:rPr>
                <w:rFonts w:hint="eastAsia"/>
                <w:sz w:val="17"/>
                <w:szCs w:val="17"/>
                <w:lang w:val="en-US" w:eastAsia="zh-CN"/>
              </w:rPr>
              <w:t>合</w:t>
            </w:r>
            <w:r>
              <w:rPr>
                <w:sz w:val="17"/>
                <w:szCs w:val="17"/>
              </w:rPr>
              <w:t>计</w:t>
            </w:r>
          </w:p>
        </w:tc>
        <w:tc>
          <w:tcPr>
            <w:tcW w:w="5843" w:type="dxa"/>
            <w:gridSpan w:val="6"/>
          </w:tcPr>
          <w:p>
            <w:pPr>
              <w:tabs>
                <w:tab w:val="left" w:pos="859"/>
              </w:tabs>
              <w:jc w:val="center"/>
              <w:rPr>
                <w:rFonts w:hint="eastAsia" w:eastAsia="宋体"/>
                <w:vertAlign w:val="baseline"/>
                <w:lang w:val="en-US" w:eastAsia="zh-CN"/>
              </w:rPr>
            </w:pPr>
            <w:r>
              <w:rPr>
                <w:sz w:val="17"/>
                <w:szCs w:val="17"/>
              </w:rPr>
              <w:t>本年收入</w:t>
            </w:r>
          </w:p>
        </w:tc>
        <w:tc>
          <w:tcPr>
            <w:tcW w:w="5809" w:type="dxa"/>
            <w:gridSpan w:val="7"/>
          </w:tcPr>
          <w:p>
            <w:pPr>
              <w:tabs>
                <w:tab w:val="left" w:pos="859"/>
              </w:tabs>
              <w:jc w:val="center"/>
              <w:rPr>
                <w:rFonts w:hint="eastAsia" w:eastAsia="宋体"/>
                <w:vertAlign w:val="baseline"/>
                <w:lang w:val="en-US" w:eastAsia="zh-CN"/>
              </w:rPr>
            </w:pPr>
            <w:r>
              <w:rPr>
                <w:sz w:val="17"/>
                <w:szCs w:val="17"/>
              </w:rPr>
              <w:t>上年结转结余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1636" w:type="dxa"/>
            <w:vMerge w:val="continue"/>
          </w:tcPr>
          <w:p>
            <w:pPr>
              <w:tabs>
                <w:tab w:val="left" w:pos="859"/>
              </w:tabs>
              <w:jc w:val="center"/>
              <w:rPr>
                <w:rFonts w:hint="eastAsia" w:eastAsia="宋体"/>
                <w:vertAlign w:val="baseline"/>
                <w:lang w:val="en-US" w:eastAsia="zh-CN"/>
              </w:rPr>
            </w:pPr>
          </w:p>
        </w:tc>
        <w:tc>
          <w:tcPr>
            <w:tcW w:w="1279" w:type="dxa"/>
            <w:vMerge w:val="continue"/>
          </w:tcPr>
          <w:p>
            <w:pPr>
              <w:tabs>
                <w:tab w:val="left" w:pos="859"/>
              </w:tabs>
              <w:jc w:val="center"/>
              <w:rPr>
                <w:rFonts w:hint="eastAsia" w:eastAsia="宋体"/>
                <w:vertAlign w:val="baseline"/>
                <w:lang w:val="en-US" w:eastAsia="zh-CN"/>
              </w:rPr>
            </w:pPr>
          </w:p>
        </w:tc>
        <w:tc>
          <w:tcPr>
            <w:tcW w:w="990" w:type="dxa"/>
            <w:vMerge w:val="continue"/>
            <w:vAlign w:val="center"/>
          </w:tcPr>
          <w:p>
            <w:pPr>
              <w:pStyle w:val="12"/>
              <w:spacing w:line="240" w:lineRule="auto"/>
              <w:ind w:firstLine="300" w:firstLineChars="0"/>
              <w:jc w:val="center"/>
              <w:rPr>
                <w:rFonts w:hint="eastAsia" w:eastAsia="宋体"/>
                <w:vertAlign w:val="baseline"/>
                <w:lang w:val="en-US" w:eastAsia="zh-CN"/>
              </w:rPr>
            </w:pPr>
          </w:p>
        </w:tc>
        <w:tc>
          <w:tcPr>
            <w:tcW w:w="926" w:type="dxa"/>
            <w:vAlign w:val="center"/>
          </w:tcPr>
          <w:p>
            <w:pPr>
              <w:pStyle w:val="12"/>
              <w:spacing w:line="240" w:lineRule="auto"/>
              <w:ind w:firstLine="300" w:firstLineChars="0"/>
              <w:jc w:val="center"/>
              <w:rPr>
                <w:rFonts w:hint="eastAsia" w:eastAsia="宋体"/>
                <w:vertAlign w:val="baseline"/>
                <w:lang w:val="en-US" w:eastAsia="zh-CN"/>
              </w:rPr>
            </w:pPr>
            <w:r>
              <w:rPr>
                <w:sz w:val="17"/>
                <w:szCs w:val="17"/>
              </w:rPr>
              <w:t>小计</w:t>
            </w:r>
          </w:p>
        </w:tc>
        <w:tc>
          <w:tcPr>
            <w:tcW w:w="909" w:type="dxa"/>
            <w:vAlign w:val="center"/>
          </w:tcPr>
          <w:p>
            <w:pPr>
              <w:pStyle w:val="12"/>
              <w:spacing w:line="317" w:lineRule="exact"/>
              <w:ind w:firstLine="0" w:firstLineChars="0"/>
              <w:jc w:val="center"/>
              <w:rPr>
                <w:rFonts w:hint="eastAsia" w:eastAsia="宋体"/>
                <w:vertAlign w:val="baseline"/>
                <w:lang w:val="en-US" w:eastAsia="zh-CN"/>
              </w:rPr>
            </w:pPr>
            <w:r>
              <w:rPr>
                <w:sz w:val="17"/>
                <w:szCs w:val="17"/>
              </w:rPr>
              <w:t>一般公共预算</w:t>
            </w:r>
          </w:p>
        </w:tc>
        <w:tc>
          <w:tcPr>
            <w:tcW w:w="968" w:type="dxa"/>
            <w:vAlign w:val="center"/>
          </w:tcPr>
          <w:p>
            <w:pPr>
              <w:pStyle w:val="12"/>
              <w:spacing w:line="317" w:lineRule="exact"/>
              <w:ind w:firstLine="0" w:firstLineChars="0"/>
              <w:jc w:val="center"/>
              <w:rPr>
                <w:rFonts w:hint="eastAsia" w:eastAsia="宋体"/>
                <w:vertAlign w:val="baseline"/>
                <w:lang w:val="en-US" w:eastAsia="zh-CN"/>
              </w:rPr>
            </w:pPr>
            <w:r>
              <w:rPr>
                <w:sz w:val="17"/>
                <w:szCs w:val="17"/>
              </w:rPr>
              <w:t>政府性基金预算</w:t>
            </w:r>
          </w:p>
        </w:tc>
        <w:tc>
          <w:tcPr>
            <w:tcW w:w="990" w:type="dxa"/>
            <w:vAlign w:val="center"/>
          </w:tcPr>
          <w:p>
            <w:pPr>
              <w:pStyle w:val="12"/>
              <w:spacing w:line="317" w:lineRule="exact"/>
              <w:ind w:firstLine="0" w:firstLineChars="0"/>
              <w:jc w:val="center"/>
              <w:rPr>
                <w:rFonts w:hint="eastAsia" w:eastAsia="宋体"/>
                <w:vertAlign w:val="baseline"/>
                <w:lang w:val="en-US" w:eastAsia="zh-CN"/>
              </w:rPr>
            </w:pPr>
            <w:r>
              <w:rPr>
                <w:sz w:val="17"/>
                <w:szCs w:val="17"/>
              </w:rPr>
              <w:t>国有资本经营预算</w:t>
            </w:r>
          </w:p>
        </w:tc>
        <w:tc>
          <w:tcPr>
            <w:tcW w:w="1078" w:type="dxa"/>
          </w:tcPr>
          <w:p>
            <w:pPr>
              <w:pStyle w:val="12"/>
              <w:spacing w:line="312" w:lineRule="exact"/>
              <w:ind w:firstLine="0"/>
              <w:jc w:val="center"/>
              <w:rPr>
                <w:sz w:val="17"/>
                <w:szCs w:val="17"/>
              </w:rPr>
            </w:pPr>
            <w:r>
              <w:rPr>
                <w:sz w:val="17"/>
                <w:szCs w:val="17"/>
              </w:rPr>
              <w:t>财政专户管理资金</w:t>
            </w:r>
          </w:p>
          <w:p>
            <w:pPr>
              <w:pStyle w:val="12"/>
              <w:spacing w:line="312" w:lineRule="exact"/>
              <w:ind w:firstLine="0" w:firstLineChars="0"/>
              <w:jc w:val="center"/>
              <w:rPr>
                <w:rFonts w:hint="eastAsia" w:eastAsia="宋体"/>
                <w:vertAlign w:val="baseline"/>
                <w:lang w:val="en-US" w:eastAsia="zh-CN"/>
              </w:rPr>
            </w:pPr>
            <w:r>
              <w:rPr>
                <w:sz w:val="17"/>
                <w:szCs w:val="17"/>
              </w:rPr>
              <w:t>收入</w:t>
            </w:r>
          </w:p>
        </w:tc>
        <w:tc>
          <w:tcPr>
            <w:tcW w:w="972" w:type="dxa"/>
            <w:vAlign w:val="center"/>
          </w:tcPr>
          <w:p>
            <w:pPr>
              <w:pStyle w:val="12"/>
              <w:spacing w:line="240" w:lineRule="auto"/>
              <w:ind w:firstLine="0" w:firstLineChars="0"/>
              <w:jc w:val="center"/>
              <w:rPr>
                <w:rFonts w:hint="eastAsia" w:eastAsia="宋体"/>
                <w:vertAlign w:val="baseline"/>
                <w:lang w:val="en-US" w:eastAsia="zh-CN"/>
              </w:rPr>
            </w:pPr>
            <w:r>
              <w:rPr>
                <w:sz w:val="17"/>
                <w:szCs w:val="17"/>
              </w:rPr>
              <w:t>单位资金</w:t>
            </w:r>
          </w:p>
        </w:tc>
        <w:tc>
          <w:tcPr>
            <w:tcW w:w="919" w:type="dxa"/>
            <w:vAlign w:val="center"/>
          </w:tcPr>
          <w:p>
            <w:pPr>
              <w:pStyle w:val="12"/>
              <w:spacing w:line="240" w:lineRule="auto"/>
              <w:ind w:firstLine="300" w:firstLineChars="0"/>
              <w:jc w:val="center"/>
              <w:rPr>
                <w:rFonts w:hint="eastAsia" w:eastAsia="宋体"/>
                <w:vertAlign w:val="baseline"/>
                <w:lang w:val="en-US" w:eastAsia="zh-CN"/>
              </w:rPr>
            </w:pPr>
            <w:r>
              <w:rPr>
                <w:sz w:val="17"/>
                <w:szCs w:val="17"/>
              </w:rPr>
              <w:t>小计</w:t>
            </w:r>
          </w:p>
        </w:tc>
        <w:tc>
          <w:tcPr>
            <w:tcW w:w="1011" w:type="dxa"/>
            <w:vAlign w:val="center"/>
          </w:tcPr>
          <w:p>
            <w:pPr>
              <w:pStyle w:val="12"/>
              <w:spacing w:line="317" w:lineRule="exact"/>
              <w:ind w:firstLine="0" w:firstLineChars="0"/>
              <w:jc w:val="center"/>
              <w:rPr>
                <w:rFonts w:hint="eastAsia" w:eastAsia="宋体"/>
                <w:vertAlign w:val="baseline"/>
                <w:lang w:val="en-US" w:eastAsia="zh-CN"/>
              </w:rPr>
            </w:pPr>
            <w:r>
              <w:rPr>
                <w:sz w:val="17"/>
                <w:szCs w:val="17"/>
              </w:rPr>
              <w:t>一般公共预算</w:t>
            </w:r>
          </w:p>
        </w:tc>
        <w:tc>
          <w:tcPr>
            <w:tcW w:w="859" w:type="dxa"/>
            <w:vAlign w:val="center"/>
          </w:tcPr>
          <w:p>
            <w:pPr>
              <w:pStyle w:val="12"/>
              <w:spacing w:line="317" w:lineRule="exact"/>
              <w:ind w:firstLine="0" w:firstLineChars="0"/>
              <w:jc w:val="center"/>
              <w:rPr>
                <w:rFonts w:hint="eastAsia" w:eastAsia="宋体"/>
                <w:vertAlign w:val="baseline"/>
                <w:lang w:val="en-US" w:eastAsia="zh-CN"/>
              </w:rPr>
            </w:pPr>
            <w:r>
              <w:rPr>
                <w:sz w:val="17"/>
                <w:szCs w:val="17"/>
              </w:rPr>
              <w:t>政府性基金预算</w:t>
            </w:r>
          </w:p>
        </w:tc>
        <w:tc>
          <w:tcPr>
            <w:tcW w:w="1094" w:type="dxa"/>
            <w:gridSpan w:val="2"/>
            <w:vAlign w:val="center"/>
          </w:tcPr>
          <w:p>
            <w:pPr>
              <w:pStyle w:val="12"/>
              <w:spacing w:line="317" w:lineRule="exact"/>
              <w:ind w:firstLine="0" w:firstLineChars="0"/>
              <w:jc w:val="center"/>
              <w:rPr>
                <w:rFonts w:hint="eastAsia" w:eastAsia="宋体"/>
                <w:vertAlign w:val="baseline"/>
                <w:lang w:val="en-US" w:eastAsia="zh-CN"/>
              </w:rPr>
            </w:pPr>
            <w:r>
              <w:rPr>
                <w:sz w:val="17"/>
                <w:szCs w:val="17"/>
              </w:rPr>
              <w:t>国有资本经营预算</w:t>
            </w:r>
          </w:p>
        </w:tc>
        <w:tc>
          <w:tcPr>
            <w:tcW w:w="937" w:type="dxa"/>
          </w:tcPr>
          <w:p>
            <w:pPr>
              <w:pStyle w:val="12"/>
              <w:spacing w:line="312" w:lineRule="exact"/>
              <w:ind w:firstLine="0"/>
              <w:jc w:val="center"/>
              <w:rPr>
                <w:sz w:val="17"/>
                <w:szCs w:val="17"/>
              </w:rPr>
            </w:pPr>
            <w:r>
              <w:rPr>
                <w:sz w:val="17"/>
                <w:szCs w:val="17"/>
              </w:rPr>
              <w:t>财政专户管理资金</w:t>
            </w:r>
          </w:p>
          <w:p>
            <w:pPr>
              <w:pStyle w:val="12"/>
              <w:spacing w:line="312" w:lineRule="exact"/>
              <w:ind w:right="280" w:rightChars="0" w:firstLine="0" w:firstLineChars="0"/>
              <w:jc w:val="center"/>
              <w:rPr>
                <w:rFonts w:hint="eastAsia" w:eastAsia="宋体"/>
                <w:vertAlign w:val="baseline"/>
                <w:lang w:val="en-US" w:eastAsia="zh-CN"/>
              </w:rPr>
            </w:pPr>
            <w:r>
              <w:rPr>
                <w:sz w:val="17"/>
                <w:szCs w:val="17"/>
              </w:rPr>
              <w:t>收入</w:t>
            </w:r>
          </w:p>
        </w:tc>
        <w:tc>
          <w:tcPr>
            <w:tcW w:w="989" w:type="dxa"/>
            <w:vAlign w:val="center"/>
          </w:tcPr>
          <w:p>
            <w:pPr>
              <w:pStyle w:val="12"/>
              <w:spacing w:line="240" w:lineRule="auto"/>
              <w:ind w:firstLine="140" w:firstLineChars="0"/>
              <w:jc w:val="center"/>
              <w:rPr>
                <w:rFonts w:hint="eastAsia" w:eastAsia="宋体"/>
                <w:vertAlign w:val="baseline"/>
                <w:lang w:val="en-US" w:eastAsia="zh-CN"/>
              </w:rPr>
            </w:pPr>
            <w:r>
              <w:rPr>
                <w:sz w:val="17"/>
                <w:szCs w:val="17"/>
              </w:rPr>
              <w:t>单位资金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tcPr>
          <w:p>
            <w:pPr>
              <w:tabs>
                <w:tab w:val="left" w:pos="859"/>
              </w:tabs>
              <w:jc w:val="both"/>
              <w:rPr>
                <w:rFonts w:hint="eastAsia" w:eastAsia="宋体"/>
                <w:vertAlign w:val="baseline"/>
                <w:lang w:val="en-US" w:eastAsia="zh-CN"/>
              </w:rPr>
            </w:pPr>
          </w:p>
        </w:tc>
        <w:tc>
          <w:tcPr>
            <w:tcW w:w="1279" w:type="dxa"/>
          </w:tcPr>
          <w:p>
            <w:pPr>
              <w:tabs>
                <w:tab w:val="left" w:pos="859"/>
              </w:tabs>
              <w:jc w:val="both"/>
              <w:rPr>
                <w:rFonts w:hint="eastAsia" w:eastAsia="宋体"/>
                <w:vertAlign w:val="baseline"/>
                <w:lang w:val="en-US" w:eastAsia="zh-CN"/>
              </w:rPr>
            </w:pPr>
          </w:p>
        </w:tc>
        <w:tc>
          <w:tcPr>
            <w:tcW w:w="990" w:type="dxa"/>
            <w:vAlign w:val="center"/>
          </w:tcPr>
          <w:p>
            <w:pPr>
              <w:pStyle w:val="12"/>
              <w:spacing w:line="240" w:lineRule="auto"/>
              <w:ind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1</w:t>
            </w:r>
          </w:p>
        </w:tc>
        <w:tc>
          <w:tcPr>
            <w:tcW w:w="926" w:type="dxa"/>
            <w:vAlign w:val="center"/>
          </w:tcPr>
          <w:p>
            <w:pPr>
              <w:pStyle w:val="12"/>
              <w:spacing w:line="240" w:lineRule="auto"/>
              <w:ind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2</w:t>
            </w:r>
          </w:p>
        </w:tc>
        <w:tc>
          <w:tcPr>
            <w:tcW w:w="909" w:type="dxa"/>
            <w:vAlign w:val="center"/>
          </w:tcPr>
          <w:p>
            <w:pPr>
              <w:pStyle w:val="12"/>
              <w:spacing w:line="240" w:lineRule="auto"/>
              <w:ind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3</w:t>
            </w:r>
          </w:p>
        </w:tc>
        <w:tc>
          <w:tcPr>
            <w:tcW w:w="968" w:type="dxa"/>
            <w:vAlign w:val="center"/>
          </w:tcPr>
          <w:p>
            <w:pPr>
              <w:pStyle w:val="12"/>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4</w:t>
            </w:r>
          </w:p>
        </w:tc>
        <w:tc>
          <w:tcPr>
            <w:tcW w:w="990" w:type="dxa"/>
            <w:vAlign w:val="center"/>
          </w:tcPr>
          <w:p>
            <w:pPr>
              <w:pStyle w:val="12"/>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5</w:t>
            </w:r>
          </w:p>
        </w:tc>
        <w:tc>
          <w:tcPr>
            <w:tcW w:w="1078" w:type="dxa"/>
            <w:vAlign w:val="center"/>
          </w:tcPr>
          <w:p>
            <w:pPr>
              <w:pStyle w:val="12"/>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6</w:t>
            </w:r>
          </w:p>
        </w:tc>
        <w:tc>
          <w:tcPr>
            <w:tcW w:w="972" w:type="dxa"/>
            <w:vAlign w:val="center"/>
          </w:tcPr>
          <w:p>
            <w:pPr>
              <w:pStyle w:val="12"/>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7</w:t>
            </w:r>
          </w:p>
        </w:tc>
        <w:tc>
          <w:tcPr>
            <w:tcW w:w="919" w:type="dxa"/>
            <w:vAlign w:val="center"/>
          </w:tcPr>
          <w:p>
            <w:pPr>
              <w:pStyle w:val="12"/>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8</w:t>
            </w:r>
          </w:p>
        </w:tc>
        <w:tc>
          <w:tcPr>
            <w:tcW w:w="1011" w:type="dxa"/>
            <w:vAlign w:val="center"/>
          </w:tcPr>
          <w:p>
            <w:pPr>
              <w:pStyle w:val="12"/>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9</w:t>
            </w:r>
          </w:p>
        </w:tc>
        <w:tc>
          <w:tcPr>
            <w:tcW w:w="859" w:type="dxa"/>
            <w:vAlign w:val="center"/>
          </w:tcPr>
          <w:p>
            <w:pPr>
              <w:pStyle w:val="12"/>
              <w:spacing w:line="240" w:lineRule="auto"/>
              <w:ind w:right="360" w:righ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10</w:t>
            </w:r>
          </w:p>
        </w:tc>
        <w:tc>
          <w:tcPr>
            <w:tcW w:w="1094" w:type="dxa"/>
            <w:gridSpan w:val="2"/>
            <w:vAlign w:val="center"/>
          </w:tcPr>
          <w:p>
            <w:pPr>
              <w:pStyle w:val="12"/>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11</w:t>
            </w:r>
          </w:p>
        </w:tc>
        <w:tc>
          <w:tcPr>
            <w:tcW w:w="937" w:type="dxa"/>
            <w:vAlign w:val="center"/>
          </w:tcPr>
          <w:p>
            <w:pPr>
              <w:pStyle w:val="12"/>
              <w:spacing w:line="240" w:lineRule="auto"/>
              <w:ind w:right="380" w:righ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12</w:t>
            </w:r>
          </w:p>
        </w:tc>
        <w:tc>
          <w:tcPr>
            <w:tcW w:w="989" w:type="dxa"/>
            <w:vAlign w:val="center"/>
          </w:tcPr>
          <w:p>
            <w:pPr>
              <w:pStyle w:val="12"/>
              <w:spacing w:line="240" w:lineRule="auto"/>
              <w:ind w:right="420" w:righ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pPr>
              <w:pStyle w:val="12"/>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rPr>
              <w:t>708007</w:t>
            </w:r>
          </w:p>
        </w:tc>
        <w:tc>
          <w:tcPr>
            <w:tcW w:w="1279" w:type="dxa"/>
          </w:tcPr>
          <w:p>
            <w:pPr>
              <w:pStyle w:val="12"/>
              <w:spacing w:line="326" w:lineRule="exact"/>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rPr>
              <w:t>环江毛南族自治县长美乡爱洞村村民委员会</w:t>
            </w:r>
          </w:p>
        </w:tc>
        <w:tc>
          <w:tcPr>
            <w:tcW w:w="990" w:type="dxa"/>
            <w:vAlign w:val="center"/>
          </w:tcPr>
          <w:p>
            <w:pPr>
              <w:pStyle w:val="12"/>
              <w:spacing w:line="240" w:lineRule="auto"/>
              <w:ind w:left="0" w:leftChars="0"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169.46</w:t>
            </w:r>
          </w:p>
        </w:tc>
        <w:tc>
          <w:tcPr>
            <w:tcW w:w="926" w:type="dxa"/>
            <w:vAlign w:val="center"/>
          </w:tcPr>
          <w:p>
            <w:pPr>
              <w:pStyle w:val="12"/>
              <w:spacing w:line="240" w:lineRule="auto"/>
              <w:ind w:left="0" w:leftChars="0"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169.46</w:t>
            </w:r>
          </w:p>
        </w:tc>
        <w:tc>
          <w:tcPr>
            <w:tcW w:w="909" w:type="dxa"/>
            <w:vAlign w:val="center"/>
          </w:tcPr>
          <w:p>
            <w:pPr>
              <w:pStyle w:val="12"/>
              <w:spacing w:line="240" w:lineRule="auto"/>
              <w:ind w:left="0" w:leftChars="0"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169.46</w:t>
            </w:r>
          </w:p>
        </w:tc>
        <w:tc>
          <w:tcPr>
            <w:tcW w:w="968" w:type="dxa"/>
            <w:vAlign w:val="center"/>
          </w:tcPr>
          <w:p>
            <w:pPr>
              <w:pStyle w:val="12"/>
              <w:spacing w:line="240" w:lineRule="auto"/>
              <w:ind w:left="0" w:leftChars="0"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990" w:type="dxa"/>
            <w:vAlign w:val="center"/>
          </w:tcPr>
          <w:p>
            <w:pPr>
              <w:pStyle w:val="12"/>
              <w:spacing w:line="240" w:lineRule="auto"/>
              <w:ind w:left="0" w:leftChars="0"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1078" w:type="dxa"/>
            <w:vAlign w:val="center"/>
          </w:tcPr>
          <w:p>
            <w:pPr>
              <w:pStyle w:val="12"/>
              <w:spacing w:line="240" w:lineRule="auto"/>
              <w:ind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972" w:type="dxa"/>
            <w:vAlign w:val="center"/>
          </w:tcPr>
          <w:p>
            <w:pPr>
              <w:pStyle w:val="12"/>
              <w:spacing w:line="240" w:lineRule="auto"/>
              <w:ind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919" w:type="dxa"/>
            <w:vAlign w:val="center"/>
          </w:tcPr>
          <w:p>
            <w:pPr>
              <w:spacing w:line="240" w:lineRule="auto"/>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1011" w:type="dxa"/>
            <w:vAlign w:val="center"/>
          </w:tcPr>
          <w:p>
            <w:pPr>
              <w:spacing w:line="240" w:lineRule="auto"/>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59" w:type="dxa"/>
            <w:vAlign w:val="center"/>
          </w:tcPr>
          <w:p>
            <w:pPr>
              <w:spacing w:line="240" w:lineRule="auto"/>
              <w:ind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1094" w:type="dxa"/>
            <w:gridSpan w:val="2"/>
            <w:vAlign w:val="center"/>
          </w:tcPr>
          <w:p>
            <w:pPr>
              <w:spacing w:line="240" w:lineRule="auto"/>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937" w:type="dxa"/>
            <w:vAlign w:val="center"/>
          </w:tcPr>
          <w:p>
            <w:pPr>
              <w:spacing w:line="240" w:lineRule="auto"/>
              <w:ind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989" w:type="dxa"/>
            <w:vAlign w:val="center"/>
          </w:tcPr>
          <w:p>
            <w:pPr>
              <w:spacing w:line="240" w:lineRule="auto"/>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16"/>
            <w:tcBorders>
              <w:left w:val="nil"/>
              <w:bottom w:val="nil"/>
              <w:right w:val="nil"/>
            </w:tcBorders>
          </w:tcPr>
          <w:p>
            <w:pPr>
              <w:pStyle w:val="13"/>
              <w:jc w:val="left"/>
              <w:rPr>
                <w:rFonts w:hint="eastAsia" w:eastAsia="宋体"/>
                <w:vertAlign w:val="baseline"/>
                <w:lang w:val="en-US" w:eastAsia="zh-CN"/>
              </w:rPr>
            </w:pPr>
            <w:r>
              <w:t>注：本报表金额单位转换时可能存在四舍五入尾数误差。</w:t>
            </w:r>
          </w:p>
        </w:tc>
      </w:tr>
    </w:tbl>
    <w:p>
      <w:pPr>
        <w:tabs>
          <w:tab w:val="left" w:pos="859"/>
        </w:tabs>
        <w:jc w:val="both"/>
        <w:rPr>
          <w:rFonts w:hint="eastAsia" w:eastAsia="宋体"/>
          <w:lang w:val="en-US" w:eastAsia="zh-CN"/>
        </w:rPr>
      </w:pPr>
    </w:p>
    <w:p>
      <w:pPr>
        <w:tabs>
          <w:tab w:val="left" w:pos="859"/>
        </w:tabs>
        <w:jc w:val="center"/>
        <w:rPr>
          <w:rFonts w:hint="eastAsia" w:eastAsia="宋体"/>
          <w:lang w:val="en-US" w:eastAsia="zh-CN"/>
        </w:rPr>
      </w:pPr>
    </w:p>
    <w:p>
      <w:pPr>
        <w:tabs>
          <w:tab w:val="left" w:pos="859"/>
        </w:tabs>
        <w:jc w:val="both"/>
        <w:rPr>
          <w:rFonts w:hint="eastAsia" w:eastAsia="宋体"/>
          <w:lang w:val="en-US" w:eastAsia="zh-CN"/>
        </w:rPr>
      </w:pPr>
    </w:p>
    <w:p>
      <w:pPr>
        <w:spacing w:line="1" w:lineRule="exact"/>
        <w:jc w:val="left"/>
        <w:rPr>
          <w:lang w:eastAsia="zh-CN"/>
        </w:rPr>
        <w:sectPr>
          <w:headerReference r:id="rId8" w:type="default"/>
          <w:footerReference r:id="rId9" w:type="default"/>
          <w:pgSz w:w="16840" w:h="11900" w:orient="landscape"/>
          <w:pgMar w:top="2709" w:right="764" w:bottom="2709" w:left="735" w:header="2281" w:footer="1474" w:gutter="0"/>
          <w:pgBorders>
            <w:top w:val="none" w:sz="0" w:space="0"/>
            <w:left w:val="none" w:sz="0" w:space="0"/>
            <w:bottom w:val="none" w:sz="0" w:space="0"/>
            <w:right w:val="none" w:sz="0" w:space="0"/>
          </w:pgBorders>
          <w:pgNumType w:fmt="decimal"/>
          <w:cols w:space="720" w:num="1"/>
          <w:docGrid w:linePitch="360" w:charSpace="0"/>
        </w:sectPr>
      </w:pPr>
    </w:p>
    <w:p>
      <w:pPr>
        <w:pStyle w:val="11"/>
        <w:keepNext/>
        <w:keepLines/>
        <w:spacing w:after="240"/>
        <w:jc w:val="center"/>
      </w:pPr>
      <w:bookmarkStart w:id="19" w:name="bookmark42"/>
      <w:bookmarkStart w:id="20" w:name="bookmark41"/>
      <w:bookmarkStart w:id="21" w:name="bookmark43"/>
      <w:r>
        <w:t>支出总体情况表</w:t>
      </w:r>
      <w:bookmarkEnd w:id="19"/>
      <w:bookmarkEnd w:id="20"/>
      <w:bookmarkEnd w:id="21"/>
    </w:p>
    <w:tbl>
      <w:tblPr>
        <w:tblStyle w:val="3"/>
        <w:tblW w:w="0" w:type="auto"/>
        <w:tblInd w:w="0" w:type="dxa"/>
        <w:tblLayout w:type="fixed"/>
        <w:tblCellMar>
          <w:top w:w="0" w:type="dxa"/>
          <w:left w:w="10" w:type="dxa"/>
          <w:bottom w:w="0" w:type="dxa"/>
          <w:right w:w="10" w:type="dxa"/>
        </w:tblCellMar>
      </w:tblPr>
      <w:tblGrid>
        <w:gridCol w:w="1843"/>
        <w:gridCol w:w="1934"/>
        <w:gridCol w:w="2390"/>
        <w:gridCol w:w="2280"/>
        <w:gridCol w:w="2299"/>
        <w:gridCol w:w="2222"/>
        <w:gridCol w:w="2371"/>
      </w:tblGrid>
      <w:tr>
        <w:tblPrEx>
          <w:tblCellMar>
            <w:top w:w="0" w:type="dxa"/>
            <w:left w:w="10" w:type="dxa"/>
            <w:bottom w:w="0" w:type="dxa"/>
            <w:right w:w="10" w:type="dxa"/>
          </w:tblCellMar>
        </w:tblPrEx>
        <w:trPr>
          <w:trHeight w:val="346" w:hRule="exact"/>
        </w:trPr>
        <w:tc>
          <w:tcPr>
            <w:tcW w:w="12968" w:type="dxa"/>
            <w:gridSpan w:val="6"/>
            <w:shd w:val="clear" w:color="auto" w:fill="FFFFFF"/>
          </w:tcPr>
          <w:p>
            <w:pPr>
              <w:pStyle w:val="12"/>
              <w:spacing w:line="240" w:lineRule="auto"/>
              <w:ind w:firstLine="0"/>
              <w:jc w:val="left"/>
              <w:rPr>
                <w:sz w:val="17"/>
                <w:szCs w:val="17"/>
              </w:rPr>
            </w:pPr>
            <w:r>
              <w:rPr>
                <w:sz w:val="17"/>
                <w:szCs w:val="17"/>
              </w:rPr>
              <w:t>单位名称：</w:t>
            </w:r>
            <w:r>
              <w:rPr>
                <w:rFonts w:hint="eastAsia"/>
                <w:sz w:val="17"/>
                <w:szCs w:val="17"/>
                <w:lang w:eastAsia="zh-CN"/>
              </w:rPr>
              <w:t>环江毛南族自治县长美乡爱洞村村民委员会</w:t>
            </w:r>
          </w:p>
        </w:tc>
        <w:tc>
          <w:tcPr>
            <w:tcW w:w="2371" w:type="dxa"/>
            <w:shd w:val="clear" w:color="auto" w:fill="FFFFFF"/>
          </w:tcPr>
          <w:p>
            <w:pPr>
              <w:pStyle w:val="12"/>
              <w:spacing w:line="240" w:lineRule="auto"/>
              <w:ind w:firstLine="1190" w:firstLineChars="700"/>
              <w:jc w:val="left"/>
              <w:rPr>
                <w:sz w:val="17"/>
                <w:szCs w:val="17"/>
              </w:rPr>
            </w:pPr>
            <w:r>
              <w:rPr>
                <w:sz w:val="17"/>
                <w:szCs w:val="17"/>
              </w:rPr>
              <w:t>单位：万元</w:t>
            </w:r>
          </w:p>
        </w:tc>
      </w:tr>
      <w:tr>
        <w:tblPrEx>
          <w:tblCellMar>
            <w:top w:w="0" w:type="dxa"/>
            <w:left w:w="10" w:type="dxa"/>
            <w:bottom w:w="0" w:type="dxa"/>
            <w:right w:w="10" w:type="dxa"/>
          </w:tblCellMar>
        </w:tblPrEx>
        <w:trPr>
          <w:trHeight w:val="854" w:hRule="exact"/>
        </w:trPr>
        <w:tc>
          <w:tcPr>
            <w:tcW w:w="1843"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0"/>
              <w:jc w:val="left"/>
              <w:rPr>
                <w:sz w:val="17"/>
                <w:szCs w:val="17"/>
              </w:rPr>
            </w:pPr>
            <w:r>
              <w:rPr>
                <w:sz w:val="17"/>
                <w:szCs w:val="17"/>
              </w:rPr>
              <w:t>科目编码</w:t>
            </w:r>
          </w:p>
        </w:tc>
        <w:tc>
          <w:tcPr>
            <w:tcW w:w="1934"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40"/>
              <w:jc w:val="left"/>
              <w:rPr>
                <w:sz w:val="17"/>
                <w:szCs w:val="17"/>
              </w:rPr>
            </w:pPr>
            <w:r>
              <w:rPr>
                <w:sz w:val="17"/>
                <w:szCs w:val="17"/>
              </w:rPr>
              <w:t>部门（单位）代码</w:t>
            </w:r>
          </w:p>
        </w:tc>
        <w:tc>
          <w:tcPr>
            <w:tcW w:w="2390" w:type="dxa"/>
            <w:tcBorders>
              <w:top w:val="single" w:color="auto" w:sz="4" w:space="0"/>
              <w:left w:val="single" w:color="auto" w:sz="4" w:space="0"/>
              <w:bottom w:val="single" w:color="auto" w:sz="4" w:space="0"/>
            </w:tcBorders>
            <w:shd w:val="clear" w:color="auto" w:fill="FFFFFF"/>
            <w:vAlign w:val="center"/>
          </w:tcPr>
          <w:p>
            <w:pPr>
              <w:pStyle w:val="12"/>
              <w:spacing w:after="120" w:line="240" w:lineRule="auto"/>
              <w:ind w:firstLine="0"/>
              <w:jc w:val="left"/>
              <w:rPr>
                <w:sz w:val="17"/>
                <w:szCs w:val="17"/>
              </w:rPr>
            </w:pPr>
            <w:r>
              <w:rPr>
                <w:sz w:val="17"/>
                <w:szCs w:val="17"/>
              </w:rPr>
              <w:t>部门（单位）名称</w:t>
            </w:r>
          </w:p>
          <w:p>
            <w:pPr>
              <w:pStyle w:val="12"/>
              <w:spacing w:line="240" w:lineRule="auto"/>
              <w:ind w:firstLine="0"/>
              <w:jc w:val="left"/>
              <w:rPr>
                <w:sz w:val="17"/>
                <w:szCs w:val="17"/>
              </w:rPr>
            </w:pPr>
            <w:r>
              <w:rPr>
                <w:sz w:val="17"/>
                <w:szCs w:val="17"/>
              </w:rPr>
              <w:t>（功能分类科目名称）</w:t>
            </w:r>
          </w:p>
        </w:tc>
        <w:tc>
          <w:tcPr>
            <w:tcW w:w="228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0"/>
              <w:jc w:val="left"/>
              <w:rPr>
                <w:sz w:val="17"/>
                <w:szCs w:val="17"/>
              </w:rPr>
            </w:pPr>
            <w:r>
              <w:rPr>
                <w:sz w:val="17"/>
                <w:szCs w:val="17"/>
              </w:rPr>
              <w:t>合计</w:t>
            </w:r>
          </w:p>
        </w:tc>
        <w:tc>
          <w:tcPr>
            <w:tcW w:w="2299"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0"/>
              <w:jc w:val="left"/>
              <w:rPr>
                <w:sz w:val="17"/>
                <w:szCs w:val="17"/>
              </w:rPr>
            </w:pPr>
            <w:r>
              <w:rPr>
                <w:sz w:val="17"/>
                <w:szCs w:val="17"/>
              </w:rPr>
              <w:t>基本支出</w:t>
            </w:r>
          </w:p>
        </w:tc>
        <w:tc>
          <w:tcPr>
            <w:tcW w:w="2222"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0"/>
              <w:jc w:val="left"/>
              <w:rPr>
                <w:sz w:val="17"/>
                <w:szCs w:val="17"/>
              </w:rPr>
            </w:pPr>
            <w:r>
              <w:rPr>
                <w:sz w:val="17"/>
                <w:szCs w:val="17"/>
              </w:rPr>
              <w:t>项目支出</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sz w:val="17"/>
                <w:szCs w:val="17"/>
              </w:rPr>
            </w:pPr>
            <w:r>
              <w:rPr>
                <w:sz w:val="17"/>
                <w:szCs w:val="17"/>
              </w:rPr>
              <w:t>结转下年支出</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 </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 </w:t>
            </w: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合计</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169.46</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169.46</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708007</w:t>
            </w: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169.46</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169.46</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2130705</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2"/>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对村民委员会和村党支部的补助</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169.46</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169.46</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bl>
    <w:p>
      <w:pPr>
        <w:pStyle w:val="13"/>
        <w:ind w:left="672"/>
        <w:jc w:val="left"/>
      </w:pPr>
      <w:r>
        <w:t>注：本报表金额单位转换时可能存在四舍五入尾数误差。</w:t>
      </w:r>
      <w:r>
        <w:br w:type="page"/>
      </w:r>
    </w:p>
    <w:p>
      <w:pPr>
        <w:pStyle w:val="11"/>
        <w:keepNext/>
        <w:keepLines/>
        <w:spacing w:after="240"/>
        <w:jc w:val="center"/>
      </w:pPr>
      <w:bookmarkStart w:id="22" w:name="bookmark46"/>
      <w:bookmarkStart w:id="23" w:name="bookmark45"/>
      <w:bookmarkStart w:id="24" w:name="bookmark44"/>
      <w:r>
        <w:t>财政拨款收支总体情况表</w:t>
      </w:r>
      <w:bookmarkEnd w:id="22"/>
      <w:bookmarkEnd w:id="23"/>
      <w:bookmarkEnd w:id="24"/>
    </w:p>
    <w:tbl>
      <w:tblPr>
        <w:tblStyle w:val="3"/>
        <w:tblW w:w="0" w:type="auto"/>
        <w:tblInd w:w="0" w:type="dxa"/>
        <w:tblLayout w:type="fixed"/>
        <w:tblCellMar>
          <w:top w:w="0" w:type="dxa"/>
          <w:left w:w="10" w:type="dxa"/>
          <w:bottom w:w="0" w:type="dxa"/>
          <w:right w:w="10" w:type="dxa"/>
        </w:tblCellMar>
      </w:tblPr>
      <w:tblGrid>
        <w:gridCol w:w="2885"/>
        <w:gridCol w:w="955"/>
        <w:gridCol w:w="3830"/>
        <w:gridCol w:w="3826"/>
        <w:gridCol w:w="3845"/>
        <w:gridCol w:w="1"/>
      </w:tblGrid>
      <w:tr>
        <w:tblPrEx>
          <w:tblCellMar>
            <w:top w:w="0" w:type="dxa"/>
            <w:left w:w="10" w:type="dxa"/>
            <w:bottom w:w="0" w:type="dxa"/>
            <w:right w:w="10" w:type="dxa"/>
          </w:tblCellMar>
        </w:tblPrEx>
        <w:trPr>
          <w:gridAfter w:val="1"/>
          <w:wAfter w:w="1" w:type="dxa"/>
          <w:trHeight w:val="346" w:hRule="exact"/>
        </w:trPr>
        <w:tc>
          <w:tcPr>
            <w:tcW w:w="11496" w:type="dxa"/>
            <w:gridSpan w:val="4"/>
            <w:shd w:val="clear" w:color="auto" w:fill="FFFFFF"/>
          </w:tcPr>
          <w:p>
            <w:pPr>
              <w:pStyle w:val="12"/>
              <w:spacing w:line="240" w:lineRule="auto"/>
              <w:ind w:firstLine="0"/>
              <w:jc w:val="left"/>
              <w:rPr>
                <w:rFonts w:hint="default"/>
                <w:sz w:val="17"/>
                <w:szCs w:val="17"/>
                <w:lang w:val="en-US"/>
              </w:rPr>
            </w:pPr>
            <w:r>
              <w:rPr>
                <w:sz w:val="17"/>
                <w:szCs w:val="17"/>
              </w:rPr>
              <w:t>单位名称：</w:t>
            </w:r>
            <w:r>
              <w:rPr>
                <w:rFonts w:hint="eastAsia"/>
                <w:sz w:val="17"/>
                <w:szCs w:val="17"/>
                <w:lang w:eastAsia="zh-CN"/>
              </w:rPr>
              <w:t>环江毛南族自治县长美乡爱洞村村民委员会</w:t>
            </w:r>
            <w:r>
              <w:rPr>
                <w:rFonts w:hint="eastAsia"/>
                <w:sz w:val="17"/>
                <w:szCs w:val="17"/>
                <w:lang w:val="en-US" w:eastAsia="zh-CN"/>
              </w:rPr>
              <w:t xml:space="preserve">                         </w:t>
            </w:r>
          </w:p>
        </w:tc>
        <w:tc>
          <w:tcPr>
            <w:tcW w:w="3845" w:type="dxa"/>
            <w:shd w:val="clear" w:color="auto" w:fill="FFFFFF"/>
          </w:tcPr>
          <w:p>
            <w:pPr>
              <w:pStyle w:val="12"/>
              <w:spacing w:line="240" w:lineRule="auto"/>
              <w:jc w:val="left"/>
              <w:rPr>
                <w:sz w:val="17"/>
                <w:szCs w:val="17"/>
              </w:rPr>
            </w:pPr>
            <w:r>
              <w:rPr>
                <w:sz w:val="17"/>
                <w:szCs w:val="17"/>
              </w:rPr>
              <w:t>单位：万元</w:t>
            </w:r>
          </w:p>
        </w:tc>
      </w:tr>
      <w:tr>
        <w:tblPrEx>
          <w:tblCellMar>
            <w:top w:w="0" w:type="dxa"/>
            <w:left w:w="10" w:type="dxa"/>
            <w:bottom w:w="0" w:type="dxa"/>
            <w:right w:w="10" w:type="dxa"/>
          </w:tblCellMar>
        </w:tblPrEx>
        <w:trPr>
          <w:gridAfter w:val="1"/>
          <w:wAfter w:w="1" w:type="dxa"/>
          <w:trHeight w:val="437" w:hRule="exact"/>
        </w:trPr>
        <w:tc>
          <w:tcPr>
            <w:tcW w:w="2885" w:type="dxa"/>
            <w:tcBorders>
              <w:top w:val="single" w:color="auto" w:sz="4" w:space="0"/>
              <w:left w:val="single" w:color="auto" w:sz="4" w:space="0"/>
            </w:tcBorders>
            <w:shd w:val="clear" w:color="auto" w:fill="FFFFFF"/>
          </w:tcPr>
          <w:p>
            <w:pPr>
              <w:jc w:val="left"/>
              <w:rPr>
                <w:sz w:val="10"/>
                <w:szCs w:val="10"/>
              </w:rPr>
            </w:pPr>
          </w:p>
        </w:tc>
        <w:tc>
          <w:tcPr>
            <w:tcW w:w="955" w:type="dxa"/>
            <w:tcBorders>
              <w:top w:val="single" w:color="auto" w:sz="4" w:space="0"/>
            </w:tcBorders>
            <w:shd w:val="clear" w:color="auto" w:fill="FFFFFF"/>
            <w:vAlign w:val="center"/>
          </w:tcPr>
          <w:p>
            <w:pPr>
              <w:pStyle w:val="12"/>
              <w:spacing w:line="240" w:lineRule="auto"/>
              <w:ind w:firstLine="0"/>
              <w:jc w:val="left"/>
              <w:rPr>
                <w:sz w:val="17"/>
                <w:szCs w:val="17"/>
              </w:rPr>
            </w:pPr>
            <w:r>
              <w:rPr>
                <w:sz w:val="17"/>
                <w:szCs w:val="17"/>
              </w:rPr>
              <w:t>收</w:t>
            </w:r>
          </w:p>
        </w:tc>
        <w:tc>
          <w:tcPr>
            <w:tcW w:w="3830" w:type="dxa"/>
            <w:tcBorders>
              <w:top w:val="single" w:color="auto" w:sz="4" w:space="0"/>
            </w:tcBorders>
            <w:shd w:val="clear" w:color="auto" w:fill="FFFFFF"/>
            <w:vAlign w:val="center"/>
          </w:tcPr>
          <w:p>
            <w:pPr>
              <w:pStyle w:val="12"/>
              <w:spacing w:line="240" w:lineRule="auto"/>
              <w:ind w:firstLine="340"/>
              <w:jc w:val="left"/>
              <w:rPr>
                <w:sz w:val="17"/>
                <w:szCs w:val="17"/>
              </w:rPr>
            </w:pPr>
            <w:r>
              <w:rPr>
                <w:sz w:val="17"/>
                <w:szCs w:val="17"/>
              </w:rPr>
              <w:t>入</w:t>
            </w:r>
          </w:p>
        </w:tc>
        <w:tc>
          <w:tcPr>
            <w:tcW w:w="3826" w:type="dxa"/>
            <w:tcBorders>
              <w:top w:val="single" w:color="auto" w:sz="4" w:space="0"/>
              <w:left w:val="single" w:color="auto" w:sz="4" w:space="0"/>
            </w:tcBorders>
            <w:shd w:val="clear" w:color="auto" w:fill="FFFFFF"/>
            <w:vAlign w:val="center"/>
          </w:tcPr>
          <w:p>
            <w:pPr>
              <w:pStyle w:val="12"/>
              <w:spacing w:line="240" w:lineRule="auto"/>
              <w:ind w:right="340" w:firstLine="2720" w:firstLineChars="1600"/>
              <w:jc w:val="left"/>
              <w:rPr>
                <w:sz w:val="17"/>
                <w:szCs w:val="17"/>
              </w:rPr>
            </w:pPr>
            <w:r>
              <w:rPr>
                <w:sz w:val="17"/>
                <w:szCs w:val="17"/>
              </w:rPr>
              <w:t>支</w:t>
            </w:r>
          </w:p>
        </w:tc>
        <w:tc>
          <w:tcPr>
            <w:tcW w:w="3845" w:type="dxa"/>
            <w:tcBorders>
              <w:top w:val="single" w:color="auto" w:sz="4" w:space="0"/>
              <w:right w:val="single" w:color="auto" w:sz="4" w:space="0"/>
            </w:tcBorders>
            <w:shd w:val="clear" w:color="auto" w:fill="FFFFFF"/>
            <w:vAlign w:val="center"/>
          </w:tcPr>
          <w:p>
            <w:pPr>
              <w:pStyle w:val="12"/>
              <w:spacing w:line="240" w:lineRule="auto"/>
              <w:ind w:firstLine="935" w:firstLineChars="550"/>
              <w:jc w:val="left"/>
              <w:rPr>
                <w:sz w:val="17"/>
                <w:szCs w:val="17"/>
              </w:rPr>
            </w:pPr>
            <w:r>
              <w:rPr>
                <w:sz w:val="17"/>
                <w:szCs w:val="17"/>
              </w:rPr>
              <w:t>出</w:t>
            </w:r>
          </w:p>
        </w:tc>
      </w:tr>
      <w:tr>
        <w:tblPrEx>
          <w:tblCellMar>
            <w:top w:w="0" w:type="dxa"/>
            <w:left w:w="10" w:type="dxa"/>
            <w:bottom w:w="0" w:type="dxa"/>
            <w:right w:w="10" w:type="dxa"/>
          </w:tblCellMar>
        </w:tblPrEx>
        <w:trPr>
          <w:gridAfter w:val="1"/>
          <w:wAfter w:w="1" w:type="dxa"/>
          <w:trHeight w:val="451" w:hRule="exact"/>
        </w:trPr>
        <w:tc>
          <w:tcPr>
            <w:tcW w:w="3840" w:type="dxa"/>
            <w:gridSpan w:val="2"/>
            <w:tcBorders>
              <w:top w:val="single" w:color="auto" w:sz="4" w:space="0"/>
              <w:left w:val="single" w:color="auto" w:sz="4" w:space="0"/>
            </w:tcBorders>
            <w:shd w:val="clear" w:color="auto" w:fill="FFFFFF"/>
            <w:vAlign w:val="center"/>
          </w:tcPr>
          <w:p>
            <w:pPr>
              <w:pStyle w:val="12"/>
              <w:spacing w:line="240" w:lineRule="auto"/>
              <w:ind w:firstLine="0"/>
              <w:jc w:val="center"/>
              <w:rPr>
                <w:sz w:val="17"/>
                <w:szCs w:val="17"/>
              </w:rPr>
            </w:pPr>
            <w:r>
              <w:rPr>
                <w:sz w:val="17"/>
                <w:szCs w:val="17"/>
              </w:rPr>
              <w:t>项目</w:t>
            </w:r>
          </w:p>
        </w:tc>
        <w:tc>
          <w:tcPr>
            <w:tcW w:w="3830" w:type="dxa"/>
            <w:tcBorders>
              <w:top w:val="single" w:color="auto" w:sz="4" w:space="0"/>
              <w:left w:val="single" w:color="auto" w:sz="4" w:space="0"/>
            </w:tcBorders>
            <w:shd w:val="clear" w:color="auto" w:fill="FFFFFF"/>
            <w:vAlign w:val="center"/>
          </w:tcPr>
          <w:p>
            <w:pPr>
              <w:pStyle w:val="12"/>
              <w:spacing w:line="240" w:lineRule="auto"/>
              <w:ind w:firstLine="0"/>
              <w:jc w:val="center"/>
              <w:rPr>
                <w:sz w:val="17"/>
                <w:szCs w:val="17"/>
              </w:rPr>
            </w:pPr>
            <w:r>
              <w:rPr>
                <w:sz w:val="17"/>
                <w:szCs w:val="17"/>
              </w:rPr>
              <w:t>预算数</w:t>
            </w:r>
          </w:p>
        </w:tc>
        <w:tc>
          <w:tcPr>
            <w:tcW w:w="3826" w:type="dxa"/>
            <w:tcBorders>
              <w:top w:val="single" w:color="auto" w:sz="4" w:space="0"/>
              <w:left w:val="single" w:color="auto" w:sz="4" w:space="0"/>
            </w:tcBorders>
            <w:shd w:val="clear" w:color="auto" w:fill="FFFFFF"/>
            <w:vAlign w:val="center"/>
          </w:tcPr>
          <w:p>
            <w:pPr>
              <w:pStyle w:val="12"/>
              <w:tabs>
                <w:tab w:val="left" w:pos="1034"/>
              </w:tabs>
              <w:spacing w:line="240" w:lineRule="auto"/>
              <w:ind w:firstLine="540"/>
              <w:jc w:val="center"/>
              <w:rPr>
                <w:sz w:val="17"/>
                <w:szCs w:val="17"/>
              </w:rPr>
            </w:pPr>
            <w:r>
              <w:rPr>
                <w:sz w:val="17"/>
                <w:szCs w:val="17"/>
              </w:rPr>
              <w:t>项</w:t>
            </w:r>
            <w:r>
              <w:rPr>
                <w:sz w:val="17"/>
                <w:szCs w:val="17"/>
              </w:rPr>
              <w:tab/>
            </w:r>
            <w:r>
              <w:rPr>
                <w:sz w:val="17"/>
                <w:szCs w:val="17"/>
              </w:rPr>
              <w:t>目（按支出功能科目分类）</w:t>
            </w:r>
          </w:p>
        </w:tc>
        <w:tc>
          <w:tcPr>
            <w:tcW w:w="3845" w:type="dxa"/>
            <w:tcBorders>
              <w:top w:val="single" w:color="auto" w:sz="4" w:space="0"/>
              <w:left w:val="single" w:color="auto" w:sz="4" w:space="0"/>
              <w:right w:val="single" w:color="auto" w:sz="4" w:space="0"/>
            </w:tcBorders>
            <w:shd w:val="clear" w:color="auto" w:fill="FFFFFF"/>
            <w:vAlign w:val="center"/>
          </w:tcPr>
          <w:p>
            <w:pPr>
              <w:pStyle w:val="12"/>
              <w:spacing w:line="240" w:lineRule="auto"/>
              <w:ind w:firstLine="0"/>
              <w:jc w:val="center"/>
              <w:rPr>
                <w:sz w:val="17"/>
                <w:szCs w:val="17"/>
              </w:rPr>
            </w:pPr>
            <w:r>
              <w:rPr>
                <w:sz w:val="17"/>
                <w:szCs w:val="17"/>
              </w:rPr>
              <w:t>预算数</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一、一般公共预算拨款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169.46</w:t>
            </w: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一、一般公共服务支出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二、外交支出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169.46</w:t>
            </w: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三、国防支出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二、政府性基金预算拨款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四、公共安全支出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五、教育支出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六、科学技术支出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三、国有资本经营预算拨款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七、文化旅游体育与传媒支出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八、社会保障和就业支出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九、卫生健康支出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十、节能环保支出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十一、城乡社区支出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十二、农林水支出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169.46</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十三、交通运输支出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十四、资源勘探工业信息等支出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十五、商业服务业等支出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十六、金融支出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十七、援助其他地区支出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十八、自然资源海洋气象等支出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十九、住房保障支出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二十、粮油物资储备支出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二十一、国有资本经营预算支出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二十二、灾害防治及应急管理支出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二十三、其他支出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二十四、债务还本支出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二十五、债务付息支出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二十六、债务发行费用支出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本年收入合计</w:t>
            </w: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169.46</w:t>
            </w: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本年支出合计</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169.46</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上年结转结余</w:t>
            </w: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结转下年支出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收入总计</w:t>
            </w:r>
          </w:p>
        </w:tc>
        <w:tc>
          <w:tcPr>
            <w:tcW w:w="383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169.46</w:t>
            </w:r>
          </w:p>
        </w:tc>
        <w:tc>
          <w:tcPr>
            <w:tcW w:w="3826"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00"/>
              <w:jc w:val="left"/>
              <w:rPr>
                <w:rFonts w:hint="default"/>
                <w:sz w:val="17"/>
                <w:szCs w:val="17"/>
                <w:lang w:val="en-US" w:eastAsia="zh-CN"/>
              </w:rPr>
            </w:pPr>
            <w:r>
              <w:rPr>
                <w:rFonts w:hint="eastAsia"/>
                <w:sz w:val="17"/>
                <w:szCs w:val="17"/>
                <w:lang w:val="en-US" w:eastAsia="zh-CN"/>
              </w:rPr>
              <w:t>支出总计</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200"/>
              <w:jc w:val="right"/>
              <w:rPr>
                <w:rFonts w:hint="default"/>
                <w:sz w:val="17"/>
                <w:szCs w:val="17"/>
                <w:lang w:val="en-US" w:eastAsia="zh-CN"/>
              </w:rPr>
            </w:pPr>
            <w:r>
              <w:rPr>
                <w:rFonts w:hint="eastAsia"/>
                <w:sz w:val="17"/>
                <w:szCs w:val="17"/>
                <w:lang w:val="en-US" w:eastAsia="zh-CN"/>
              </w:rPr>
              <w:t>169.46</w:t>
            </w:r>
          </w:p>
        </w:tc>
      </w:tr>
      <w:tr>
        <w:tblPrEx>
          <w:tblCellMar>
            <w:top w:w="0" w:type="dxa"/>
            <w:left w:w="10" w:type="dxa"/>
            <w:bottom w:w="0" w:type="dxa"/>
            <w:right w:w="10" w:type="dxa"/>
          </w:tblCellMar>
        </w:tblPrEx>
        <w:trPr>
          <w:trHeight w:val="352" w:hRule="exact"/>
        </w:trPr>
        <w:tc>
          <w:tcPr>
            <w:tcW w:w="15342" w:type="dxa"/>
            <w:gridSpan w:val="6"/>
            <w:tcBorders>
              <w:top w:val="single" w:color="auto" w:sz="4" w:space="0"/>
            </w:tcBorders>
            <w:shd w:val="clear" w:color="auto" w:fill="FFFFFF"/>
          </w:tcPr>
          <w:p>
            <w:pPr>
              <w:jc w:val="left"/>
              <w:rPr>
                <w:sz w:val="10"/>
                <w:szCs w:val="10"/>
                <w:lang w:eastAsia="zh-CN"/>
              </w:rPr>
            </w:pPr>
            <w:r>
              <w:rPr>
                <w:sz w:val="17"/>
                <w:szCs w:val="17"/>
              </w:rPr>
              <w:t>注：表中功能分类科目，根据各部门实际预算编制情况编列。</w:t>
            </w:r>
          </w:p>
        </w:tc>
      </w:tr>
      <w:tr>
        <w:tblPrEx>
          <w:tblCellMar>
            <w:top w:w="0" w:type="dxa"/>
            <w:left w:w="10" w:type="dxa"/>
            <w:bottom w:w="0" w:type="dxa"/>
            <w:right w:w="10" w:type="dxa"/>
          </w:tblCellMar>
        </w:tblPrEx>
        <w:trPr>
          <w:trHeight w:val="274" w:hRule="exact"/>
        </w:trPr>
        <w:tc>
          <w:tcPr>
            <w:tcW w:w="15342" w:type="dxa"/>
            <w:gridSpan w:val="6"/>
            <w:shd w:val="clear" w:color="auto" w:fill="FFFFFF"/>
            <w:vAlign w:val="bottom"/>
          </w:tcPr>
          <w:p>
            <w:pPr>
              <w:jc w:val="left"/>
              <w:rPr>
                <w:sz w:val="10"/>
                <w:szCs w:val="10"/>
                <w:lang w:eastAsia="zh-CN"/>
              </w:rPr>
            </w:pPr>
            <w:r>
              <w:rPr>
                <w:sz w:val="17"/>
                <w:szCs w:val="17"/>
              </w:rPr>
              <w:t>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一般公共预算支出情况表</w:t>
      </w:r>
    </w:p>
    <w:p>
      <w:pPr>
        <w:jc w:val="center"/>
        <w:rPr>
          <w:rFonts w:hint="eastAsia"/>
          <w:lang w:eastAsia="zh-CN"/>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3"/>
        <w:gridCol w:w="1600"/>
        <w:gridCol w:w="1574"/>
        <w:gridCol w:w="1744"/>
        <w:gridCol w:w="2050"/>
        <w:gridCol w:w="1804"/>
        <w:gridCol w:w="1712"/>
        <w:gridCol w:w="71"/>
        <w:gridCol w:w="1677"/>
        <w:gridCol w:w="1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96" w:type="dxa"/>
            <w:gridSpan w:val="7"/>
            <w:tcBorders>
              <w:top w:val="nil"/>
              <w:left w:val="nil"/>
              <w:right w:val="nil"/>
            </w:tcBorders>
          </w:tcPr>
          <w:p>
            <w:pPr>
              <w:jc w:val="left"/>
              <w:rPr>
                <w:rFonts w:hint="eastAsia"/>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环江毛南族自治县长美乡爱洞村村民委员会                                                            </w:t>
            </w:r>
            <w:r>
              <w:rPr>
                <w:rFonts w:hint="eastAsia" w:ascii="宋体" w:hAnsi="宋体" w:eastAsia="宋体"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hint="eastAsia" w:ascii="宋体" w:hAnsi="宋体" w:eastAsia="宋体" w:cs="宋体"/>
                <w:sz w:val="16"/>
                <w:szCs w:val="16"/>
                <w:vertAlign w:val="baseline"/>
                <w:lang w:eastAsia="zh-CN"/>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Merge w:val="restart"/>
          </w:tcPr>
          <w:p>
            <w:pPr>
              <w:jc w:val="center"/>
              <w:rPr>
                <w:rFonts w:hint="eastAsia"/>
                <w:vertAlign w:val="baseline"/>
                <w:lang w:eastAsia="zh-CN"/>
              </w:rPr>
            </w:pPr>
            <w:r>
              <w:rPr>
                <w:sz w:val="17"/>
                <w:szCs w:val="17"/>
              </w:rPr>
              <w:t>科目编码</w:t>
            </w:r>
          </w:p>
        </w:tc>
        <w:tc>
          <w:tcPr>
            <w:tcW w:w="1676" w:type="dxa"/>
            <w:vMerge w:val="restart"/>
          </w:tcPr>
          <w:p>
            <w:pPr>
              <w:jc w:val="center"/>
              <w:rPr>
                <w:rFonts w:hint="eastAsia"/>
                <w:vertAlign w:val="baseline"/>
                <w:lang w:eastAsia="zh-CN"/>
              </w:rPr>
            </w:pPr>
            <w:r>
              <w:rPr>
                <w:sz w:val="17"/>
                <w:szCs w:val="17"/>
              </w:rPr>
              <w:t>部门（单位）代码</w:t>
            </w:r>
          </w:p>
        </w:tc>
        <w:tc>
          <w:tcPr>
            <w:tcW w:w="1662" w:type="dxa"/>
            <w:vMerge w:val="restart"/>
          </w:tcPr>
          <w:p>
            <w:pPr>
              <w:pStyle w:val="12"/>
              <w:spacing w:after="120" w:line="240" w:lineRule="auto"/>
              <w:ind w:firstLine="0"/>
              <w:jc w:val="center"/>
              <w:rPr>
                <w:sz w:val="17"/>
                <w:szCs w:val="17"/>
              </w:rPr>
            </w:pPr>
            <w:r>
              <w:rPr>
                <w:sz w:val="17"/>
                <w:szCs w:val="17"/>
              </w:rPr>
              <w:t>部门（单位）名称</w:t>
            </w:r>
          </w:p>
          <w:p>
            <w:pPr>
              <w:jc w:val="center"/>
              <w:rPr>
                <w:rFonts w:hint="eastAsia"/>
                <w:vertAlign w:val="baseline"/>
                <w:lang w:eastAsia="zh-CN"/>
              </w:rPr>
            </w:pPr>
            <w:r>
              <w:rPr>
                <w:sz w:val="17"/>
                <w:szCs w:val="17"/>
              </w:rPr>
              <w:t>（功能分类科目名称）</w:t>
            </w:r>
          </w:p>
        </w:tc>
        <w:tc>
          <w:tcPr>
            <w:tcW w:w="1717" w:type="dxa"/>
            <w:vMerge w:val="restart"/>
          </w:tcPr>
          <w:p>
            <w:pPr>
              <w:jc w:val="center"/>
              <w:rPr>
                <w:rFonts w:hint="eastAsia"/>
                <w:vertAlign w:val="baseline"/>
                <w:lang w:eastAsia="zh-CN"/>
              </w:rPr>
            </w:pPr>
            <w:r>
              <w:rPr>
                <w:sz w:val="17"/>
                <w:szCs w:val="17"/>
              </w:rPr>
              <w:t>合计</w:t>
            </w:r>
          </w:p>
        </w:tc>
        <w:tc>
          <w:tcPr>
            <w:tcW w:w="5398" w:type="dxa"/>
            <w:gridSpan w:val="4"/>
          </w:tcPr>
          <w:p>
            <w:pPr>
              <w:jc w:val="center"/>
              <w:rPr>
                <w:rFonts w:hint="eastAsia"/>
                <w:vertAlign w:val="baseline"/>
                <w:lang w:eastAsia="zh-CN"/>
              </w:rPr>
            </w:pPr>
            <w:r>
              <w:rPr>
                <w:sz w:val="17"/>
                <w:szCs w:val="17"/>
              </w:rPr>
              <w:t>基本支出</w:t>
            </w:r>
          </w:p>
        </w:tc>
        <w:tc>
          <w:tcPr>
            <w:tcW w:w="1694" w:type="dxa"/>
            <w:vMerge w:val="restart"/>
          </w:tcPr>
          <w:p>
            <w:pPr>
              <w:jc w:val="center"/>
              <w:rPr>
                <w:rFonts w:hint="eastAsia"/>
                <w:vertAlign w:val="baseline"/>
                <w:lang w:eastAsia="zh-CN"/>
              </w:rPr>
            </w:pPr>
            <w:r>
              <w:rPr>
                <w:sz w:val="17"/>
                <w:szCs w:val="17"/>
              </w:rPr>
              <w:t>项目支出</w:t>
            </w:r>
          </w:p>
        </w:tc>
        <w:tc>
          <w:tcPr>
            <w:tcW w:w="1695" w:type="dxa"/>
            <w:vMerge w:val="restart"/>
          </w:tcPr>
          <w:p>
            <w:pPr>
              <w:jc w:val="center"/>
              <w:rPr>
                <w:rFonts w:hint="eastAsia"/>
                <w:vertAlign w:val="baseline"/>
                <w:lang w:eastAsia="zh-CN"/>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Merge w:val="continue"/>
          </w:tcPr>
          <w:p>
            <w:pPr>
              <w:jc w:val="center"/>
              <w:rPr>
                <w:rFonts w:hint="eastAsia"/>
                <w:vertAlign w:val="baseline"/>
                <w:lang w:eastAsia="zh-CN"/>
              </w:rPr>
            </w:pPr>
          </w:p>
        </w:tc>
        <w:tc>
          <w:tcPr>
            <w:tcW w:w="1676" w:type="dxa"/>
            <w:vMerge w:val="continue"/>
          </w:tcPr>
          <w:p>
            <w:pPr>
              <w:jc w:val="center"/>
              <w:rPr>
                <w:rFonts w:hint="eastAsia"/>
                <w:vertAlign w:val="baseline"/>
                <w:lang w:eastAsia="zh-CN"/>
              </w:rPr>
            </w:pPr>
          </w:p>
        </w:tc>
        <w:tc>
          <w:tcPr>
            <w:tcW w:w="1662" w:type="dxa"/>
            <w:vMerge w:val="continue"/>
          </w:tcPr>
          <w:p>
            <w:pPr>
              <w:jc w:val="center"/>
              <w:rPr>
                <w:rFonts w:hint="eastAsia"/>
                <w:vertAlign w:val="baseline"/>
                <w:lang w:eastAsia="zh-CN"/>
              </w:rPr>
            </w:pPr>
          </w:p>
        </w:tc>
        <w:tc>
          <w:tcPr>
            <w:tcW w:w="1717" w:type="dxa"/>
            <w:vMerge w:val="continue"/>
          </w:tcPr>
          <w:p>
            <w:pPr>
              <w:jc w:val="center"/>
              <w:rPr>
                <w:rFonts w:hint="eastAsia"/>
                <w:vertAlign w:val="baseline"/>
                <w:lang w:eastAsia="zh-CN"/>
              </w:rPr>
            </w:pPr>
          </w:p>
        </w:tc>
        <w:tc>
          <w:tcPr>
            <w:tcW w:w="1879" w:type="dxa"/>
            <w:vAlign w:val="center"/>
          </w:tcPr>
          <w:p>
            <w:pPr>
              <w:pStyle w:val="12"/>
              <w:spacing w:line="240" w:lineRule="auto"/>
              <w:ind w:firstLine="0" w:firstLineChars="0"/>
              <w:jc w:val="center"/>
              <w:rPr>
                <w:rFonts w:hint="eastAsia"/>
                <w:vertAlign w:val="baseline"/>
                <w:lang w:eastAsia="zh-CN"/>
              </w:rPr>
            </w:pPr>
            <w:r>
              <w:rPr>
                <w:sz w:val="17"/>
                <w:szCs w:val="17"/>
              </w:rPr>
              <w:t>小计</w:t>
            </w:r>
          </w:p>
        </w:tc>
        <w:tc>
          <w:tcPr>
            <w:tcW w:w="1729" w:type="dxa"/>
            <w:vAlign w:val="center"/>
          </w:tcPr>
          <w:p>
            <w:pPr>
              <w:pStyle w:val="12"/>
              <w:spacing w:line="240" w:lineRule="auto"/>
              <w:ind w:firstLine="0" w:firstLineChars="0"/>
              <w:jc w:val="center"/>
              <w:rPr>
                <w:rFonts w:hint="eastAsia"/>
                <w:vertAlign w:val="baseline"/>
                <w:lang w:eastAsia="zh-CN"/>
              </w:rPr>
            </w:pPr>
            <w:r>
              <w:rPr>
                <w:sz w:val="17"/>
                <w:szCs w:val="17"/>
              </w:rPr>
              <w:t>人员经费</w:t>
            </w:r>
          </w:p>
        </w:tc>
        <w:tc>
          <w:tcPr>
            <w:tcW w:w="1790" w:type="dxa"/>
            <w:gridSpan w:val="2"/>
            <w:vAlign w:val="center"/>
          </w:tcPr>
          <w:p>
            <w:pPr>
              <w:pStyle w:val="12"/>
              <w:spacing w:line="240" w:lineRule="auto"/>
              <w:ind w:firstLine="440" w:firstLineChars="0"/>
              <w:jc w:val="center"/>
              <w:rPr>
                <w:rFonts w:hint="eastAsia"/>
                <w:vertAlign w:val="baseline"/>
                <w:lang w:eastAsia="zh-CN"/>
              </w:rPr>
            </w:pPr>
            <w:r>
              <w:rPr>
                <w:sz w:val="17"/>
                <w:szCs w:val="17"/>
              </w:rPr>
              <w:t>公用经费</w:t>
            </w:r>
          </w:p>
        </w:tc>
        <w:tc>
          <w:tcPr>
            <w:tcW w:w="1694" w:type="dxa"/>
            <w:vMerge w:val="continue"/>
          </w:tcPr>
          <w:p>
            <w:pPr>
              <w:jc w:val="center"/>
              <w:rPr>
                <w:rFonts w:hint="eastAsia"/>
                <w:vertAlign w:val="baseline"/>
                <w:lang w:eastAsia="zh-CN"/>
              </w:rPr>
            </w:pPr>
          </w:p>
        </w:tc>
        <w:tc>
          <w:tcPr>
            <w:tcW w:w="1695" w:type="dxa"/>
            <w:vMerge w:val="continue"/>
          </w:tcPr>
          <w:p>
            <w:pPr>
              <w:jc w:val="cente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12"/>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1</w:t>
            </w:r>
          </w:p>
        </w:tc>
        <w:tc>
          <w:tcPr>
            <w:tcW w:w="1879" w:type="dxa"/>
            <w:vAlign w:val="center"/>
          </w:tcPr>
          <w:p>
            <w:pPr>
              <w:pStyle w:val="12"/>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2</w:t>
            </w:r>
          </w:p>
        </w:tc>
        <w:tc>
          <w:tcPr>
            <w:tcW w:w="1729" w:type="dxa"/>
            <w:vAlign w:val="center"/>
          </w:tcPr>
          <w:p>
            <w:pPr>
              <w:pStyle w:val="12"/>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3</w:t>
            </w:r>
          </w:p>
        </w:tc>
        <w:tc>
          <w:tcPr>
            <w:tcW w:w="1790" w:type="dxa"/>
            <w:gridSpan w:val="2"/>
            <w:vAlign w:val="center"/>
          </w:tcPr>
          <w:p>
            <w:pPr>
              <w:pStyle w:val="12"/>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4</w:t>
            </w:r>
          </w:p>
        </w:tc>
        <w:tc>
          <w:tcPr>
            <w:tcW w:w="1694" w:type="dxa"/>
            <w:vAlign w:val="center"/>
          </w:tcPr>
          <w:p>
            <w:pPr>
              <w:pStyle w:val="12"/>
              <w:spacing w:line="240" w:lineRule="auto"/>
              <w:ind w:firstLine="660" w:firstLineChars="0"/>
              <w:jc w:val="center"/>
              <w:rPr>
                <w:rFonts w:hint="eastAsia"/>
                <w:vertAlign w:val="baseline"/>
                <w:lang w:eastAsia="zh-CN"/>
              </w:rPr>
            </w:pPr>
            <w:r>
              <w:rPr>
                <w:rFonts w:ascii="Times New Roman" w:hAnsi="Times New Roman" w:eastAsia="Times New Roman" w:cs="Times New Roman"/>
                <w:b/>
                <w:bCs/>
                <w:sz w:val="17"/>
                <w:szCs w:val="17"/>
              </w:rPr>
              <w:t>5</w:t>
            </w:r>
          </w:p>
        </w:tc>
        <w:tc>
          <w:tcPr>
            <w:tcW w:w="1695" w:type="dxa"/>
            <w:vAlign w:val="center"/>
          </w:tcPr>
          <w:p>
            <w:pPr>
              <w:pStyle w:val="12"/>
              <w:spacing w:line="240" w:lineRule="auto"/>
              <w:ind w:right="700" w:rightChars="0" w:firstLine="0" w:firstLineChars="0"/>
              <w:jc w:val="center"/>
              <w:rPr>
                <w:rFonts w:hint="eastAsia"/>
                <w:vertAlign w:val="baseline"/>
                <w:lang w:eastAsia="zh-CN"/>
              </w:rPr>
            </w:pPr>
            <w:r>
              <w:rPr>
                <w:rFonts w:ascii="Times New Roman" w:hAnsi="Times New Roman" w:eastAsia="Times New Roman" w:cs="Times New Roman"/>
                <w:b/>
                <w:bCs/>
                <w:sz w:val="17"/>
                <w:szCs w:val="17"/>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12"/>
              <w:spacing w:line="240" w:lineRule="auto"/>
              <w:ind w:firstLine="0" w:firstLineChars="0"/>
              <w:jc w:val="center"/>
              <w:rPr>
                <w:rFonts w:hint="eastAsia"/>
                <w:vertAlign w:val="baseline"/>
                <w:lang w:eastAsia="zh-CN"/>
              </w:rPr>
            </w:pPr>
          </w:p>
        </w:tc>
        <w:tc>
          <w:tcPr>
            <w:tcW w:w="1676" w:type="dxa"/>
            <w:vAlign w:val="center"/>
          </w:tcPr>
          <w:p>
            <w:pPr>
              <w:pStyle w:val="12"/>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708007</w:t>
            </w:r>
          </w:p>
        </w:tc>
        <w:tc>
          <w:tcPr>
            <w:tcW w:w="1662" w:type="dxa"/>
            <w:vAlign w:val="center"/>
          </w:tcPr>
          <w:p>
            <w:pPr>
              <w:pStyle w:val="12"/>
              <w:spacing w:line="240" w:lineRule="auto"/>
              <w:ind w:firstLine="0" w:firstLineChars="0"/>
              <w:jc w:val="center"/>
              <w:rPr>
                <w:rFonts w:hint="eastAsia"/>
                <w:vertAlign w:val="baseline"/>
                <w:lang w:eastAsia="zh-CN"/>
              </w:rPr>
            </w:pPr>
          </w:p>
        </w:tc>
        <w:tc>
          <w:tcPr>
            <w:tcW w:w="1717" w:type="dxa"/>
            <w:vAlign w:val="center"/>
          </w:tcPr>
          <w:p>
            <w:pPr>
              <w:pStyle w:val="12"/>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169.46</w:t>
            </w:r>
          </w:p>
        </w:tc>
        <w:tc>
          <w:tcPr>
            <w:tcW w:w="1879" w:type="dxa"/>
            <w:vAlign w:val="center"/>
          </w:tcPr>
          <w:p>
            <w:pPr>
              <w:pStyle w:val="12"/>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169.46</w:t>
            </w:r>
          </w:p>
        </w:tc>
        <w:tc>
          <w:tcPr>
            <w:tcW w:w="1729" w:type="dxa"/>
            <w:vAlign w:val="center"/>
          </w:tcPr>
          <w:p>
            <w:pPr>
              <w:pStyle w:val="12"/>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149.21</w:t>
            </w:r>
          </w:p>
        </w:tc>
        <w:tc>
          <w:tcPr>
            <w:tcW w:w="1790" w:type="dxa"/>
            <w:gridSpan w:val="2"/>
            <w:vAlign w:val="center"/>
          </w:tcPr>
          <w:p>
            <w:pPr>
              <w:pStyle w:val="12"/>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20.25</w:t>
            </w:r>
          </w:p>
        </w:tc>
        <w:tc>
          <w:tcPr>
            <w:tcW w:w="1694" w:type="dxa"/>
            <w:vAlign w:val="center"/>
          </w:tcPr>
          <w:p>
            <w:pPr>
              <w:pStyle w:val="12"/>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12"/>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12"/>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2130705</w:t>
            </w:r>
          </w:p>
        </w:tc>
        <w:tc>
          <w:tcPr>
            <w:tcW w:w="1676" w:type="dxa"/>
            <w:vAlign w:val="center"/>
          </w:tcPr>
          <w:p>
            <w:pPr>
              <w:pStyle w:val="12"/>
              <w:spacing w:line="240" w:lineRule="auto"/>
              <w:ind w:firstLine="0" w:firstLineChars="0"/>
              <w:jc w:val="center"/>
              <w:rPr>
                <w:rFonts w:hint="eastAsia"/>
                <w:vertAlign w:val="baseline"/>
                <w:lang w:eastAsia="zh-CN"/>
              </w:rPr>
            </w:pPr>
          </w:p>
        </w:tc>
        <w:tc>
          <w:tcPr>
            <w:tcW w:w="1662" w:type="dxa"/>
            <w:vAlign w:val="center"/>
          </w:tcPr>
          <w:p>
            <w:pPr>
              <w:pStyle w:val="12"/>
              <w:spacing w:line="240" w:lineRule="auto"/>
              <w:ind w:firstLine="0" w:firstLineChars="0"/>
              <w:jc w:val="center"/>
              <w:rPr>
                <w:rFonts w:hint="eastAsia"/>
                <w:vertAlign w:val="baseline"/>
                <w:lang w:eastAsia="zh-CN"/>
              </w:rPr>
            </w:pPr>
            <w:r>
              <w:rPr>
                <w:rFonts w:hint="eastAsia"/>
                <w:sz w:val="17"/>
                <w:szCs w:val="17"/>
                <w:lang w:val="en-US" w:eastAsia="zh-CN"/>
              </w:rPr>
              <w:t>对村民委员会和村党支部的补助</w:t>
            </w:r>
          </w:p>
        </w:tc>
        <w:tc>
          <w:tcPr>
            <w:tcW w:w="1717" w:type="dxa"/>
            <w:vAlign w:val="center"/>
          </w:tcPr>
          <w:p>
            <w:pPr>
              <w:pStyle w:val="12"/>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169.46</w:t>
            </w:r>
          </w:p>
        </w:tc>
        <w:tc>
          <w:tcPr>
            <w:tcW w:w="1879" w:type="dxa"/>
            <w:vAlign w:val="center"/>
          </w:tcPr>
          <w:p>
            <w:pPr>
              <w:pStyle w:val="12"/>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169.46</w:t>
            </w:r>
          </w:p>
        </w:tc>
        <w:tc>
          <w:tcPr>
            <w:tcW w:w="1729" w:type="dxa"/>
            <w:vAlign w:val="center"/>
          </w:tcPr>
          <w:p>
            <w:pPr>
              <w:pStyle w:val="12"/>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149.21</w:t>
            </w:r>
          </w:p>
        </w:tc>
        <w:tc>
          <w:tcPr>
            <w:tcW w:w="1790" w:type="dxa"/>
            <w:gridSpan w:val="2"/>
            <w:vAlign w:val="center"/>
          </w:tcPr>
          <w:p>
            <w:pPr>
              <w:pStyle w:val="12"/>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20.25</w:t>
            </w:r>
          </w:p>
        </w:tc>
        <w:tc>
          <w:tcPr>
            <w:tcW w:w="1694" w:type="dxa"/>
            <w:vAlign w:val="center"/>
          </w:tcPr>
          <w:p>
            <w:pPr>
              <w:pStyle w:val="12"/>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12"/>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10"/>
            <w:tcBorders>
              <w:left w:val="nil"/>
              <w:bottom w:val="nil"/>
              <w:right w:val="nil"/>
            </w:tcBorders>
          </w:tcPr>
          <w:p>
            <w:pPr>
              <w:jc w:val="left"/>
              <w:rPr>
                <w:rFonts w:hint="eastAsia"/>
                <w:vertAlign w:val="baseline"/>
                <w:lang w:eastAsia="zh-CN"/>
              </w:rPr>
            </w:pPr>
            <w:r>
              <w:rPr>
                <w:sz w:val="16"/>
                <w:szCs w:val="16"/>
              </w:rPr>
              <w:t>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11"/>
        <w:keepNext/>
        <w:keepLines/>
        <w:spacing w:after="240"/>
        <w:jc w:val="center"/>
      </w:pPr>
      <w:bookmarkStart w:id="25" w:name="bookmark56"/>
      <w:bookmarkStart w:id="26" w:name="bookmark57"/>
      <w:bookmarkStart w:id="27" w:name="bookmark58"/>
      <w:r>
        <w:t>一般公共预算基本支出情况表</w:t>
      </w:r>
      <w:bookmarkEnd w:id="25"/>
      <w:bookmarkEnd w:id="26"/>
      <w:bookmarkEnd w:id="27"/>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0"/>
        <w:gridCol w:w="3111"/>
        <w:gridCol w:w="3111"/>
        <w:gridCol w:w="3112"/>
        <w:gridCol w:w="3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4" w:type="dxa"/>
            <w:gridSpan w:val="4"/>
            <w:tcBorders>
              <w:top w:val="nil"/>
              <w:left w:val="nil"/>
              <w:right w:val="nil"/>
            </w:tcBorders>
          </w:tcPr>
          <w:p>
            <w:pPr>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环江毛南族自治县长美乡爱洞村村民委员会                                                          </w:t>
            </w:r>
            <w:r>
              <w:rPr>
                <w:rFonts w:hint="eastAsia" w:ascii="宋体" w:hAnsi="宋体" w:eastAsia="宋体"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 xml:space="preserve">单位：万元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221" w:type="dxa"/>
            <w:gridSpan w:val="2"/>
          </w:tcPr>
          <w:p>
            <w:pPr>
              <w:jc w:val="left"/>
              <w:rPr>
                <w:vertAlign w:val="baseline"/>
                <w:lang w:eastAsia="zh-CN"/>
              </w:rPr>
            </w:pPr>
            <w:r>
              <w:rPr>
                <w:sz w:val="17"/>
                <w:szCs w:val="17"/>
              </w:rPr>
              <w:t>部门预算支出经济分类科目</w:t>
            </w:r>
          </w:p>
        </w:tc>
        <w:tc>
          <w:tcPr>
            <w:tcW w:w="9336" w:type="dxa"/>
            <w:gridSpan w:val="3"/>
          </w:tcPr>
          <w:p>
            <w:pPr>
              <w:jc w:val="left"/>
              <w:rPr>
                <w:vertAlign w:val="baseline"/>
                <w:lang w:eastAsia="zh-CN"/>
              </w:rPr>
            </w:pPr>
            <w:r>
              <w:rPr>
                <w:sz w:val="17"/>
                <w:szCs w:val="17"/>
              </w:rPr>
              <w:t>本年一般公共预算基本支出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10" w:type="dxa"/>
            <w:vAlign w:val="center"/>
          </w:tcPr>
          <w:p>
            <w:pPr>
              <w:pStyle w:val="12"/>
              <w:spacing w:line="240" w:lineRule="auto"/>
              <w:ind w:firstLine="0" w:firstLineChars="0"/>
              <w:jc w:val="center"/>
              <w:rPr>
                <w:vertAlign w:val="baseline"/>
                <w:lang w:eastAsia="zh-CN"/>
              </w:rPr>
            </w:pPr>
            <w:r>
              <w:rPr>
                <w:sz w:val="17"/>
                <w:szCs w:val="17"/>
              </w:rPr>
              <w:t>科目编码</w:t>
            </w:r>
          </w:p>
        </w:tc>
        <w:tc>
          <w:tcPr>
            <w:tcW w:w="3111" w:type="dxa"/>
            <w:vAlign w:val="center"/>
          </w:tcPr>
          <w:p>
            <w:pPr>
              <w:pStyle w:val="12"/>
              <w:spacing w:line="240" w:lineRule="auto"/>
              <w:ind w:firstLine="0" w:firstLineChars="0"/>
              <w:jc w:val="center"/>
              <w:rPr>
                <w:vertAlign w:val="baseline"/>
                <w:lang w:eastAsia="zh-CN"/>
              </w:rPr>
            </w:pPr>
            <w:r>
              <w:rPr>
                <w:sz w:val="17"/>
                <w:szCs w:val="17"/>
              </w:rPr>
              <w:t>科目名称</w:t>
            </w:r>
          </w:p>
        </w:tc>
        <w:tc>
          <w:tcPr>
            <w:tcW w:w="3111" w:type="dxa"/>
            <w:vAlign w:val="center"/>
          </w:tcPr>
          <w:p>
            <w:pPr>
              <w:pStyle w:val="12"/>
              <w:spacing w:line="240" w:lineRule="auto"/>
              <w:ind w:firstLine="0" w:firstLineChars="0"/>
              <w:jc w:val="center"/>
              <w:rPr>
                <w:vertAlign w:val="baseline"/>
                <w:lang w:eastAsia="zh-CN"/>
              </w:rPr>
            </w:pPr>
            <w:r>
              <w:rPr>
                <w:sz w:val="17"/>
                <w:szCs w:val="17"/>
              </w:rPr>
              <w:t>合计</w:t>
            </w:r>
          </w:p>
        </w:tc>
        <w:tc>
          <w:tcPr>
            <w:tcW w:w="3112" w:type="dxa"/>
            <w:vAlign w:val="center"/>
          </w:tcPr>
          <w:p>
            <w:pPr>
              <w:pStyle w:val="12"/>
              <w:spacing w:line="240" w:lineRule="auto"/>
              <w:ind w:firstLine="0" w:firstLineChars="0"/>
              <w:jc w:val="center"/>
              <w:rPr>
                <w:vertAlign w:val="baseline"/>
                <w:lang w:eastAsia="zh-CN"/>
              </w:rPr>
            </w:pPr>
            <w:r>
              <w:rPr>
                <w:sz w:val="17"/>
                <w:szCs w:val="17"/>
              </w:rPr>
              <w:t>人员经费</w:t>
            </w:r>
          </w:p>
        </w:tc>
        <w:tc>
          <w:tcPr>
            <w:tcW w:w="3113" w:type="dxa"/>
            <w:vAlign w:val="center"/>
          </w:tcPr>
          <w:p>
            <w:pPr>
              <w:pStyle w:val="12"/>
              <w:spacing w:line="240" w:lineRule="auto"/>
              <w:ind w:firstLine="0" w:firstLineChars="0"/>
              <w:jc w:val="center"/>
              <w:rPr>
                <w:vertAlign w:val="baseline"/>
                <w:lang w:eastAsia="zh-CN"/>
              </w:rPr>
            </w:pPr>
            <w:r>
              <w:rPr>
                <w:sz w:val="17"/>
                <w:szCs w:val="17"/>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 xml:space="preserve"> </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合计</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169.46</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149.21</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商品和服务支出</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20.25</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30201</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办公费</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9.25</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9.25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30207</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邮电费</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1.20</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30211</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差旅费</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9.20</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30215</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会议费</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0.60</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303</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对个人和家庭的补助</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149.21</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149.21</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30305</w:t>
            </w:r>
          </w:p>
        </w:tc>
        <w:tc>
          <w:tcPr>
            <w:tcW w:w="3111" w:type="dxa"/>
            <w:vAlign w:val="center"/>
          </w:tcPr>
          <w:p>
            <w:pPr>
              <w:pStyle w:val="12"/>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生活补助</w:t>
            </w:r>
          </w:p>
        </w:tc>
        <w:tc>
          <w:tcPr>
            <w:tcW w:w="3111"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149.21</w:t>
            </w:r>
          </w:p>
        </w:tc>
        <w:tc>
          <w:tcPr>
            <w:tcW w:w="3112"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149.21</w:t>
            </w:r>
          </w:p>
        </w:tc>
        <w:tc>
          <w:tcPr>
            <w:tcW w:w="3113" w:type="dxa"/>
            <w:vAlign w:val="center"/>
          </w:tcPr>
          <w:p>
            <w:pPr>
              <w:pStyle w:val="12"/>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11"/>
        <w:keepNext/>
        <w:keepLines/>
        <w:spacing w:after="240"/>
        <w:jc w:val="center"/>
        <w:rPr>
          <w:rFonts w:hint="default"/>
          <w:sz w:val="28"/>
          <w:szCs w:val="28"/>
          <w:lang w:val="en-US" w:eastAsia="zh-CN"/>
        </w:rPr>
      </w:pPr>
      <w:bookmarkStart w:id="28" w:name="bookmark65"/>
      <w:bookmarkStart w:id="29" w:name="bookmark66"/>
      <w:bookmarkStart w:id="30" w:name="bookmark67"/>
      <w:r>
        <w:rPr>
          <w:rFonts w:hint="default"/>
          <w:sz w:val="28"/>
          <w:szCs w:val="28"/>
          <w:lang w:val="en-US" w:eastAsia="zh-CN"/>
        </w:rPr>
        <w:t>一般公共预算“三公”经费预算表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6"/>
        <w:gridCol w:w="1918"/>
        <w:gridCol w:w="1884"/>
        <w:gridCol w:w="1895"/>
        <w:gridCol w:w="1888"/>
        <w:gridCol w:w="1890"/>
        <w:gridCol w:w="1895"/>
        <w:gridCol w:w="2"/>
        <w:gridCol w:w="1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6" w:type="dxa"/>
            <w:gridSpan w:val="7"/>
            <w:tcBorders>
              <w:top w:val="nil"/>
              <w:left w:val="nil"/>
              <w:right w:val="nil"/>
            </w:tcBorders>
          </w:tcPr>
          <w:p>
            <w:pPr>
              <w:pStyle w:val="13"/>
              <w:bidi w:val="0"/>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环江毛南族自治县长美乡爱洞村村民委员会                                           </w:t>
            </w:r>
            <w:r>
              <w:rPr>
                <w:rFonts w:hint="eastAsia"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1891" w:type="dxa"/>
            <w:gridSpan w:val="2"/>
            <w:tcBorders>
              <w:top w:val="nil"/>
              <w:left w:val="nil"/>
              <w:right w:val="nil"/>
            </w:tcBorders>
          </w:tcPr>
          <w:p>
            <w:pPr>
              <w:pStyle w:val="13"/>
              <w:bidi w:val="0"/>
              <w:ind w:firstLine="480" w:firstLineChars="300"/>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 xml:space="preserve">单位：万元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restart"/>
          </w:tcPr>
          <w:p>
            <w:pPr>
              <w:pStyle w:val="13"/>
              <w:bidi w:val="0"/>
              <w:jc w:val="center"/>
              <w:rPr>
                <w:rFonts w:hint="eastAsia"/>
                <w:vertAlign w:val="baseline"/>
                <w:lang w:val="en-US" w:eastAsia="zh-CN"/>
              </w:rPr>
            </w:pPr>
            <w:r>
              <w:rPr>
                <w:sz w:val="17"/>
                <w:szCs w:val="17"/>
              </w:rPr>
              <w:t>门（单位）代码</w:t>
            </w:r>
          </w:p>
        </w:tc>
        <w:tc>
          <w:tcPr>
            <w:tcW w:w="1918" w:type="dxa"/>
            <w:vMerge w:val="restart"/>
          </w:tcPr>
          <w:p>
            <w:pPr>
              <w:pStyle w:val="13"/>
              <w:bidi w:val="0"/>
              <w:jc w:val="center"/>
              <w:rPr>
                <w:rFonts w:hint="eastAsia"/>
                <w:vertAlign w:val="baseline"/>
                <w:lang w:val="en-US" w:eastAsia="zh-CN"/>
              </w:rPr>
            </w:pPr>
            <w:r>
              <w:rPr>
                <w:sz w:val="17"/>
                <w:szCs w:val="17"/>
              </w:rPr>
              <w:t>部门（单位）名称</w:t>
            </w:r>
          </w:p>
        </w:tc>
        <w:tc>
          <w:tcPr>
            <w:tcW w:w="11343" w:type="dxa"/>
            <w:gridSpan w:val="7"/>
          </w:tcPr>
          <w:p>
            <w:pPr>
              <w:pStyle w:val="13"/>
              <w:bidi w:val="0"/>
              <w:jc w:val="center"/>
              <w:rPr>
                <w:rFonts w:hint="eastAsia"/>
                <w:vertAlign w:val="baseline"/>
                <w:lang w:val="en-US" w:eastAsia="zh-CN"/>
              </w:rPr>
            </w:pPr>
            <w:r>
              <w:rPr>
                <w:sz w:val="17"/>
                <w:szCs w:val="17"/>
                <w:lang w:val="zh-CN" w:eastAsia="zh-CN" w:bidi="zh-CN"/>
              </w:rPr>
              <w:t>“三</w:t>
            </w:r>
            <w:r>
              <w:rPr>
                <w:sz w:val="17"/>
                <w:szCs w:val="17"/>
              </w:rPr>
              <w:t>公”经费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continue"/>
          </w:tcPr>
          <w:p>
            <w:pPr>
              <w:pStyle w:val="13"/>
              <w:bidi w:val="0"/>
              <w:jc w:val="center"/>
              <w:rPr>
                <w:rFonts w:hint="eastAsia"/>
                <w:vertAlign w:val="baseline"/>
                <w:lang w:val="en-US" w:eastAsia="zh-CN"/>
              </w:rPr>
            </w:pPr>
          </w:p>
        </w:tc>
        <w:tc>
          <w:tcPr>
            <w:tcW w:w="1918" w:type="dxa"/>
            <w:vMerge w:val="continue"/>
          </w:tcPr>
          <w:p>
            <w:pPr>
              <w:pStyle w:val="13"/>
              <w:bidi w:val="0"/>
              <w:jc w:val="center"/>
              <w:rPr>
                <w:rFonts w:hint="eastAsia"/>
                <w:vertAlign w:val="baseline"/>
                <w:lang w:val="en-US" w:eastAsia="zh-CN"/>
              </w:rPr>
            </w:pPr>
          </w:p>
        </w:tc>
        <w:tc>
          <w:tcPr>
            <w:tcW w:w="1884" w:type="dxa"/>
            <w:vMerge w:val="restart"/>
          </w:tcPr>
          <w:p>
            <w:pPr>
              <w:pStyle w:val="13"/>
              <w:bidi w:val="0"/>
              <w:jc w:val="center"/>
              <w:rPr>
                <w:rFonts w:hint="eastAsia"/>
                <w:vertAlign w:val="baseline"/>
                <w:lang w:val="en-US" w:eastAsia="zh-CN"/>
              </w:rPr>
            </w:pPr>
            <w:r>
              <w:rPr>
                <w:sz w:val="17"/>
                <w:szCs w:val="17"/>
              </w:rPr>
              <w:t>合计</w:t>
            </w:r>
          </w:p>
        </w:tc>
        <w:tc>
          <w:tcPr>
            <w:tcW w:w="1895" w:type="dxa"/>
            <w:vMerge w:val="restart"/>
          </w:tcPr>
          <w:p>
            <w:pPr>
              <w:pStyle w:val="13"/>
              <w:bidi w:val="0"/>
              <w:jc w:val="center"/>
              <w:rPr>
                <w:rFonts w:hint="eastAsia"/>
                <w:vertAlign w:val="baseline"/>
                <w:lang w:val="en-US" w:eastAsia="zh-CN"/>
              </w:rPr>
            </w:pPr>
            <w:r>
              <w:rPr>
                <w:sz w:val="17"/>
                <w:szCs w:val="17"/>
              </w:rPr>
              <w:t>因公出国（境）费</w:t>
            </w:r>
          </w:p>
        </w:tc>
        <w:tc>
          <w:tcPr>
            <w:tcW w:w="5675" w:type="dxa"/>
            <w:gridSpan w:val="4"/>
          </w:tcPr>
          <w:p>
            <w:pPr>
              <w:pStyle w:val="13"/>
              <w:bidi w:val="0"/>
              <w:jc w:val="center"/>
              <w:rPr>
                <w:rFonts w:hint="eastAsia"/>
                <w:vertAlign w:val="baseline"/>
                <w:lang w:val="en-US" w:eastAsia="zh-CN"/>
              </w:rPr>
            </w:pPr>
            <w:r>
              <w:rPr>
                <w:sz w:val="17"/>
                <w:szCs w:val="17"/>
              </w:rPr>
              <w:t>公务用车购置及运行维护费</w:t>
            </w:r>
          </w:p>
        </w:tc>
        <w:tc>
          <w:tcPr>
            <w:tcW w:w="1889" w:type="dxa"/>
            <w:vMerge w:val="restart"/>
          </w:tcPr>
          <w:p>
            <w:pPr>
              <w:pStyle w:val="13"/>
              <w:bidi w:val="0"/>
              <w:jc w:val="center"/>
              <w:rPr>
                <w:rFonts w:hint="eastAsia"/>
                <w:vertAlign w:val="baseline"/>
                <w:lang w:val="en-US" w:eastAsia="zh-CN"/>
              </w:rPr>
            </w:pPr>
            <w:r>
              <w:rPr>
                <w:sz w:val="17"/>
                <w:szCs w:val="17"/>
              </w:rPr>
              <w:t>公务接待费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continue"/>
          </w:tcPr>
          <w:p>
            <w:pPr>
              <w:pStyle w:val="13"/>
              <w:bidi w:val="0"/>
              <w:jc w:val="center"/>
              <w:rPr>
                <w:rFonts w:hint="eastAsia"/>
                <w:vertAlign w:val="baseline"/>
                <w:lang w:val="en-US" w:eastAsia="zh-CN"/>
              </w:rPr>
            </w:pPr>
          </w:p>
        </w:tc>
        <w:tc>
          <w:tcPr>
            <w:tcW w:w="1918" w:type="dxa"/>
            <w:vMerge w:val="continue"/>
          </w:tcPr>
          <w:p>
            <w:pPr>
              <w:pStyle w:val="13"/>
              <w:bidi w:val="0"/>
              <w:jc w:val="center"/>
              <w:rPr>
                <w:rFonts w:hint="eastAsia"/>
                <w:vertAlign w:val="baseline"/>
                <w:lang w:val="en-US" w:eastAsia="zh-CN"/>
              </w:rPr>
            </w:pPr>
          </w:p>
        </w:tc>
        <w:tc>
          <w:tcPr>
            <w:tcW w:w="1884" w:type="dxa"/>
            <w:vMerge w:val="continue"/>
          </w:tcPr>
          <w:p>
            <w:pPr>
              <w:pStyle w:val="13"/>
              <w:bidi w:val="0"/>
              <w:jc w:val="center"/>
              <w:rPr>
                <w:rFonts w:hint="eastAsia"/>
                <w:vertAlign w:val="baseline"/>
                <w:lang w:val="en-US" w:eastAsia="zh-CN"/>
              </w:rPr>
            </w:pPr>
          </w:p>
        </w:tc>
        <w:tc>
          <w:tcPr>
            <w:tcW w:w="1895" w:type="dxa"/>
            <w:vMerge w:val="continue"/>
          </w:tcPr>
          <w:p>
            <w:pPr>
              <w:pStyle w:val="13"/>
              <w:bidi w:val="0"/>
              <w:jc w:val="center"/>
              <w:rPr>
                <w:rFonts w:hint="eastAsia"/>
                <w:vertAlign w:val="baseline"/>
                <w:lang w:val="en-US" w:eastAsia="zh-CN"/>
              </w:rPr>
            </w:pPr>
          </w:p>
        </w:tc>
        <w:tc>
          <w:tcPr>
            <w:tcW w:w="1888" w:type="dxa"/>
            <w:vAlign w:val="center"/>
          </w:tcPr>
          <w:p>
            <w:pPr>
              <w:pStyle w:val="12"/>
              <w:spacing w:line="240" w:lineRule="auto"/>
              <w:ind w:firstLine="0" w:firstLineChars="0"/>
              <w:jc w:val="center"/>
              <w:rPr>
                <w:rFonts w:hint="eastAsia"/>
                <w:vertAlign w:val="baseline"/>
                <w:lang w:val="en-US" w:eastAsia="zh-CN"/>
              </w:rPr>
            </w:pPr>
            <w:r>
              <w:rPr>
                <w:sz w:val="17"/>
                <w:szCs w:val="17"/>
              </w:rPr>
              <w:t>小计</w:t>
            </w:r>
          </w:p>
        </w:tc>
        <w:tc>
          <w:tcPr>
            <w:tcW w:w="1890" w:type="dxa"/>
            <w:vAlign w:val="center"/>
          </w:tcPr>
          <w:p>
            <w:pPr>
              <w:pStyle w:val="12"/>
              <w:spacing w:line="240" w:lineRule="auto"/>
              <w:ind w:firstLine="220" w:firstLineChars="0"/>
              <w:jc w:val="center"/>
              <w:rPr>
                <w:rFonts w:hint="eastAsia"/>
                <w:vertAlign w:val="baseline"/>
                <w:lang w:val="en-US" w:eastAsia="zh-CN"/>
              </w:rPr>
            </w:pPr>
            <w:r>
              <w:rPr>
                <w:sz w:val="17"/>
                <w:szCs w:val="17"/>
              </w:rPr>
              <w:t>公务用车运行维护费</w:t>
            </w:r>
          </w:p>
        </w:tc>
        <w:tc>
          <w:tcPr>
            <w:tcW w:w="1897" w:type="dxa"/>
            <w:gridSpan w:val="2"/>
            <w:vAlign w:val="center"/>
          </w:tcPr>
          <w:p>
            <w:pPr>
              <w:pStyle w:val="12"/>
              <w:spacing w:line="240" w:lineRule="auto"/>
              <w:ind w:firstLine="400" w:firstLineChars="0"/>
              <w:jc w:val="center"/>
              <w:rPr>
                <w:rFonts w:hint="eastAsia"/>
                <w:vertAlign w:val="baseline"/>
                <w:lang w:val="en-US" w:eastAsia="zh-CN"/>
              </w:rPr>
            </w:pPr>
            <w:r>
              <w:rPr>
                <w:sz w:val="17"/>
                <w:szCs w:val="17"/>
              </w:rPr>
              <w:t>公务用车购置费</w:t>
            </w:r>
          </w:p>
        </w:tc>
        <w:tc>
          <w:tcPr>
            <w:tcW w:w="1889" w:type="dxa"/>
            <w:vMerge w:val="continue"/>
          </w:tcPr>
          <w:p>
            <w:pPr>
              <w:pStyle w:val="13"/>
              <w:bidi w:val="0"/>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12"/>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1</w:t>
            </w:r>
          </w:p>
        </w:tc>
        <w:tc>
          <w:tcPr>
            <w:tcW w:w="1895" w:type="dxa"/>
            <w:vAlign w:val="center"/>
          </w:tcPr>
          <w:p>
            <w:pPr>
              <w:pStyle w:val="12"/>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2</w:t>
            </w:r>
          </w:p>
        </w:tc>
        <w:tc>
          <w:tcPr>
            <w:tcW w:w="1888" w:type="dxa"/>
            <w:vAlign w:val="center"/>
          </w:tcPr>
          <w:p>
            <w:pPr>
              <w:pStyle w:val="12"/>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3</w:t>
            </w:r>
          </w:p>
        </w:tc>
        <w:tc>
          <w:tcPr>
            <w:tcW w:w="1890" w:type="dxa"/>
            <w:vAlign w:val="center"/>
          </w:tcPr>
          <w:p>
            <w:pPr>
              <w:pStyle w:val="12"/>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4</w:t>
            </w:r>
          </w:p>
        </w:tc>
        <w:tc>
          <w:tcPr>
            <w:tcW w:w="1897" w:type="dxa"/>
            <w:gridSpan w:val="2"/>
            <w:vAlign w:val="center"/>
          </w:tcPr>
          <w:p>
            <w:pPr>
              <w:pStyle w:val="12"/>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5</w:t>
            </w:r>
          </w:p>
        </w:tc>
        <w:tc>
          <w:tcPr>
            <w:tcW w:w="1889" w:type="dxa"/>
            <w:vAlign w:val="center"/>
          </w:tcPr>
          <w:p>
            <w:pPr>
              <w:pStyle w:val="12"/>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Align w:val="center"/>
          </w:tcPr>
          <w:p>
            <w:pPr>
              <w:pStyle w:val="12"/>
              <w:spacing w:line="240" w:lineRule="auto"/>
              <w:ind w:firstLine="0" w:firstLineChars="0"/>
              <w:jc w:val="left"/>
              <w:rPr>
                <w:rFonts w:hint="eastAsia"/>
                <w:vertAlign w:val="baseline"/>
                <w:lang w:val="en-US" w:eastAsia="zh-CN"/>
              </w:rPr>
            </w:pPr>
            <w:r>
              <w:rPr>
                <w:rFonts w:hint="eastAsia" w:ascii="Times New Roman" w:hAnsi="Times New Roman" w:eastAsia="Times New Roman" w:cs="Times New Roman"/>
                <w:b/>
                <w:bCs/>
                <w:sz w:val="17"/>
                <w:szCs w:val="17"/>
                <w:lang w:val="en-US" w:eastAsia="zh-CN"/>
              </w:rPr>
              <w:t>708007</w:t>
            </w:r>
          </w:p>
        </w:tc>
        <w:tc>
          <w:tcPr>
            <w:tcW w:w="1918" w:type="dxa"/>
            <w:vAlign w:val="center"/>
          </w:tcPr>
          <w:p>
            <w:pPr>
              <w:pStyle w:val="12"/>
              <w:spacing w:line="240" w:lineRule="auto"/>
              <w:ind w:firstLine="0" w:firstLineChars="0"/>
              <w:jc w:val="left"/>
              <w:rPr>
                <w:rFonts w:hint="eastAsia"/>
                <w:vertAlign w:val="baseline"/>
                <w:lang w:val="en-US" w:eastAsia="zh-CN"/>
              </w:rPr>
            </w:pPr>
          </w:p>
        </w:tc>
        <w:tc>
          <w:tcPr>
            <w:tcW w:w="1884" w:type="dxa"/>
            <w:vAlign w:val="center"/>
          </w:tcPr>
          <w:p>
            <w:pPr>
              <w:pStyle w:val="12"/>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95" w:type="dxa"/>
            <w:vAlign w:val="center"/>
          </w:tcPr>
          <w:p>
            <w:pPr>
              <w:pStyle w:val="12"/>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88" w:type="dxa"/>
            <w:vAlign w:val="center"/>
          </w:tcPr>
          <w:p>
            <w:pPr>
              <w:pStyle w:val="12"/>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90" w:type="dxa"/>
            <w:vAlign w:val="center"/>
          </w:tcPr>
          <w:p>
            <w:pPr>
              <w:pStyle w:val="12"/>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97" w:type="dxa"/>
            <w:gridSpan w:val="2"/>
            <w:vAlign w:val="center"/>
          </w:tcPr>
          <w:p>
            <w:pPr>
              <w:pStyle w:val="12"/>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89" w:type="dxa"/>
            <w:vAlign w:val="center"/>
          </w:tcPr>
          <w:p>
            <w:pPr>
              <w:pStyle w:val="12"/>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557" w:type="dxa"/>
            <w:gridSpan w:val="9"/>
            <w:tcBorders>
              <w:left w:val="nil"/>
              <w:bottom w:val="nil"/>
              <w:right w:val="nil"/>
            </w:tcBorders>
          </w:tcPr>
          <w:p>
            <w:pPr>
              <w:pStyle w:val="13"/>
              <w:bidi w:val="0"/>
              <w:jc w:val="both"/>
              <w:rPr>
                <w:rFonts w:hint="eastAsia"/>
                <w:vertAlign w:val="baseline"/>
                <w:lang w:val="en-US" w:eastAsia="zh-CN"/>
              </w:rPr>
            </w:pPr>
            <w:r>
              <w:rPr>
                <w:rFonts w:hint="eastAsia" w:ascii="宋体" w:hAnsi="宋体" w:eastAsia="宋体" w:cs="宋体"/>
                <w:sz w:val="16"/>
                <w:szCs w:val="16"/>
              </w:rPr>
              <w:t>注：本报表金额单位转换时可能存在四舍五入尾数误差</w:t>
            </w:r>
          </w:p>
        </w:tc>
      </w:tr>
    </w:tbl>
    <w:p>
      <w:pPr>
        <w:pStyle w:val="13"/>
        <w:bidi w:val="0"/>
        <w:rPr>
          <w:rFonts w:hint="eastAsia"/>
          <w:lang w:val="en-US" w:eastAsia="zh-CN"/>
        </w:rPr>
      </w:pPr>
    </w:p>
    <w:p>
      <w:pPr>
        <w:pStyle w:val="11"/>
        <w:keepNext/>
        <w:keepLines/>
        <w:spacing w:after="240"/>
        <w:jc w:val="center"/>
      </w:pPr>
    </w:p>
    <w:p>
      <w:pPr>
        <w:pStyle w:val="11"/>
        <w:keepNext/>
        <w:keepLines/>
        <w:spacing w:after="240"/>
        <w:jc w:val="center"/>
      </w:pPr>
    </w:p>
    <w:p>
      <w:pPr>
        <w:pStyle w:val="11"/>
        <w:keepNext/>
        <w:keepLines/>
        <w:spacing w:after="240"/>
        <w:jc w:val="center"/>
      </w:pPr>
    </w:p>
    <w:p>
      <w:pPr>
        <w:pStyle w:val="11"/>
        <w:keepNext/>
        <w:keepLines/>
        <w:spacing w:after="240"/>
        <w:jc w:val="center"/>
      </w:pPr>
    </w:p>
    <w:p>
      <w:pPr>
        <w:pStyle w:val="11"/>
        <w:keepNext/>
        <w:keepLines/>
        <w:spacing w:after="240"/>
        <w:jc w:val="center"/>
      </w:pPr>
    </w:p>
    <w:p>
      <w:pPr>
        <w:pStyle w:val="13"/>
        <w:bidi w:val="0"/>
      </w:pPr>
    </w:p>
    <w:p>
      <w:pPr>
        <w:pStyle w:val="11"/>
        <w:keepNext/>
        <w:keepLines/>
        <w:spacing w:after="240"/>
        <w:jc w:val="center"/>
      </w:pPr>
      <w:r>
        <w:t>政府性基金预算支出情况表</w:t>
      </w:r>
      <w:bookmarkEnd w:id="28"/>
      <w:bookmarkEnd w:id="29"/>
      <w:bookmarkEnd w:id="30"/>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161"/>
        <w:gridCol w:w="2162"/>
        <w:gridCol w:w="2222"/>
        <w:gridCol w:w="2161"/>
        <w:gridCol w:w="2161"/>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394" w:type="dxa"/>
            <w:gridSpan w:val="6"/>
            <w:tcBorders>
              <w:top w:val="nil"/>
              <w:left w:val="nil"/>
              <w:right w:val="nil"/>
            </w:tcBorders>
          </w:tcPr>
          <w:p>
            <w:pPr>
              <w:pStyle w:val="13"/>
              <w:tabs>
                <w:tab w:val="left" w:pos="14213"/>
              </w:tabs>
              <w:ind w:left="101"/>
              <w:jc w:val="left"/>
            </w:pPr>
            <w:r>
              <w:t>单位名称：</w:t>
            </w:r>
            <w:r>
              <w:rPr>
                <w:rFonts w:hint="eastAsia"/>
                <w:lang w:eastAsia="zh-CN"/>
              </w:rPr>
              <w:t>环江毛南族自治县长美乡爱洞村村民委员会</w:t>
            </w:r>
            <w:r>
              <w:tab/>
            </w:r>
            <w:r>
              <w:t>单位：万元</w:t>
            </w:r>
          </w:p>
        </w:tc>
        <w:tc>
          <w:tcPr>
            <w:tcW w:w="2163" w:type="dxa"/>
            <w:tcBorders>
              <w:top w:val="nil"/>
              <w:left w:val="nil"/>
              <w:right w:val="nil"/>
            </w:tcBorders>
          </w:tcPr>
          <w:p>
            <w:pPr>
              <w:pStyle w:val="13"/>
              <w:tabs>
                <w:tab w:val="left" w:pos="14213"/>
              </w:tabs>
              <w:ind w:left="101" w:firstLine="680" w:firstLineChars="400"/>
              <w:jc w:val="left"/>
            </w:pPr>
            <w:r>
              <w:rPr>
                <w:rFonts w:hint="eastAsia"/>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tcPr>
          <w:p>
            <w:pPr>
              <w:pStyle w:val="13"/>
              <w:bidi w:val="0"/>
              <w:jc w:val="center"/>
              <w:rPr>
                <w:vertAlign w:val="baseline"/>
              </w:rPr>
            </w:pPr>
            <w:r>
              <w:rPr>
                <w:sz w:val="17"/>
                <w:szCs w:val="17"/>
              </w:rPr>
              <w:t>科目编码</w:t>
            </w:r>
          </w:p>
        </w:tc>
        <w:tc>
          <w:tcPr>
            <w:tcW w:w="2161" w:type="dxa"/>
          </w:tcPr>
          <w:p>
            <w:pPr>
              <w:pStyle w:val="13"/>
              <w:bidi w:val="0"/>
              <w:jc w:val="center"/>
              <w:rPr>
                <w:vertAlign w:val="baseline"/>
              </w:rPr>
            </w:pPr>
            <w:r>
              <w:rPr>
                <w:sz w:val="17"/>
                <w:szCs w:val="17"/>
              </w:rPr>
              <w:t>部门（单位）代码</w:t>
            </w:r>
          </w:p>
        </w:tc>
        <w:tc>
          <w:tcPr>
            <w:tcW w:w="2162" w:type="dxa"/>
          </w:tcPr>
          <w:p>
            <w:pPr>
              <w:pStyle w:val="13"/>
              <w:bidi w:val="0"/>
              <w:jc w:val="center"/>
              <w:rPr>
                <w:vertAlign w:val="baseline"/>
              </w:rPr>
            </w:pPr>
            <w:r>
              <w:rPr>
                <w:sz w:val="17"/>
                <w:szCs w:val="17"/>
              </w:rPr>
              <w:t>部门（单位）名称（功能分类科目名称）</w:t>
            </w:r>
          </w:p>
        </w:tc>
        <w:tc>
          <w:tcPr>
            <w:tcW w:w="2222" w:type="dxa"/>
            <w:vAlign w:val="center"/>
          </w:tcPr>
          <w:p>
            <w:pPr>
              <w:pStyle w:val="12"/>
              <w:spacing w:line="240" w:lineRule="auto"/>
              <w:ind w:firstLine="0" w:firstLineChars="0"/>
              <w:jc w:val="center"/>
              <w:rPr>
                <w:vertAlign w:val="baseline"/>
              </w:rPr>
            </w:pPr>
            <w:r>
              <w:rPr>
                <w:sz w:val="17"/>
                <w:szCs w:val="17"/>
              </w:rPr>
              <w:t>合计</w:t>
            </w:r>
          </w:p>
        </w:tc>
        <w:tc>
          <w:tcPr>
            <w:tcW w:w="2161" w:type="dxa"/>
            <w:vAlign w:val="center"/>
          </w:tcPr>
          <w:p>
            <w:pPr>
              <w:pStyle w:val="12"/>
              <w:spacing w:line="240" w:lineRule="auto"/>
              <w:ind w:firstLine="0" w:firstLineChars="0"/>
              <w:jc w:val="center"/>
              <w:rPr>
                <w:vertAlign w:val="baseline"/>
              </w:rPr>
            </w:pPr>
            <w:r>
              <w:rPr>
                <w:sz w:val="17"/>
                <w:szCs w:val="17"/>
              </w:rPr>
              <w:t>基本支出</w:t>
            </w:r>
          </w:p>
        </w:tc>
        <w:tc>
          <w:tcPr>
            <w:tcW w:w="2161" w:type="dxa"/>
            <w:vAlign w:val="center"/>
          </w:tcPr>
          <w:p>
            <w:pPr>
              <w:pStyle w:val="12"/>
              <w:spacing w:line="240" w:lineRule="auto"/>
              <w:ind w:firstLine="0" w:firstLineChars="0"/>
              <w:jc w:val="center"/>
              <w:rPr>
                <w:vertAlign w:val="baseline"/>
              </w:rPr>
            </w:pPr>
            <w:r>
              <w:rPr>
                <w:sz w:val="17"/>
                <w:szCs w:val="17"/>
              </w:rPr>
              <w:t>项目支出</w:t>
            </w:r>
          </w:p>
        </w:tc>
        <w:tc>
          <w:tcPr>
            <w:tcW w:w="2163" w:type="dxa"/>
            <w:vAlign w:val="center"/>
          </w:tcPr>
          <w:p>
            <w:pPr>
              <w:pStyle w:val="12"/>
              <w:spacing w:line="240" w:lineRule="auto"/>
              <w:ind w:firstLine="0" w:firstLineChars="0"/>
              <w:jc w:val="center"/>
              <w:rPr>
                <w:vertAlign w:val="baseline"/>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12"/>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2130705</w:t>
            </w:r>
          </w:p>
        </w:tc>
        <w:tc>
          <w:tcPr>
            <w:tcW w:w="2161" w:type="dxa"/>
            <w:vAlign w:val="center"/>
          </w:tcPr>
          <w:p>
            <w:pPr>
              <w:pStyle w:val="12"/>
              <w:spacing w:line="240" w:lineRule="auto"/>
              <w:ind w:firstLine="0" w:firstLineChars="0"/>
              <w:jc w:val="left"/>
              <w:rPr>
                <w:b w:val="0"/>
                <w:bCs w:val="0"/>
                <w:vertAlign w:val="baseline"/>
              </w:rPr>
            </w:pPr>
          </w:p>
        </w:tc>
        <w:tc>
          <w:tcPr>
            <w:tcW w:w="2162" w:type="dxa"/>
            <w:vAlign w:val="center"/>
          </w:tcPr>
          <w:p>
            <w:pPr>
              <w:pStyle w:val="12"/>
              <w:spacing w:line="240" w:lineRule="auto"/>
              <w:ind w:firstLine="0" w:firstLineChars="0"/>
              <w:jc w:val="left"/>
              <w:rPr>
                <w:b w:val="0"/>
                <w:bCs w:val="0"/>
                <w:vertAlign w:val="baseline"/>
              </w:rPr>
            </w:pPr>
            <w:r>
              <w:rPr>
                <w:rFonts w:hint="eastAsia"/>
                <w:b w:val="0"/>
                <w:bCs w:val="0"/>
                <w:sz w:val="17"/>
                <w:szCs w:val="17"/>
                <w:lang w:val="en-US" w:eastAsia="zh-CN"/>
              </w:rPr>
              <w:t>对村民委员会和村党支部的补助</w:t>
            </w:r>
          </w:p>
        </w:tc>
        <w:tc>
          <w:tcPr>
            <w:tcW w:w="2222" w:type="dxa"/>
            <w:vAlign w:val="center"/>
          </w:tcPr>
          <w:p>
            <w:pPr>
              <w:pStyle w:val="12"/>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12"/>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12"/>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12"/>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7"/>
            <w:tcBorders>
              <w:left w:val="nil"/>
              <w:bottom w:val="nil"/>
              <w:right w:val="nil"/>
            </w:tcBorders>
          </w:tcPr>
          <w:p>
            <w:pPr>
              <w:pStyle w:val="13"/>
              <w:bidi w:val="0"/>
              <w:jc w:val="both"/>
              <w:rPr>
                <w:vertAlign w:val="baseline"/>
              </w:rPr>
            </w:pPr>
            <w:r>
              <w:t>注：本报表金额单位转换时可能存在四舍五入尾数误差</w:t>
            </w:r>
          </w:p>
        </w:tc>
      </w:tr>
    </w:tbl>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pPr>
    </w:p>
    <w:p>
      <w:pPr>
        <w:pStyle w:val="13"/>
        <w:bidi w:val="0"/>
        <w:jc w:val="center"/>
        <w:rPr>
          <w:sz w:val="28"/>
          <w:szCs w:val="28"/>
        </w:rPr>
      </w:pPr>
      <w:r>
        <w:rPr>
          <w:sz w:val="28"/>
          <w:szCs w:val="28"/>
        </w:rPr>
        <w:t>国有资本经营预算支出情况表</w:t>
      </w:r>
    </w:p>
    <w:p>
      <w:pPr>
        <w:pStyle w:val="13"/>
        <w:bidi w:val="0"/>
        <w:jc w:val="center"/>
        <w:rPr>
          <w:sz w:val="28"/>
          <w:szCs w:val="28"/>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161"/>
        <w:gridCol w:w="2162"/>
        <w:gridCol w:w="2222"/>
        <w:gridCol w:w="2161"/>
        <w:gridCol w:w="2161"/>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4" w:type="dxa"/>
            <w:gridSpan w:val="6"/>
            <w:tcBorders>
              <w:top w:val="nil"/>
              <w:left w:val="nil"/>
              <w:right w:val="nil"/>
            </w:tcBorders>
          </w:tcPr>
          <w:p>
            <w:pPr>
              <w:pStyle w:val="13"/>
              <w:tabs>
                <w:tab w:val="left" w:pos="14213"/>
              </w:tabs>
              <w:ind w:left="101"/>
              <w:jc w:val="left"/>
            </w:pPr>
            <w:r>
              <w:t>单位名称：</w:t>
            </w:r>
            <w:r>
              <w:rPr>
                <w:rFonts w:hint="eastAsia"/>
                <w:lang w:eastAsia="zh-CN"/>
              </w:rPr>
              <w:t>环江毛南族自治县长美乡爱洞村村民委员会</w:t>
            </w:r>
            <w:r>
              <w:tab/>
            </w:r>
            <w:r>
              <w:t>单位：万元</w:t>
            </w:r>
          </w:p>
        </w:tc>
        <w:tc>
          <w:tcPr>
            <w:tcW w:w="2163" w:type="dxa"/>
            <w:tcBorders>
              <w:top w:val="nil"/>
              <w:left w:val="nil"/>
              <w:right w:val="nil"/>
            </w:tcBorders>
          </w:tcPr>
          <w:p>
            <w:pPr>
              <w:pStyle w:val="13"/>
              <w:tabs>
                <w:tab w:val="left" w:pos="14213"/>
              </w:tabs>
              <w:ind w:left="101"/>
              <w:jc w:val="left"/>
            </w:pPr>
            <w:r>
              <w:rPr>
                <w:rFonts w:hint="eastAsia" w:ascii="宋体" w:hAnsi="宋体" w:eastAsia="宋体" w:cs="宋体"/>
                <w:sz w:val="17"/>
                <w:szCs w:val="17"/>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vMerge w:val="restart"/>
          </w:tcPr>
          <w:p>
            <w:pPr>
              <w:pStyle w:val="13"/>
              <w:bidi w:val="0"/>
              <w:jc w:val="center"/>
              <w:rPr>
                <w:vertAlign w:val="baseline"/>
              </w:rPr>
            </w:pPr>
            <w:r>
              <w:rPr>
                <w:sz w:val="17"/>
                <w:szCs w:val="17"/>
              </w:rPr>
              <w:t>科目编码</w:t>
            </w:r>
          </w:p>
        </w:tc>
        <w:tc>
          <w:tcPr>
            <w:tcW w:w="2161" w:type="dxa"/>
            <w:vMerge w:val="restart"/>
          </w:tcPr>
          <w:p>
            <w:pPr>
              <w:pStyle w:val="13"/>
              <w:bidi w:val="0"/>
              <w:jc w:val="center"/>
              <w:rPr>
                <w:vertAlign w:val="baseline"/>
              </w:rPr>
            </w:pPr>
            <w:r>
              <w:rPr>
                <w:sz w:val="17"/>
                <w:szCs w:val="17"/>
              </w:rPr>
              <w:t>部门（单位）代码</w:t>
            </w:r>
          </w:p>
        </w:tc>
        <w:tc>
          <w:tcPr>
            <w:tcW w:w="2162" w:type="dxa"/>
            <w:vMerge w:val="restart"/>
          </w:tcPr>
          <w:p>
            <w:pPr>
              <w:pStyle w:val="13"/>
              <w:bidi w:val="0"/>
              <w:jc w:val="center"/>
              <w:rPr>
                <w:vertAlign w:val="baseline"/>
              </w:rPr>
            </w:pPr>
            <w:r>
              <w:rPr>
                <w:sz w:val="17"/>
                <w:szCs w:val="17"/>
              </w:rPr>
              <w:t>部门（单位）名称（功能分类科目名称）</w:t>
            </w:r>
          </w:p>
        </w:tc>
        <w:tc>
          <w:tcPr>
            <w:tcW w:w="2222" w:type="dxa"/>
            <w:vAlign w:val="center"/>
          </w:tcPr>
          <w:p>
            <w:pPr>
              <w:pStyle w:val="12"/>
              <w:spacing w:line="240" w:lineRule="auto"/>
              <w:ind w:firstLine="0" w:firstLineChars="0"/>
              <w:jc w:val="center"/>
              <w:rPr>
                <w:vertAlign w:val="baseline"/>
              </w:rPr>
            </w:pPr>
            <w:r>
              <w:rPr>
                <w:sz w:val="17"/>
                <w:szCs w:val="17"/>
              </w:rPr>
              <w:t>合计</w:t>
            </w:r>
          </w:p>
        </w:tc>
        <w:tc>
          <w:tcPr>
            <w:tcW w:w="2161" w:type="dxa"/>
            <w:vAlign w:val="center"/>
          </w:tcPr>
          <w:p>
            <w:pPr>
              <w:pStyle w:val="12"/>
              <w:spacing w:line="240" w:lineRule="auto"/>
              <w:ind w:firstLine="0" w:firstLineChars="0"/>
              <w:jc w:val="center"/>
              <w:rPr>
                <w:vertAlign w:val="baseline"/>
              </w:rPr>
            </w:pPr>
            <w:r>
              <w:rPr>
                <w:sz w:val="17"/>
                <w:szCs w:val="17"/>
              </w:rPr>
              <w:t>基本支出</w:t>
            </w:r>
          </w:p>
        </w:tc>
        <w:tc>
          <w:tcPr>
            <w:tcW w:w="2161" w:type="dxa"/>
            <w:vAlign w:val="center"/>
          </w:tcPr>
          <w:p>
            <w:pPr>
              <w:pStyle w:val="12"/>
              <w:spacing w:line="240" w:lineRule="auto"/>
              <w:ind w:firstLine="0" w:firstLineChars="0"/>
              <w:jc w:val="center"/>
              <w:rPr>
                <w:vertAlign w:val="baseline"/>
              </w:rPr>
            </w:pPr>
            <w:r>
              <w:rPr>
                <w:sz w:val="17"/>
                <w:szCs w:val="17"/>
              </w:rPr>
              <w:t>项目支出</w:t>
            </w:r>
          </w:p>
        </w:tc>
        <w:tc>
          <w:tcPr>
            <w:tcW w:w="2163" w:type="dxa"/>
            <w:vAlign w:val="center"/>
          </w:tcPr>
          <w:p>
            <w:pPr>
              <w:pStyle w:val="12"/>
              <w:spacing w:line="240" w:lineRule="auto"/>
              <w:ind w:firstLine="0" w:firstLineChars="0"/>
              <w:jc w:val="center"/>
              <w:rPr>
                <w:vertAlign w:val="baseline"/>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vMerge w:val="continue"/>
          </w:tcPr>
          <w:p>
            <w:pPr>
              <w:pStyle w:val="13"/>
              <w:bidi w:val="0"/>
              <w:jc w:val="both"/>
              <w:rPr>
                <w:vertAlign w:val="baseline"/>
              </w:rPr>
            </w:pPr>
          </w:p>
        </w:tc>
        <w:tc>
          <w:tcPr>
            <w:tcW w:w="2161" w:type="dxa"/>
            <w:vMerge w:val="continue"/>
          </w:tcPr>
          <w:p>
            <w:pPr>
              <w:pStyle w:val="13"/>
              <w:bidi w:val="0"/>
              <w:jc w:val="both"/>
              <w:rPr>
                <w:vertAlign w:val="baseline"/>
              </w:rPr>
            </w:pPr>
          </w:p>
        </w:tc>
        <w:tc>
          <w:tcPr>
            <w:tcW w:w="2162" w:type="dxa"/>
            <w:vMerge w:val="continue"/>
          </w:tcPr>
          <w:p>
            <w:pPr>
              <w:pStyle w:val="13"/>
              <w:bidi w:val="0"/>
              <w:jc w:val="both"/>
              <w:rPr>
                <w:vertAlign w:val="baseline"/>
              </w:rPr>
            </w:pPr>
          </w:p>
        </w:tc>
        <w:tc>
          <w:tcPr>
            <w:tcW w:w="2222" w:type="dxa"/>
            <w:vAlign w:val="center"/>
          </w:tcPr>
          <w:p>
            <w:pPr>
              <w:pStyle w:val="12"/>
              <w:spacing w:line="240" w:lineRule="auto"/>
              <w:ind w:firstLine="0" w:firstLineChars="0"/>
              <w:jc w:val="center"/>
              <w:rPr>
                <w:vertAlign w:val="baseline"/>
              </w:rPr>
            </w:pPr>
            <w:r>
              <w:rPr>
                <w:rFonts w:ascii="Times New Roman" w:hAnsi="Times New Roman" w:eastAsia="Times New Roman" w:cs="Times New Roman"/>
                <w:b/>
                <w:bCs/>
                <w:sz w:val="17"/>
                <w:szCs w:val="17"/>
              </w:rPr>
              <w:t>1</w:t>
            </w:r>
          </w:p>
        </w:tc>
        <w:tc>
          <w:tcPr>
            <w:tcW w:w="2161" w:type="dxa"/>
            <w:vAlign w:val="center"/>
          </w:tcPr>
          <w:p>
            <w:pPr>
              <w:pStyle w:val="12"/>
              <w:spacing w:line="240" w:lineRule="auto"/>
              <w:ind w:firstLine="0" w:firstLineChars="0"/>
              <w:jc w:val="center"/>
              <w:rPr>
                <w:vertAlign w:val="baseline"/>
              </w:rPr>
            </w:pPr>
            <w:r>
              <w:rPr>
                <w:rFonts w:ascii="Times New Roman" w:hAnsi="Times New Roman" w:eastAsia="Times New Roman" w:cs="Times New Roman"/>
                <w:b/>
                <w:bCs/>
                <w:sz w:val="17"/>
                <w:szCs w:val="17"/>
              </w:rPr>
              <w:t>2</w:t>
            </w:r>
          </w:p>
        </w:tc>
        <w:tc>
          <w:tcPr>
            <w:tcW w:w="2161" w:type="dxa"/>
            <w:vAlign w:val="center"/>
          </w:tcPr>
          <w:p>
            <w:pPr>
              <w:pStyle w:val="12"/>
              <w:spacing w:line="240" w:lineRule="auto"/>
              <w:ind w:firstLine="0" w:firstLineChars="0"/>
              <w:jc w:val="center"/>
              <w:rPr>
                <w:vertAlign w:val="baseline"/>
              </w:rPr>
            </w:pPr>
            <w:r>
              <w:rPr>
                <w:rFonts w:ascii="Times New Roman" w:hAnsi="Times New Roman" w:eastAsia="Times New Roman" w:cs="Times New Roman"/>
                <w:b/>
                <w:bCs/>
                <w:sz w:val="17"/>
                <w:szCs w:val="17"/>
              </w:rPr>
              <w:t>3</w:t>
            </w:r>
          </w:p>
        </w:tc>
        <w:tc>
          <w:tcPr>
            <w:tcW w:w="2163" w:type="dxa"/>
            <w:vAlign w:val="center"/>
          </w:tcPr>
          <w:p>
            <w:pPr>
              <w:pStyle w:val="12"/>
              <w:spacing w:line="240" w:lineRule="auto"/>
              <w:ind w:firstLine="0" w:firstLineChars="0"/>
              <w:jc w:val="center"/>
              <w:rPr>
                <w:vertAlign w:val="baseline"/>
              </w:rPr>
            </w:pPr>
            <w:r>
              <w:rPr>
                <w:rFonts w:ascii="Times New Roman" w:hAnsi="Times New Roman" w:eastAsia="Times New Roman" w:cs="Times New Roman"/>
                <w:b/>
                <w:bCs/>
                <w:sz w:val="17"/>
                <w:szCs w:val="17"/>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12"/>
              <w:spacing w:line="240" w:lineRule="auto"/>
              <w:ind w:firstLine="0" w:firstLineChars="0"/>
              <w:jc w:val="left"/>
              <w:rPr>
                <w:vertAlign w:val="baseline"/>
              </w:rPr>
            </w:pPr>
            <w:r>
              <w:rPr>
                <w:sz w:val="17"/>
                <w:szCs w:val="17"/>
              </w:rPr>
              <w:t>合计</w:t>
            </w:r>
          </w:p>
        </w:tc>
        <w:tc>
          <w:tcPr>
            <w:tcW w:w="2222" w:type="dxa"/>
            <w:vAlign w:val="center"/>
          </w:tcPr>
          <w:p>
            <w:pPr>
              <w:pStyle w:val="12"/>
              <w:spacing w:line="240" w:lineRule="auto"/>
              <w:ind w:left="1700" w:leftChars="0"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1" w:type="dxa"/>
            <w:vAlign w:val="center"/>
          </w:tcPr>
          <w:p>
            <w:pPr>
              <w:pStyle w:val="12"/>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1" w:type="dxa"/>
            <w:vAlign w:val="center"/>
          </w:tcPr>
          <w:p>
            <w:pPr>
              <w:pStyle w:val="12"/>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3" w:type="dxa"/>
            <w:vAlign w:val="center"/>
          </w:tcPr>
          <w:p>
            <w:pPr>
              <w:pStyle w:val="12"/>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7"/>
            <w:tcBorders>
              <w:left w:val="nil"/>
              <w:bottom w:val="nil"/>
              <w:right w:val="nil"/>
            </w:tcBorders>
          </w:tcPr>
          <w:p>
            <w:pPr>
              <w:pStyle w:val="13"/>
              <w:spacing w:line="302" w:lineRule="exact"/>
              <w:ind w:left="672"/>
              <w:jc w:val="left"/>
            </w:pPr>
            <w:r>
              <w:t>注：本报表金额单位转换时可能存在四舍五入尾数误差。本部门</w:t>
            </w:r>
            <w:r>
              <w:rPr>
                <w:rFonts w:hint="eastAsia" w:ascii="Times New Roman" w:hAnsi="Times New Roman" w:cs="Times New Roman"/>
                <w:b/>
                <w:bCs/>
                <w:lang w:eastAsia="zh-CN"/>
              </w:rPr>
              <w:t>2024</w:t>
            </w:r>
            <w:r>
              <w:rPr>
                <w:rFonts w:ascii="Times New Roman" w:hAnsi="Times New Roman" w:cs="Times New Roman"/>
                <w:b/>
                <w:u w:color="auto"/>
              </w:rPr>
              <w:t>年</w:t>
            </w:r>
            <w:r>
              <w:t>度没有国有资本经营预算支出，故本表无数据</w:t>
            </w:r>
          </w:p>
          <w:p>
            <w:pPr>
              <w:pStyle w:val="13"/>
              <w:bidi w:val="0"/>
              <w:jc w:val="both"/>
              <w:rPr>
                <w:vertAlign w:val="baseline"/>
              </w:rPr>
            </w:pPr>
          </w:p>
        </w:tc>
      </w:tr>
    </w:tbl>
    <w:p>
      <w:pPr>
        <w:pStyle w:val="13"/>
        <w:bidi w:val="0"/>
      </w:pPr>
    </w:p>
    <w:p>
      <w:r>
        <w:br w:type="page"/>
      </w:r>
    </w:p>
    <w:p>
      <w:pPr>
        <w:pStyle w:val="11"/>
        <w:keepNext/>
        <w:keepLines/>
        <w:spacing w:after="240"/>
        <w:jc w:val="center"/>
        <w:rPr>
          <w:rFonts w:hint="default" w:eastAsia="宋体"/>
          <w:lang w:val="en-US" w:eastAsia="zh-CN"/>
        </w:rPr>
      </w:pPr>
      <w:r>
        <w:rPr>
          <w:rFonts w:hint="eastAsia"/>
          <w:lang w:val="en-US" w:eastAsia="zh-CN"/>
        </w:rPr>
        <w:t>2024年度预算项目绩效目标公开表</w:t>
      </w:r>
    </w:p>
    <w:tbl>
      <w:tblPr>
        <w:tblStyle w:val="3"/>
        <w:tblW w:w="0" w:type="auto"/>
        <w:tblInd w:w="0" w:type="dxa"/>
        <w:tblLayout w:type="fixed"/>
        <w:tblCellMar>
          <w:top w:w="0" w:type="dxa"/>
          <w:left w:w="10" w:type="dxa"/>
          <w:bottom w:w="0" w:type="dxa"/>
          <w:right w:w="10" w:type="dxa"/>
        </w:tblCellMar>
      </w:tblPr>
      <w:tblGrid>
        <w:gridCol w:w="1843"/>
        <w:gridCol w:w="2559"/>
        <w:gridCol w:w="3350"/>
        <w:gridCol w:w="1511"/>
        <w:gridCol w:w="6076"/>
      </w:tblGrid>
      <w:tr>
        <w:tblPrEx>
          <w:tblCellMar>
            <w:top w:w="0" w:type="dxa"/>
            <w:left w:w="10" w:type="dxa"/>
            <w:bottom w:w="0" w:type="dxa"/>
            <w:right w:w="10" w:type="dxa"/>
          </w:tblCellMar>
        </w:tblPrEx>
        <w:trPr>
          <w:trHeight w:val="346" w:hRule="exact"/>
        </w:trPr>
        <w:tc>
          <w:tcPr>
            <w:tcW w:w="9263" w:type="dxa"/>
            <w:gridSpan w:val="4"/>
            <w:shd w:val="clear" w:color="auto" w:fill="FFFFFF"/>
          </w:tcPr>
          <w:p>
            <w:pPr>
              <w:pStyle w:val="12"/>
              <w:spacing w:line="240" w:lineRule="auto"/>
              <w:ind w:firstLine="0"/>
              <w:jc w:val="left"/>
              <w:rPr>
                <w:rFonts w:hint="default" w:ascii="宋体" w:hAnsi="宋体" w:eastAsia="宋体" w:cs="宋体"/>
                <w:sz w:val="17"/>
                <w:szCs w:val="17"/>
                <w:lang w:val="en-US"/>
              </w:rPr>
            </w:pPr>
            <w:r>
              <w:rPr>
                <w:rFonts w:hint="eastAsia" w:ascii="宋体" w:hAnsi="宋体" w:eastAsia="宋体" w:cs="宋体"/>
                <w:sz w:val="17"/>
                <w:szCs w:val="17"/>
              </w:rPr>
              <w:t>单位名称：</w:t>
            </w:r>
            <w:r>
              <w:rPr>
                <w:rFonts w:hint="eastAsia" w:ascii="宋体" w:hAnsi="宋体" w:eastAsia="宋体" w:cs="宋体"/>
                <w:sz w:val="17"/>
                <w:szCs w:val="17"/>
                <w:lang w:eastAsia="zh-CN"/>
              </w:rPr>
              <w:t>环江毛南族自治县长美乡爱洞村村民委员会</w:t>
            </w:r>
            <w:r>
              <w:rPr>
                <w:rFonts w:hint="eastAsia" w:cs="宋体"/>
                <w:sz w:val="17"/>
                <w:szCs w:val="17"/>
                <w:lang w:val="en-US" w:eastAsia="zh-CN"/>
              </w:rPr>
              <w:t xml:space="preserve">            </w:t>
            </w:r>
          </w:p>
        </w:tc>
        <w:tc>
          <w:tcPr>
            <w:tcW w:w="6076" w:type="dxa"/>
            <w:shd w:val="clear" w:color="auto" w:fill="FFFFFF"/>
          </w:tcPr>
          <w:p>
            <w:pPr>
              <w:pStyle w:val="12"/>
              <w:spacing w:line="240" w:lineRule="auto"/>
              <w:ind w:firstLine="4760" w:firstLineChars="2800"/>
              <w:jc w:val="left"/>
              <w:rPr>
                <w:rFonts w:hint="eastAsia" w:ascii="宋体" w:hAnsi="宋体" w:eastAsia="宋体" w:cs="宋体"/>
                <w:sz w:val="17"/>
                <w:szCs w:val="17"/>
              </w:rPr>
            </w:pPr>
            <w:r>
              <w:rPr>
                <w:rFonts w:hint="eastAsia" w:ascii="宋体" w:hAnsi="宋体" w:eastAsia="宋体" w:cs="宋体"/>
                <w:sz w:val="17"/>
                <w:szCs w:val="17"/>
              </w:rPr>
              <w:t>单位：万元</w:t>
            </w:r>
          </w:p>
        </w:tc>
      </w:tr>
      <w:tr>
        <w:tblPrEx>
          <w:tblCellMar>
            <w:top w:w="0" w:type="dxa"/>
            <w:left w:w="10" w:type="dxa"/>
            <w:bottom w:w="0" w:type="dxa"/>
            <w:right w:w="10" w:type="dxa"/>
          </w:tblCellMar>
        </w:tblPrEx>
        <w:trPr>
          <w:trHeight w:val="854" w:hRule="exact"/>
        </w:trPr>
        <w:tc>
          <w:tcPr>
            <w:tcW w:w="1843"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0"/>
              <w:jc w:val="center"/>
              <w:rPr>
                <w:rFonts w:hint="eastAsia" w:ascii="宋体" w:hAnsi="宋体" w:eastAsia="宋体" w:cs="宋体"/>
                <w:sz w:val="17"/>
                <w:szCs w:val="17"/>
                <w:lang w:val="en-US" w:eastAsia="zh-CN"/>
              </w:rPr>
            </w:pPr>
            <w:r>
              <w:rPr>
                <w:rFonts w:ascii="宋体" w:hAnsi="宋体" w:eastAsia="宋体" w:cs="宋体"/>
                <w:sz w:val="17"/>
                <w:u w:color="auto"/>
              </w:rPr>
              <w:t>单位代码</w:t>
            </w:r>
          </w:p>
        </w:tc>
        <w:tc>
          <w:tcPr>
            <w:tcW w:w="2559"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24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单位名称</w:t>
            </w:r>
          </w:p>
        </w:tc>
        <w:tc>
          <w:tcPr>
            <w:tcW w:w="335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项目名称</w:t>
            </w:r>
          </w:p>
        </w:tc>
        <w:tc>
          <w:tcPr>
            <w:tcW w:w="1511"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预算金额</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年度绩效目标</w:t>
            </w:r>
          </w:p>
        </w:tc>
      </w:tr>
    </w:tbl>
    <w:p>
      <w:pPr>
        <w:jc w:val="left"/>
        <w:rPr>
          <w:rFonts w:hint="eastAsia"/>
        </w:rPr>
      </w:pPr>
      <w:r>
        <w:t>注：本报表金额单位转换时可能存在四舍五入尾数误差。</w:t>
      </w:r>
    </w:p>
    <w:p>
      <w:pPr>
        <w:jc w:val="left"/>
        <w:rPr>
          <w:rFonts w:hint="eastAsia"/>
          <w:lang w:eastAsia="zh-CN"/>
        </w:rPr>
        <w:sectPr>
          <w:headerReference r:id="rId10" w:type="default"/>
          <w:footerReference r:id="rId11" w:type="default"/>
          <w:pgSz w:w="16840" w:h="11900" w:orient="landscape"/>
          <w:pgMar w:top="2714" w:right="764" w:bottom="2714" w:left="735" w:header="2286" w:footer="1474" w:gutter="0"/>
          <w:pgBorders>
            <w:top w:val="none" w:sz="0" w:space="0"/>
            <w:left w:val="none" w:sz="0" w:space="0"/>
            <w:bottom w:val="none" w:sz="0" w:space="0"/>
            <w:right w:val="none" w:sz="0" w:space="0"/>
          </w:pgBorders>
          <w:pgNumType w:fmt="decimal"/>
          <w:cols w:space="720" w:num="1"/>
          <w:docGrid w:linePitch="360" w:charSpace="0"/>
        </w:sectPr>
      </w:pPr>
    </w:p>
    <w:p>
      <w:pPr>
        <w:pStyle w:val="7"/>
        <w:keepNext/>
        <w:keepLines/>
        <w:spacing w:before="200" w:after="0"/>
        <w:jc w:val="center"/>
        <w:rPr>
          <w:sz w:val="40"/>
          <w:szCs w:val="40"/>
        </w:rPr>
      </w:pPr>
      <w:bookmarkStart w:id="31" w:name="bookmark96"/>
      <w:bookmarkStart w:id="32" w:name="bookmark94"/>
      <w:bookmarkStart w:id="33" w:name="bookmark95"/>
      <w:r>
        <w:rPr>
          <w:sz w:val="40"/>
          <w:szCs w:val="40"/>
        </w:rPr>
        <w:t>第四部</w:t>
      </w:r>
      <w:r>
        <w:rPr>
          <w:rFonts w:hint="eastAsia"/>
          <w:sz w:val="40"/>
          <w:szCs w:val="40"/>
          <w:lang w:val="en-US" w:eastAsia="zh-CN"/>
        </w:rPr>
        <w:t xml:space="preserve">  </w:t>
      </w:r>
      <w:r>
        <w:rPr>
          <w:sz w:val="40"/>
          <w:szCs w:val="40"/>
        </w:rPr>
        <w:t>分名词解释</w:t>
      </w:r>
      <w:bookmarkEnd w:id="31"/>
      <w:bookmarkEnd w:id="32"/>
      <w:bookmarkEnd w:id="33"/>
    </w:p>
    <w:p>
      <w:pPr>
        <w:pStyle w:val="9"/>
        <w:tabs>
          <w:tab w:val="left" w:pos="1270"/>
        </w:tabs>
        <w:spacing w:line="626" w:lineRule="exact"/>
        <w:ind w:firstLine="640"/>
        <w:jc w:val="left"/>
      </w:pPr>
      <w:bookmarkStart w:id="34" w:name="bookmark97"/>
      <w:r>
        <w:t>一</w:t>
      </w:r>
      <w:bookmarkEnd w:id="34"/>
      <w:r>
        <w:t>、</w:t>
      </w:r>
      <w:r>
        <w:tab/>
      </w:r>
      <w:r>
        <w:t>财政拨款收入：指预算单位从本级财政部门取得的财政预算资金收入。</w:t>
      </w:r>
    </w:p>
    <w:p>
      <w:pPr>
        <w:pStyle w:val="9"/>
        <w:tabs>
          <w:tab w:val="left" w:pos="1280"/>
        </w:tabs>
        <w:spacing w:line="626" w:lineRule="exact"/>
        <w:ind w:firstLine="640"/>
        <w:jc w:val="left"/>
      </w:pPr>
      <w:bookmarkStart w:id="35" w:name="bookmark98"/>
      <w:r>
        <w:t>二</w:t>
      </w:r>
      <w:bookmarkEnd w:id="35"/>
      <w:r>
        <w:t>、</w:t>
      </w:r>
      <w:r>
        <w:tab/>
      </w:r>
      <w:r>
        <w:t>事业收入：指事业单位开展专业业务活动及辅助活动所取得的收入。</w:t>
      </w:r>
    </w:p>
    <w:p>
      <w:pPr>
        <w:pStyle w:val="9"/>
        <w:tabs>
          <w:tab w:val="left" w:pos="1275"/>
        </w:tabs>
        <w:spacing w:line="626" w:lineRule="exact"/>
        <w:ind w:firstLine="640"/>
        <w:jc w:val="left"/>
      </w:pPr>
      <w:bookmarkStart w:id="36" w:name="bookmark99"/>
      <w:r>
        <w:t>三</w:t>
      </w:r>
      <w:bookmarkEnd w:id="36"/>
      <w:r>
        <w:t>、</w:t>
      </w:r>
      <w:r>
        <w:tab/>
      </w:r>
      <w:r>
        <w:t>经营收入：指事业单位在专业业务活动及其辅助活动之外开展非独立核算经营活动取得的收入。</w:t>
      </w:r>
    </w:p>
    <w:p>
      <w:pPr>
        <w:pStyle w:val="9"/>
        <w:tabs>
          <w:tab w:val="left" w:pos="1309"/>
        </w:tabs>
        <w:spacing w:line="626" w:lineRule="exact"/>
        <w:ind w:firstLine="640"/>
        <w:jc w:val="left"/>
      </w:pPr>
      <w:bookmarkStart w:id="37" w:name="bookmark100"/>
      <w:r>
        <w:t>四</w:t>
      </w:r>
      <w:bookmarkEnd w:id="37"/>
      <w:r>
        <w:t>、</w:t>
      </w:r>
      <w:r>
        <w:tab/>
      </w:r>
      <w:r>
        <w:t>其他收入：指除上述</w:t>
      </w:r>
      <w:r>
        <w:rPr>
          <w:lang w:val="zh-CN" w:eastAsia="zh-CN" w:bidi="zh-CN"/>
        </w:rPr>
        <w:t>“财</w:t>
      </w:r>
      <w:r>
        <w:t>政拨款收入”、</w:t>
      </w:r>
      <w:r>
        <w:rPr>
          <w:lang w:val="zh-CN" w:eastAsia="zh-CN" w:bidi="zh-CN"/>
        </w:rPr>
        <w:t>“事</w:t>
      </w:r>
      <w:r>
        <w:t>业收入"、</w:t>
      </w:r>
      <w:r>
        <w:rPr>
          <w:lang w:val="zh-CN" w:eastAsia="zh-CN" w:bidi="zh-CN"/>
        </w:rPr>
        <w:t>“经营</w:t>
      </w:r>
      <w:r>
        <w:t>收入"等以外的收入。主要是非本级财政拨款、存款利息收入、事业单位固定资产出租收入等。</w:t>
      </w:r>
    </w:p>
    <w:p>
      <w:pPr>
        <w:pStyle w:val="9"/>
        <w:tabs>
          <w:tab w:val="left" w:pos="1275"/>
        </w:tabs>
        <w:spacing w:line="626" w:lineRule="exact"/>
        <w:ind w:firstLine="640"/>
        <w:jc w:val="left"/>
      </w:pPr>
      <w:bookmarkStart w:id="38" w:name="bookmark101"/>
      <w:r>
        <w:t>五</w:t>
      </w:r>
      <w:bookmarkEnd w:id="38"/>
      <w:r>
        <w:t>、</w:t>
      </w:r>
      <w:r>
        <w:tab/>
      </w:r>
      <w:r>
        <w:t>用事业基金弥补收支差额：指事业单位在用当年的</w:t>
      </w:r>
      <w:r>
        <w:rPr>
          <w:lang w:val="zh-CN" w:eastAsia="zh-CN" w:bidi="zh-CN"/>
        </w:rPr>
        <w:t>“财</w:t>
      </w:r>
      <w:r>
        <w:t>政拨款收入"、</w:t>
      </w:r>
      <w:r>
        <w:rPr>
          <w:lang w:val="zh-CN" w:eastAsia="zh-CN" w:bidi="zh-CN"/>
        </w:rPr>
        <w:t>“事业</w:t>
      </w:r>
      <w:r>
        <w:t>收入"、</w:t>
      </w:r>
      <w:r>
        <w:rPr>
          <w:lang w:val="zh-CN" w:eastAsia="zh-CN" w:bidi="zh-CN"/>
        </w:rPr>
        <w:t>“经营</w:t>
      </w:r>
      <w:r>
        <w:t>收入"、</w:t>
      </w:r>
      <w:r>
        <w:rPr>
          <w:lang w:val="zh-CN" w:eastAsia="zh-CN" w:bidi="zh-CN"/>
        </w:rPr>
        <w:t>“其他</w:t>
      </w:r>
      <w:r>
        <w:t>收入"不足以安排当年支出的情况下，使用以前年度积累的事业基金（事业单位当年收支相抵后按国家规定提取、用于弥补以后年度收支差额的基金）弥补本年度收支缺口的资金。</w:t>
      </w:r>
    </w:p>
    <w:p>
      <w:pPr>
        <w:pStyle w:val="9"/>
        <w:tabs>
          <w:tab w:val="left" w:pos="1270"/>
        </w:tabs>
        <w:spacing w:line="626" w:lineRule="exact"/>
        <w:ind w:firstLine="640"/>
        <w:jc w:val="left"/>
      </w:pPr>
      <w:bookmarkStart w:id="39" w:name="bookmark102"/>
      <w:r>
        <w:t>六</w:t>
      </w:r>
      <w:bookmarkEnd w:id="39"/>
      <w:r>
        <w:t>、</w:t>
      </w:r>
      <w:r>
        <w:tab/>
      </w:r>
      <w:r>
        <w:t>年初结转和结余：指以前年度尚未完成、结转到本年按有关规定继续使用的资金。</w:t>
      </w:r>
    </w:p>
    <w:p>
      <w:pPr>
        <w:pStyle w:val="9"/>
        <w:tabs>
          <w:tab w:val="left" w:pos="1275"/>
        </w:tabs>
        <w:spacing w:line="626" w:lineRule="exact"/>
        <w:ind w:firstLine="640"/>
        <w:jc w:val="left"/>
      </w:pPr>
      <w:bookmarkStart w:id="40" w:name="bookmark103"/>
      <w:r>
        <w:t>七</w:t>
      </w:r>
      <w:bookmarkEnd w:id="40"/>
      <w:r>
        <w:t>、</w:t>
      </w:r>
      <w:r>
        <w:tab/>
      </w:r>
      <w:r>
        <w:t>结余分配：指事业单位按规定提取的职工福利基金、事业基金和缴纳的所得税，以及建设单位按规定应交回的基本建设竣工项目结余资金。</w:t>
      </w:r>
    </w:p>
    <w:p>
      <w:pPr>
        <w:pStyle w:val="9"/>
        <w:tabs>
          <w:tab w:val="left" w:pos="632"/>
        </w:tabs>
        <w:spacing w:line="626" w:lineRule="exact"/>
        <w:ind w:firstLine="640"/>
        <w:jc w:val="left"/>
      </w:pPr>
      <w:bookmarkStart w:id="41" w:name="bookmark104"/>
      <w:r>
        <w:t>八</w:t>
      </w:r>
      <w:bookmarkEnd w:id="41"/>
      <w:r>
        <w:t>、</w:t>
      </w:r>
      <w:r>
        <w:tab/>
      </w:r>
      <w:r>
        <w:t>年末结转和结余：指本年度或以前年度预算安排、因客观条件发生变化无法按原计划实施，需要延迟到以后年度按有关规定继续使用的资金。</w:t>
      </w:r>
    </w:p>
    <w:p>
      <w:pPr>
        <w:pStyle w:val="9"/>
        <w:spacing w:line="628" w:lineRule="exact"/>
        <w:ind w:firstLine="640"/>
        <w:jc w:val="left"/>
      </w:pPr>
      <w:bookmarkStart w:id="42" w:name="bookmark105"/>
      <w:r>
        <w:t>九</w:t>
      </w:r>
      <w:bookmarkEnd w:id="42"/>
      <w:r>
        <w:t>、基本支出：指为保障机构正常运转、完成日常工作任务而发生的人员支出和公用支出。</w:t>
      </w:r>
    </w:p>
    <w:p>
      <w:pPr>
        <w:pStyle w:val="9"/>
        <w:spacing w:line="628" w:lineRule="exact"/>
        <w:ind w:firstLine="640"/>
        <w:jc w:val="left"/>
      </w:pPr>
      <w:r>
        <w:t>十、项目支出：指在基本支出之外为完成特定行政任务和事业发展目标所发生的支出。</w:t>
      </w:r>
    </w:p>
    <w:p>
      <w:pPr>
        <w:pStyle w:val="9"/>
        <w:spacing w:line="628" w:lineRule="exact"/>
        <w:ind w:firstLine="640"/>
        <w:jc w:val="left"/>
      </w:pPr>
      <w:r>
        <w:t>十一、经营支出：指事业单位在专业业务活动及其辅助活动之外开展非独立核算经营活动所发生的支出。</w:t>
      </w:r>
    </w:p>
    <w:p>
      <w:pPr>
        <w:pStyle w:val="9"/>
        <w:spacing w:line="628" w:lineRule="exact"/>
        <w:ind w:firstLine="640"/>
        <w:jc w:val="left"/>
      </w:pPr>
      <w:r>
        <w:t>十二、</w:t>
      </w:r>
      <w:r>
        <w:rPr>
          <w:lang w:val="zh-CN" w:eastAsia="zh-CN" w:bidi="zh-CN"/>
        </w:rPr>
        <w:t>“三</w:t>
      </w:r>
      <w:r>
        <w:t>公”经费：纳入财政预决算管理的</w:t>
      </w:r>
      <w:r>
        <w:rPr>
          <w:lang w:val="zh-CN" w:eastAsia="zh-CN" w:bidi="zh-CN"/>
        </w:rPr>
        <w:t>“三公</w:t>
      </w:r>
      <w:r>
        <w:t>”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9"/>
        <w:spacing w:line="628" w:lineRule="exact"/>
        <w:ind w:firstLine="640"/>
        <w:jc w:val="left"/>
      </w:pPr>
      <w:r>
        <w:t>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sectPr>
      <w:headerReference r:id="rId12" w:type="default"/>
      <w:footerReference r:id="rId13" w:type="default"/>
      <w:type w:val="continuous"/>
      <w:pgSz w:w="11900" w:h="16840"/>
      <w:pgMar w:top="1302" w:right="1735" w:bottom="1568" w:left="1793" w:header="874" w:footer="1077" w:gutter="0"/>
      <w:pgBorders>
        <w:top w:val="none" w:sz="0" w:space="0"/>
        <w:left w:val="none" w:sz="0" w:space="0"/>
        <w:bottom w:val="none" w:sz="0" w:space="0"/>
        <w:right w:val="none" w:sz="0" w:space="0"/>
      </w:pgBorders>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74"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5dblS0AAAAAUBAAAPAAAAAAAAAAEAIAAAACIAAABkcnMvZG93bnJl&#10;di54bWxQSwECFAAUAAAACACHTuJABkxdPAUCAAAMBAAADgAAAAAAAAABACAAAAAfAQAAZHJzL2Uy&#10;b0RvYy54bWxQSwUGAAAAAAYABgBZAQAAlgU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2582" name="文本框 4"/>
              <wp:cNvGraphicFramePr/>
              <a:graphic xmlns:a="http://schemas.openxmlformats.org/drawingml/2006/main">
                <a:graphicData uri="http://schemas.microsoft.com/office/word/2010/wordprocessingShape">
                  <wps:wsp>
                    <wps:cNvSpPr/>
                    <wps:spPr>
                      <a:xfrm>
                        <a:off x="0" y="0"/>
                        <a:ext cx="394970" cy="16891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rect id="文本框 4" o:spid="_x0000_s1026" o:spt="1" style="position:absolute;left:0pt;margin-left:202.75pt;margin-top:0pt;height:13.3pt;width:31.1pt;mso-position-horizontal-relative:margin;z-index:251662336;mso-width-relative:page;mso-height-relative:page;" filled="f" stroked="f" coordsize="21600,21600" o:gfxdata="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7XXEI9kAAAAHAQAADwAAAAAAAAABACAAAAAi&#10;AAAAZHJzL2Rvd25yZXYueG1sUEsBAhQAFAAAAAgAh07iQCoau94JAgAADAQAAA4AAAAAAAAAAQAg&#10;AAAAKAEAAGRycy9lMm9Eb2MueG1sUEsFBgAAAAAGAAYAWQEAAKMFAAAAAA==&#10;">
              <v:fill on="f" focussize="0,0"/>
              <v:stroke on="f"/>
              <v:imagedata o:title=""/>
              <o:lock v:ext="edit" aspectratio="f"/>
              <v:textbox inset="0mm,0mm,0mm,0mm">
                <w:txbxContent>
                  <w:p>
                    <w:pPr>
                      <w:pStyle w:val="2"/>
                    </w:pPr>
                    <w:r>
                      <w:fldChar w:fldCharType="begin"/>
                    </w:r>
                    <w:r>
                      <w:instrText xml:space="preserve"> PAGE  \* MERGEFORMAT </w:instrText>
                    </w:r>
                    <w:r>
                      <w:fldChar w:fldCharType="separate"/>
                    </w:r>
                    <w:r>
                      <w:t>4</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2584" name="文本框 7"/>
              <wp:cNvGraphicFramePr/>
              <a:graphic xmlns:a="http://schemas.openxmlformats.org/drawingml/2006/main">
                <a:graphicData uri="http://schemas.microsoft.com/office/word/2010/wordprocessingShape">
                  <wps:wsp>
                    <wps:cNvSpPr/>
                    <wps:spPr>
                      <a:xfrm>
                        <a:off x="0" y="0"/>
                        <a:ext cx="440055" cy="206375"/>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rect id="文本框 7" o:spid="_x0000_s1026" o:spt="1" style="position:absolute;left:0pt;margin-left:378.75pt;margin-top:0pt;height:16.25pt;width:34.65pt;mso-position-horizontal-relative:margin;z-index:251663360;mso-width-relative:page;mso-height-relative:page;" filled="f" stroked="f" coordsize="21600,21600" o:gfxdata="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60y47dgAAAAHAQAADwAAAAAAAAABACAAAAAi&#10;AAAAZHJzL2Rvd25yZXYueG1sUEsBAhQAFAAAAAgAh07iQOAQsyoKAgAADAQAAA4AAAAAAAAAAQAg&#10;AAAAJwEAAGRycy9lMm9Eb2MueG1sUEsFBgAAAAAGAAYAWQEAAKMFAAAAAA==&#10;">
              <v:fill on="f" focussize="0,0"/>
              <v:stroke on="f"/>
              <v:imagedata o:title=""/>
              <o:lock v:ext="edit" aspectratio="f"/>
              <v:textbox inset="0mm,0mm,0mm,0mm">
                <w:txbxContent>
                  <w:p>
                    <w:pPr>
                      <w:pStyle w:val="2"/>
                    </w:pPr>
                    <w:r>
                      <w:fldChar w:fldCharType="begin"/>
                    </w:r>
                    <w:r>
                      <w:instrText xml:space="preserve"> PAGE  \* MERGEFORMAT </w:instrText>
                    </w:r>
                    <w:r>
                      <w:fldChar w:fldCharType="separate"/>
                    </w:r>
                    <w:r>
                      <w:t>15</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85" name="文本框 9"/>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9" o:spid="_x0000_s1026" o:spt="1"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l1uVLQAAAABQEAAA8AAAAAAAAAAQAgAAAAIgAAAGRycy9kb3ducmV2&#10;LnhtbFBLAQIUABQAAAAIAIdO4kCZNij1BAIAAAwEAAAOAAAAAAAAAAEAIAAAAB8BAABkcnMvZTJv&#10;RG9jLnhtbFBLBQYAAAAABgAGAFkBAACV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16</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86" name="文本框 1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1" o:spid="_x0000_s1026" o:spt="1"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5dblS0AAAAAUBAAAPAAAAAAAAAAEAIAAAACIAAABkcnMvZG93bnJl&#10;di54bWxQSwECFAAUAAAACACHTuJAIDJ8lAUCAAANBAAADgAAAAAAAAABACAAAAAfAQAAZHJzL2Uy&#10;b0RvYy54bWxQSwUGAAAAAAYABgBZAQAAlgU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17</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87" name="文本框 1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2" o:spid="_x0000_s1026" o:spt="1"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l1uVLQAAAABQEAAA8AAAAAAAAAAQAgAAAAIgAAAGRycy9kb3ducmV2&#10;LnhtbFBLAQIUABQAAAAIAIdO4kBgWhpCBAIAAA0EAAAOAAAAAAAAAAEAIAAAAB8BAABkcnMvZTJv&#10;RG9jLnhtbFBLBQYAAAAABgAGAFkBAACV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25</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2581"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14"/>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7216;mso-width-relative:page;mso-height-relative:page;" filled="f" stroked="f" coordsize="21600,21600" o:gfxdata="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Y&#10;wIsR2wAAAA0BAAAPAAAAAAAAAAEAIAAAACIAAABkcnMvZG93bnJldi54bWxQSwECFAAUAAAACACH&#10;TuJAmE5jZegBAADlAwAADgAAAAAAAAABACAAAAAqAQAAZHJzL2Uyb0RvYy54bWxQSwUGAAAAAAYA&#10;BgBZAQAAhAUAAAAA&#10;">
              <v:fill on="f" focussize="0,0"/>
              <v:stroke on="f"/>
              <v:imagedata o:title=""/>
              <o:lock v:ext="edit" aspectratio="f"/>
              <v:textbox inset="0mm,0mm,0mm,0mm" style="mso-fit-shape-to-text:t;">
                <w:txbxContent>
                  <w:p>
                    <w:pPr>
                      <w:pStyle w:val="14"/>
                    </w:pP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2583"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14"/>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6192;mso-width-relative:page;mso-height-relative:page;" filled="f" stroked="f" coordsize="21600,21600" o:gfxdata="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mMCLEdsAAAANAQAADwAAAAAAAAABACAAAAAiAAAAZHJzL2Rvd25yZXYueG1sUEsBAhQAFAAAAAgA&#10;h07iQE6l1GjpAQAA5QMAAA4AAAAAAAAAAQAgAAAAKgEAAGRycy9lMm9Eb2MueG1sUEsFBgAAAAAG&#10;AAYAWQEAAIUFAAAAAA==&#10;">
              <v:fill on="f" focussize="0,0"/>
              <v:stroke on="f"/>
              <v:imagedata o:title=""/>
              <o:lock v:ext="edit" aspectratio="f"/>
              <v:textbox inset="0mm,0mm,0mm,0mm" style="mso-fit-shape-to-text:t;">
                <w:txbxContent>
                  <w:p>
                    <w:pPr>
                      <w:pStyle w:val="14"/>
                    </w:pP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singleLevel"/>
    <w:tmpl w:val="BF205925"/>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C91CB4"/>
    <w:rsid w:val="71C91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Body text|5"/>
    <w:basedOn w:val="1"/>
    <w:qFormat/>
    <w:uiPriority w:val="0"/>
    <w:pPr>
      <w:jc w:val="center"/>
    </w:pPr>
    <w:rPr>
      <w:rFonts w:ascii="宋体" w:hAnsi="宋体" w:eastAsia="宋体" w:cs="宋体"/>
      <w:sz w:val="54"/>
      <w:szCs w:val="54"/>
      <w:lang w:val="zh-TW" w:eastAsia="zh-TW" w:bidi="zh-TW"/>
    </w:rPr>
  </w:style>
  <w:style w:type="paragraph" w:customStyle="1" w:styleId="7">
    <w:name w:val="Heading #1|1"/>
    <w:basedOn w:val="1"/>
    <w:qFormat/>
    <w:uiPriority w:val="0"/>
    <w:pPr>
      <w:spacing w:after="400"/>
      <w:jc w:val="center"/>
      <w:outlineLvl w:val="0"/>
    </w:pPr>
    <w:rPr>
      <w:rFonts w:ascii="宋体" w:hAnsi="宋体" w:eastAsia="宋体" w:cs="宋体"/>
      <w:sz w:val="44"/>
      <w:szCs w:val="44"/>
      <w:lang w:val="zh-TW" w:eastAsia="zh-TW" w:bidi="zh-TW"/>
    </w:rPr>
  </w:style>
  <w:style w:type="paragraph" w:customStyle="1" w:styleId="8">
    <w:name w:val="Body text|2"/>
    <w:basedOn w:val="1"/>
    <w:qFormat/>
    <w:uiPriority w:val="0"/>
    <w:pPr>
      <w:spacing w:after="240"/>
      <w:ind w:firstLine="560"/>
    </w:pPr>
    <w:rPr>
      <w:rFonts w:ascii="宋体" w:hAnsi="宋体" w:eastAsia="宋体" w:cs="宋体"/>
      <w:sz w:val="32"/>
      <w:szCs w:val="32"/>
      <w:lang w:val="zh-TW" w:eastAsia="zh-TW" w:bidi="zh-TW"/>
    </w:rPr>
  </w:style>
  <w:style w:type="paragraph" w:customStyle="1" w:styleId="9">
    <w:name w:val="Body text|1"/>
    <w:basedOn w:val="1"/>
    <w:qFormat/>
    <w:uiPriority w:val="0"/>
    <w:pPr>
      <w:spacing w:line="468" w:lineRule="auto"/>
      <w:ind w:firstLine="400"/>
    </w:pPr>
    <w:rPr>
      <w:rFonts w:ascii="宋体" w:hAnsi="宋体" w:eastAsia="宋体" w:cs="宋体"/>
      <w:sz w:val="28"/>
      <w:szCs w:val="28"/>
      <w:lang w:val="zh-TW" w:eastAsia="zh-TW" w:bidi="zh-TW"/>
    </w:rPr>
  </w:style>
  <w:style w:type="paragraph" w:customStyle="1" w:styleId="10">
    <w:name w:val="Body text|3"/>
    <w:basedOn w:val="1"/>
    <w:qFormat/>
    <w:uiPriority w:val="0"/>
    <w:pPr>
      <w:spacing w:after="140" w:line="336" w:lineRule="auto"/>
      <w:ind w:firstLine="370"/>
    </w:pPr>
    <w:rPr>
      <w:sz w:val="30"/>
      <w:szCs w:val="30"/>
      <w:lang w:val="zh-TW" w:eastAsia="zh-TW" w:bidi="zh-TW"/>
    </w:rPr>
  </w:style>
  <w:style w:type="paragraph" w:customStyle="1" w:styleId="11">
    <w:name w:val="Heading #2|1"/>
    <w:basedOn w:val="1"/>
    <w:qFormat/>
    <w:uiPriority w:val="0"/>
    <w:pPr>
      <w:spacing w:after="230"/>
      <w:jc w:val="center"/>
      <w:outlineLvl w:val="1"/>
    </w:pPr>
    <w:rPr>
      <w:rFonts w:ascii="宋体" w:hAnsi="宋体" w:eastAsia="宋体" w:cs="宋体"/>
      <w:sz w:val="26"/>
      <w:szCs w:val="26"/>
      <w:lang w:val="zh-TW" w:eastAsia="zh-TW" w:bidi="zh-TW"/>
    </w:rPr>
  </w:style>
  <w:style w:type="paragraph" w:customStyle="1" w:styleId="12">
    <w:name w:val="Other|1"/>
    <w:basedOn w:val="1"/>
    <w:qFormat/>
    <w:uiPriority w:val="0"/>
    <w:pPr>
      <w:spacing w:line="468" w:lineRule="auto"/>
      <w:ind w:firstLine="400"/>
    </w:pPr>
    <w:rPr>
      <w:rFonts w:ascii="宋体" w:hAnsi="宋体" w:eastAsia="宋体" w:cs="宋体"/>
      <w:sz w:val="28"/>
      <w:szCs w:val="28"/>
      <w:lang w:val="zh-TW" w:eastAsia="zh-TW" w:bidi="zh-TW"/>
    </w:rPr>
  </w:style>
  <w:style w:type="paragraph" w:customStyle="1" w:styleId="13">
    <w:name w:val="Table caption|1"/>
    <w:basedOn w:val="1"/>
    <w:qFormat/>
    <w:uiPriority w:val="0"/>
    <w:rPr>
      <w:rFonts w:ascii="宋体" w:hAnsi="宋体" w:eastAsia="宋体" w:cs="宋体"/>
      <w:sz w:val="17"/>
      <w:szCs w:val="17"/>
      <w:lang w:val="zh-TW" w:eastAsia="zh-TW" w:bidi="zh-TW"/>
    </w:rPr>
  </w:style>
  <w:style w:type="paragraph" w:customStyle="1" w:styleId="14">
    <w:name w:val="Header or footer|1"/>
    <w:basedOn w:val="1"/>
    <w:qFormat/>
    <w:uiPriority w:val="0"/>
    <w:rPr>
      <w:b/>
      <w:bCs/>
      <w:sz w:val="17"/>
      <w:szCs w:val="17"/>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chart" Target="charts/chart6.xml"/><Relationship Id="rId2" Type="http://schemas.openxmlformats.org/officeDocument/2006/relationships/settings" Target="settings.xml"/><Relationship Id="rId19" Type="http://schemas.openxmlformats.org/officeDocument/2006/relationships/chart" Target="charts/chart5.xml"/><Relationship Id="rId18" Type="http://schemas.openxmlformats.org/officeDocument/2006/relationships/chart" Target="charts/chart4.xml"/><Relationship Id="rId17" Type="http://schemas.openxmlformats.org/officeDocument/2006/relationships/chart" Target="charts/chart3.xml"/><Relationship Id="rId16" Type="http://schemas.openxmlformats.org/officeDocument/2006/relationships/chart" Target="charts/chart2.xml"/><Relationship Id="rId15" Type="http://schemas.openxmlformats.org/officeDocument/2006/relationships/chart" Target="charts/chart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formatCode>General</c:formatCode>
                <c:ptCount val="1"/>
                <c:pt idx="0">
                  <c:v>169.46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农林水支出</c:v>
                </c:pt>
              </c:strCache>
            </c:strRef>
          </c:cat>
          <c:val>
            <c:numRef>
              <c:f>Sheet1!$B$2</c:f>
              <c:numCache>
                <c:formatCode>General</c:formatCode>
                <c:ptCount val="1"/>
                <c:pt idx="0">
                  <c:v>169.46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159.33</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169.46</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一般公共预算支出情况</a:t>
            </a:r>
            <a:endParaRPr lang="en-US" sz="1100"/>
          </a:p>
        </c:rich>
      </c:tx>
      <c:layout/>
      <c:overlay val="0"/>
      <c:spPr>
        <a:noFill/>
        <a:ln>
          <a:noFill/>
        </a:ln>
        <a:effectLst/>
      </c:sp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当年</c:v>
                </c:pt>
              </c:strCache>
            </c:strRef>
          </c:cat>
          <c:val>
            <c:numRef>
              <c:f>Sheet1!$B$2</c:f>
              <c:numCache>
                <c:formatCode>General</c:formatCode>
                <c:ptCount val="1"/>
                <c:pt idx="0">
                  <c:v>169.46</c:v>
                </c:pt>
              </c:numCache>
            </c:numRef>
          </c:val>
        </c:ser>
        <c:ser>
          <c:idx val="1"/>
          <c:order val="1"/>
          <c:tx>
            <c:strRef>
              <c:f>Sheet1!$C$1</c:f>
              <c:strCache>
                <c:ptCount val="1"/>
                <c:pt idx="0">
                  <c:v>结转下年支出</c:v>
                </c:pt>
              </c:strCache>
            </c:strRef>
          </c:tx>
          <c:invertIfNegative val="0"/>
          <c:dLbls>
            <c:delete val="1"/>
          </c:dLbls>
          <c:cat>
            <c:strRef>
              <c:f>Sheet1!$A$2</c:f>
              <c:strCache>
                <c:ptCount val="1"/>
                <c:pt idx="0">
                  <c:v>当年</c:v>
                </c:pt>
              </c:strCache>
            </c:strRef>
          </c:cat>
          <c:val>
            <c:numRef>
              <c:f>Sheet1!$C$2</c:f>
              <c:numCache>
                <c:formatCode>General</c:formatCode>
                <c:ptCount val="1"/>
                <c:pt idx="0">
                  <c:v>0</c:v>
                </c:pt>
              </c:numCache>
            </c:numRef>
          </c:val>
        </c:ser>
        <c:ser>
          <c:idx val="2"/>
          <c:order val="2"/>
          <c:tx>
            <c:strRef>
              <c:f>Sheet1!$D$1</c:f>
              <c:strCache>
                <c:ptCount val="1"/>
                <c:pt idx="0">
                  <c:v>项目支出</c:v>
                </c:pt>
              </c:strCache>
            </c:strRef>
          </c:tx>
          <c:invertIfNegative val="0"/>
          <c:dLbls>
            <c:delete val="1"/>
          </c:dLbls>
          <c:cat>
            <c:strRef>
              <c:f>Sheet1!$A$2</c:f>
              <c:strCache>
                <c:ptCount val="1"/>
                <c:pt idx="0">
                  <c:v>当年</c:v>
                </c:pt>
              </c:strCache>
            </c:strRef>
          </c:cat>
          <c:val>
            <c:numRef>
              <c:f>Sheet1!$D$2</c:f>
              <c:numCache>
                <c:formatCode>General</c:formatCode>
                <c:ptCount val="1"/>
                <c:pt idx="0">
                  <c:v>0</c:v>
                </c:pt>
              </c:numCache>
            </c:numRef>
          </c:val>
        </c:ser>
        <c:ser>
          <c:idx val="3"/>
          <c:order val="3"/>
          <c:tx>
            <c:strRef>
              <c:f>Sheet1!$E$1</c:f>
              <c:strCache>
                <c:ptCount val="1"/>
                <c:pt idx="0">
                  <c:v>公用经费</c:v>
                </c:pt>
              </c:strCache>
            </c:strRef>
          </c:tx>
          <c:invertIfNegative val="0"/>
          <c:dLbls>
            <c:delete val="1"/>
          </c:dLbls>
          <c:cat>
            <c:strRef>
              <c:f>Sheet1!$A$2</c:f>
              <c:strCache>
                <c:ptCount val="1"/>
                <c:pt idx="0">
                  <c:v>当年</c:v>
                </c:pt>
              </c:strCache>
            </c:strRef>
          </c:cat>
          <c:val>
            <c:numRef>
              <c:f>Sheet1!$E$2</c:f>
              <c:numCache>
                <c:formatCode>General</c:formatCode>
                <c:ptCount val="1"/>
                <c:pt idx="0">
                  <c:v>20.25</c:v>
                </c:pt>
              </c:numCache>
            </c:numRef>
          </c:val>
        </c:ser>
        <c:ser>
          <c:idx val="4"/>
          <c:order val="4"/>
          <c:tx>
            <c:strRef>
              <c:f>Sheet1!$F$1</c:f>
              <c:strCache>
                <c:ptCount val="1"/>
                <c:pt idx="0">
                  <c:v>人员经费</c:v>
                </c:pt>
              </c:strCache>
            </c:strRef>
          </c:tx>
          <c:invertIfNegative val="0"/>
          <c:dLbls>
            <c:delete val="1"/>
          </c:dLbls>
          <c:cat>
            <c:strRef>
              <c:f>Sheet1!$A$2</c:f>
              <c:strCache>
                <c:ptCount val="1"/>
                <c:pt idx="0">
                  <c:v>当年</c:v>
                </c:pt>
              </c:strCache>
            </c:strRef>
          </c:cat>
          <c:val>
            <c:numRef>
              <c:f>Sheet1!$F$2</c:f>
              <c:numCache>
                <c:formatCode>General</c:formatCode>
                <c:ptCount val="1"/>
                <c:pt idx="0">
                  <c:v>149.21</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一般公共预算基本支出情况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Lbls>
            <c:delete val="1"/>
          </c:dLbls>
          <c:cat>
            <c:strRef>
              <c:f>Sheet1!$A$2:$A$3</c:f>
              <c:strCache>
                <c:ptCount val="2"/>
                <c:pt idx="0">
                  <c:v>人员经费</c:v>
                </c:pt>
                <c:pt idx="1">
                  <c:v>公用经费</c:v>
                </c:pt>
              </c:strCache>
            </c:strRef>
          </c:cat>
          <c:val>
            <c:numRef>
              <c:f>Sheet1!$B$2:$B$3</c:f>
              <c:numCache>
                <c:formatCode>General</c:formatCode>
                <c:ptCount val="2"/>
                <c:pt idx="0">
                  <c:v>149.21</c:v>
                </c:pt>
                <c:pt idx="1">
                  <c:v>20.25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c:v>
                </c:pt>
                <c:pt idx="1">
                  <c:v>0</c:v>
                </c:pt>
                <c:pt idx="2">
                  <c:v>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c:v>
                </c:pt>
                <c:pt idx="1">
                  <c:v>0</c:v>
                </c:pt>
                <c:pt idx="2">
                  <c:v>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2024-02-29T10:17:00Z</dcterms:created>
  <dc:creator>无名指</dc:creator>
  <cp:lastModifiedBy>无名指</cp:lastModifiedBy>
  <dcterms:modified xsi:type="dcterms:W3CDTF">2024-02-29T10:18:46Z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75AAE0FB92FE4E428316761C9A11DE40</vt:lpwstr>
  </property>
</Properties>
</file>