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环江毛南族自治县长美乡</w:t>
      </w:r>
    </w:p>
    <w:p>
      <w:pPr>
        <w:pStyle w:val="6"/>
        <w:ind w:firstLine="1120" w:firstLineChars="200"/>
        <w:jc w:val="both"/>
        <w:rPr>
          <w:rFonts w:hint="eastAsia"/>
          <w:sz w:val="56"/>
          <w:szCs w:val="56"/>
          <w:lang w:eastAsia="zh-CN"/>
        </w:rPr>
      </w:pPr>
      <w:r>
        <w:rPr>
          <w:rFonts w:hint="eastAsia"/>
          <w:sz w:val="56"/>
          <w:szCs w:val="56"/>
          <w:lang w:eastAsia="zh-CN"/>
        </w:rPr>
        <w:t>乡村建设综合服务中心</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rPr>
          <w:b/>
          <w:bCs/>
        </w:rPr>
      </w:pPr>
      <w:bookmarkStart w:id="0" w:name="bookmark0"/>
      <w:bookmarkStart w:id="1" w:name="bookmark2"/>
      <w:bookmarkStart w:id="2" w:name="bookmark1"/>
      <w:r>
        <w:rPr>
          <w:b/>
          <w:bCs/>
        </w:rPr>
        <w:t>目录</w:t>
      </w:r>
      <w:bookmarkEnd w:id="0"/>
      <w:bookmarkEnd w:id="1"/>
      <w:bookmarkEnd w:id="2"/>
    </w:p>
    <w:p>
      <w:pPr>
        <w:pStyle w:val="8"/>
        <w:ind w:left="0" w:leftChars="0" w:firstLine="321" w:firstLineChars="100"/>
        <w:jc w:val="left"/>
      </w:pPr>
      <w:r>
        <w:rPr>
          <w:b/>
          <w:bCs/>
        </w:rPr>
        <w:t>第一部分</w:t>
      </w:r>
      <w:r>
        <w:rPr>
          <w:rFonts w:hint="eastAsia"/>
          <w:b/>
          <w:bCs/>
          <w:lang w:eastAsia="zh-CN"/>
        </w:rPr>
        <w:t>：</w:t>
      </w:r>
      <w:r>
        <w:rPr>
          <w:b/>
          <w:bCs/>
          <w:u w:color="auto"/>
        </w:rPr>
        <w:t>环江毛南族自治县长美乡乡村建设综合服务中心单位</w:t>
      </w:r>
      <w:r>
        <w:rPr>
          <w:b/>
          <w:bCs/>
        </w:rP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1" w:firstLineChars="100"/>
        <w:jc w:val="left"/>
        <w:rPr>
          <w:b/>
          <w:bCs/>
        </w:rPr>
      </w:pPr>
      <w:r>
        <w:rPr>
          <w:b/>
          <w:bCs/>
        </w:rPr>
        <w:t>第二部分</w:t>
      </w:r>
      <w:r>
        <w:rPr>
          <w:rFonts w:hint="eastAsia"/>
          <w:b/>
          <w:bCs/>
          <w:lang w:eastAsia="zh-CN"/>
        </w:rPr>
        <w:t>：</w:t>
      </w:r>
      <w:r>
        <w:rPr>
          <w:b/>
          <w:bCs/>
          <w:u w:color="auto"/>
        </w:rPr>
        <w:t>环江毛南族自治县长美乡乡村建设综合服务中心2024</w:t>
      </w:r>
      <w:r>
        <w:rPr>
          <w:b/>
          <w:bCs/>
        </w:rP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1" w:firstLineChars="100"/>
        <w:jc w:val="left"/>
        <w:rPr>
          <w:b/>
          <w:bCs/>
        </w:rPr>
      </w:pPr>
      <w:r>
        <w:rPr>
          <w:b/>
          <w:bCs/>
        </w:rPr>
        <w:t>第三部分</w:t>
      </w:r>
      <w:r>
        <w:rPr>
          <w:rFonts w:hint="eastAsia"/>
          <w:b/>
          <w:bCs/>
          <w:lang w:eastAsia="zh-CN"/>
        </w:rPr>
        <w:t>：</w:t>
      </w:r>
      <w:r>
        <w:rPr>
          <w:b/>
          <w:bCs/>
          <w:u w:color="auto"/>
        </w:rPr>
        <w:t>环江毛南族自治县长美乡乡村建设综合服务中心2024</w:t>
      </w:r>
      <w:r>
        <w:rPr>
          <w:rFonts w:ascii="Times New Roman" w:hAnsi="Times New Roman" w:cs="Times New Roman"/>
          <w:b/>
          <w:bCs/>
          <w:u w:color="auto"/>
        </w:rPr>
        <w:t>年</w:t>
      </w:r>
      <w:r>
        <w:rPr>
          <w:b/>
          <w:bCs/>
        </w:rPr>
        <w:t>部门预算</w:t>
      </w:r>
      <w:r>
        <w:rPr>
          <w:rFonts w:hint="eastAsia"/>
          <w:b/>
          <w:bCs/>
          <w:lang w:val="en-US" w:eastAsia="zh-CN"/>
        </w:rPr>
        <w:t>相关报</w:t>
      </w:r>
      <w:r>
        <w:rPr>
          <w:b/>
          <w:bCs/>
        </w:rP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1" w:firstLineChars="100"/>
        <w:jc w:val="left"/>
        <w:rPr>
          <w:rFonts w:hint="eastAsia" w:eastAsia="宋体"/>
          <w:b/>
          <w:bCs/>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rPr>
          <w:b/>
          <w:bCs/>
        </w:rPr>
        <w:t>第四部分</w:t>
      </w:r>
      <w:r>
        <w:rPr>
          <w:rFonts w:hint="eastAsia"/>
          <w:b/>
          <w:bCs/>
          <w:lang w:eastAsia="zh-CN"/>
        </w:rPr>
        <w:t>：</w:t>
      </w:r>
      <w:r>
        <w:rPr>
          <w:b/>
          <w:bCs/>
        </w:rPr>
        <w:t>名词</w:t>
      </w:r>
      <w:r>
        <w:rPr>
          <w:rFonts w:hint="eastAsia"/>
          <w:b/>
          <w:bCs/>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2"/>
      <w:bookmarkStart w:id="5" w:name="bookmark14"/>
      <w:r>
        <w:rPr>
          <w:b/>
          <w:bCs/>
          <w:sz w:val="40"/>
          <w:szCs w:val="40"/>
        </w:rPr>
        <w:t>第一部分</w:t>
      </w:r>
      <w:r>
        <w:rPr>
          <w:rFonts w:hint="eastAsia"/>
          <w:b/>
          <w:bCs/>
          <w:sz w:val="40"/>
          <w:szCs w:val="40"/>
          <w:lang w:eastAsia="zh-CN"/>
        </w:rPr>
        <w:t>：</w:t>
      </w:r>
      <w:r>
        <w:rPr>
          <w:b/>
          <w:sz w:val="40"/>
          <w:u w:color="auto"/>
        </w:rPr>
        <w:t>环江毛南族自治县长美乡乡村建设综合服务中心</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（1）宣传并贯彻执行有关国土资源、村镇规划建设和环境卫生、环境保护、安全生产的方针、政策和法律法规;</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（2）协助制定并组织实施辖区内相关发展规划;</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（3）协助做好国土资源、村镇规划建设和环境卫生、环境保护、安全生产管理工作和相关信访、纠纷、事故的调查处理工作;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（4）受委托机关委托，开展行政处罚、检查等工作。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（5）完成上级业务部门和乡党委、政府交给的其他工作任务。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本部门由1个财政拨款事业单位（即乡村建设综合服务中心）组成。人员编制总数为8人，实有事业在职9人。</w:t>
      </w: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环江毛南族自治县长美乡乡村建设综合服务中心</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110.14</w:t>
      </w:r>
      <w:r>
        <w:rPr>
          <w:rFonts w:hint="eastAsia"/>
          <w:b w:val="0"/>
          <w:bCs w:val="0"/>
          <w:sz w:val="28"/>
          <w:szCs w:val="28"/>
        </w:rPr>
        <w:t>万元，总支出</w:t>
      </w:r>
      <w:r>
        <w:rPr>
          <w:rFonts w:hint="eastAsia"/>
          <w:sz w:val="28"/>
          <w:szCs w:val="28"/>
          <w:lang w:val="en-US" w:eastAsia="zh-CN"/>
        </w:rPr>
        <w:t>110.14</w:t>
      </w:r>
      <w:r>
        <w:rPr>
          <w:rFonts w:hint="eastAsia"/>
          <w:b w:val="0"/>
          <w:bCs w:val="0"/>
          <w:sz w:val="28"/>
          <w:szCs w:val="28"/>
        </w:rPr>
        <w:t>万元。总收入较2023年度预算数</w:t>
      </w:r>
      <w:r>
        <w:rPr>
          <w:rFonts w:hint="eastAsia"/>
          <w:sz w:val="28"/>
          <w:szCs w:val="28"/>
          <w:lang w:val="en-US" w:eastAsia="zh-CN"/>
        </w:rPr>
        <w:t>91.01</w:t>
      </w:r>
      <w:r>
        <w:rPr>
          <w:rFonts w:hint="eastAsia"/>
          <w:b w:val="0"/>
          <w:bCs w:val="0"/>
          <w:sz w:val="28"/>
          <w:szCs w:val="28"/>
        </w:rPr>
        <w:t>万元，</w:t>
      </w:r>
      <w:r>
        <w:rPr>
          <w:rFonts w:hint="eastAsia"/>
          <w:sz w:val="28"/>
          <w:szCs w:val="28"/>
        </w:rPr>
        <w:t>增加19.13</w:t>
      </w:r>
      <w:r>
        <w:rPr>
          <w:rFonts w:hint="eastAsia"/>
          <w:b w:val="0"/>
          <w:bCs w:val="0"/>
          <w:sz w:val="28"/>
          <w:szCs w:val="28"/>
        </w:rPr>
        <w:t>万元，</w:t>
      </w:r>
      <w:r>
        <w:rPr>
          <w:rFonts w:hint="eastAsia"/>
          <w:sz w:val="28"/>
          <w:szCs w:val="28"/>
        </w:rPr>
        <w:t>增长21.02%</w:t>
      </w:r>
      <w:r>
        <w:rPr>
          <w:rFonts w:hint="eastAsia"/>
          <w:b w:val="0"/>
          <w:bCs w:val="0"/>
          <w:sz w:val="28"/>
          <w:szCs w:val="28"/>
        </w:rPr>
        <w:t>，主要原因是</w:t>
      </w:r>
      <w:r>
        <w:rPr>
          <w:rFonts w:hint="eastAsia"/>
          <w:highlight w:val="none"/>
          <w:lang w:val="en-US" w:eastAsia="zh-CN"/>
        </w:rPr>
        <w:t>人员变化及社保公积金缴费基数调整等影响基本收入增加</w:t>
      </w:r>
      <w:r>
        <w:rPr>
          <w:rFonts w:hint="eastAsia"/>
          <w:b w:val="0"/>
          <w:bCs w:val="0"/>
          <w:sz w:val="28"/>
          <w:szCs w:val="28"/>
        </w:rPr>
        <w:t>。总支出较2023年度预算数</w:t>
      </w:r>
      <w:r>
        <w:rPr>
          <w:rFonts w:hint="eastAsia"/>
          <w:sz w:val="28"/>
          <w:szCs w:val="28"/>
          <w:lang w:val="en-US" w:eastAsia="zh-CN"/>
        </w:rPr>
        <w:t>91.01</w:t>
      </w:r>
      <w:r>
        <w:rPr>
          <w:rFonts w:hint="eastAsia"/>
          <w:b w:val="0"/>
          <w:bCs w:val="0"/>
          <w:sz w:val="28"/>
          <w:szCs w:val="28"/>
        </w:rPr>
        <w:t>万元，</w:t>
      </w:r>
      <w:r>
        <w:rPr>
          <w:rFonts w:hint="eastAsia"/>
          <w:sz w:val="28"/>
          <w:szCs w:val="28"/>
        </w:rPr>
        <w:t>增加19.13</w:t>
      </w:r>
      <w:r>
        <w:rPr>
          <w:rFonts w:hint="eastAsia"/>
          <w:b w:val="0"/>
          <w:bCs w:val="0"/>
          <w:sz w:val="28"/>
          <w:szCs w:val="28"/>
        </w:rPr>
        <w:t>万元，</w:t>
      </w:r>
      <w:r>
        <w:rPr>
          <w:rFonts w:hint="eastAsia"/>
          <w:sz w:val="28"/>
          <w:szCs w:val="28"/>
        </w:rPr>
        <w:t>增长21.02%</w:t>
      </w:r>
      <w:r>
        <w:rPr>
          <w:rFonts w:hint="eastAsia"/>
          <w:b w:val="0"/>
          <w:bCs w:val="0"/>
          <w:sz w:val="28"/>
          <w:szCs w:val="28"/>
        </w:rPr>
        <w:t>，主要原因是</w:t>
      </w:r>
      <w:r>
        <w:rPr>
          <w:rFonts w:hint="eastAsia"/>
          <w:highlight w:val="none"/>
          <w:lang w:val="en-US" w:eastAsia="zh-CN"/>
        </w:rPr>
        <w:t>人员变化及社保公积金缴费基数调整等影响基本支出增加</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327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110.14</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91.01</w:t>
      </w:r>
      <w:r>
        <w:rPr>
          <w:rFonts w:hint="eastAsia" w:ascii="宋体" w:hAnsi="宋体" w:eastAsia="宋体" w:cs="宋体"/>
          <w:sz w:val="28"/>
          <w:szCs w:val="28"/>
          <w:u w:color="auto"/>
        </w:rPr>
        <w:t>万元，</w:t>
      </w:r>
      <w:r>
        <w:rPr>
          <w:rFonts w:hint="eastAsia" w:ascii="宋体" w:hAnsi="宋体" w:eastAsia="宋体" w:cs="宋体"/>
          <w:sz w:val="28"/>
          <w:szCs w:val="28"/>
        </w:rPr>
        <w:t>增加19.13</w:t>
      </w:r>
      <w:r>
        <w:rPr>
          <w:rFonts w:hint="eastAsia" w:ascii="宋体" w:hAnsi="宋体" w:eastAsia="宋体" w:cs="宋体"/>
          <w:sz w:val="28"/>
          <w:szCs w:val="28"/>
          <w:u w:color="auto"/>
        </w:rPr>
        <w:t>万元，</w:t>
      </w:r>
      <w:r>
        <w:rPr>
          <w:rFonts w:hint="eastAsia" w:ascii="宋体" w:hAnsi="宋体" w:eastAsia="宋体" w:cs="宋体"/>
          <w:sz w:val="28"/>
          <w:szCs w:val="28"/>
        </w:rPr>
        <w:t>增长21.02%</w:t>
      </w:r>
      <w:r>
        <w:rPr>
          <w:rFonts w:hint="eastAsia" w:ascii="宋体" w:hAnsi="宋体" w:eastAsia="宋体" w:cs="宋体"/>
          <w:sz w:val="28"/>
          <w:szCs w:val="28"/>
          <w:u w:color="auto"/>
        </w:rPr>
        <w:t>，主要原因是</w:t>
      </w:r>
      <w:r>
        <w:rPr>
          <w:rFonts w:hint="eastAsia"/>
          <w:highlight w:val="none"/>
          <w:lang w:val="en-US" w:eastAsia="zh-CN"/>
        </w:rPr>
        <w:t>人员变化及社保公积金缴费基数调整等影响基本收入增加</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327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110.14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91.01</w:t>
      </w:r>
      <w:r>
        <w:rPr>
          <w:rFonts w:hint="eastAsia" w:ascii="宋体" w:hAnsi="宋体" w:eastAsia="宋体" w:cs="宋体"/>
          <w:sz w:val="28"/>
          <w:szCs w:val="28"/>
          <w:lang w:eastAsia="zh-CN"/>
        </w:rPr>
        <w:t>万元，</w:t>
      </w:r>
      <w:r>
        <w:rPr>
          <w:rFonts w:hint="eastAsia" w:ascii="宋体" w:hAnsi="宋体" w:eastAsia="宋体" w:cs="宋体"/>
          <w:sz w:val="28"/>
          <w:szCs w:val="28"/>
        </w:rPr>
        <w:t>增加19.13</w:t>
      </w:r>
      <w:r>
        <w:rPr>
          <w:rFonts w:hint="eastAsia" w:ascii="宋体" w:hAnsi="宋体" w:eastAsia="宋体" w:cs="宋体"/>
          <w:sz w:val="28"/>
          <w:szCs w:val="28"/>
          <w:lang w:eastAsia="zh-CN"/>
        </w:rPr>
        <w:t>万元，</w:t>
      </w:r>
      <w:r>
        <w:rPr>
          <w:rFonts w:hint="eastAsia" w:ascii="宋体" w:hAnsi="宋体" w:eastAsia="宋体" w:cs="宋体"/>
          <w:sz w:val="28"/>
          <w:szCs w:val="28"/>
        </w:rPr>
        <w:t>增长21.02%</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人员变化及社保公积金缴费基数调整等影响基本支出增加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人员增加，相应工资福利等基本支出增加</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1)城乡社区支出</w:t>
      </w:r>
      <w:r>
        <w:rPr>
          <w:rFonts w:hint="eastAsia" w:ascii="宋体" w:hAnsi="宋体" w:eastAsia="宋体" w:cs="宋体"/>
          <w:sz w:val="28"/>
          <w:szCs w:val="28"/>
          <w:lang w:val="en-US" w:eastAsia="zh-CN"/>
        </w:rPr>
        <w:t>84.79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76.98%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增长15.91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增长23.10%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人员变动工资福利等基本支出增加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12.99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11.79%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增长1.19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增长10.08%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人员变动和社保费用调整影响支出增加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11.29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10.25%</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增长2.44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增长27.57%</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人员变动影响社会住房保障支出增加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1.08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0.98%</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减少0.40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减少27.03%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响应有关政策要求，压减日常办公经费支出</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110.14</w:t>
      </w:r>
      <w:r>
        <w:rPr>
          <w:rFonts w:hint="eastAsia" w:ascii="宋体" w:hAnsi="宋体" w:eastAsia="宋体" w:cs="宋体"/>
          <w:sz w:val="28"/>
          <w:szCs w:val="28"/>
        </w:rPr>
        <w:t>万元，占支出预算</w:t>
      </w:r>
      <w:r>
        <w:rPr>
          <w:rFonts w:ascii="宋体" w:hAnsi="宋体" w:eastAsia="宋体" w:cs="宋体"/>
          <w:sz w:val="28"/>
          <w:u w:color="auto"/>
        </w:rPr>
        <w:t>100.00%,比上年增长19.13万元，增长21.02%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106.91</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97.07%</w:t>
      </w:r>
      <w:r>
        <w:rPr>
          <w:rFonts w:hint="eastAsia" w:ascii="宋体" w:hAnsi="宋体" w:eastAsia="宋体" w:cs="宋体"/>
          <w:sz w:val="28"/>
          <w:szCs w:val="28"/>
        </w:rPr>
        <w:t>,比上年</w:t>
      </w:r>
      <w:r>
        <w:rPr>
          <w:rFonts w:ascii="宋体" w:hAnsi="宋体" w:eastAsia="宋体" w:cs="宋体"/>
          <w:sz w:val="28"/>
          <w:u w:color="auto"/>
        </w:rPr>
        <w:t>增长19.29万元，增长22.02%,主要原因是：人员变动工资福利等基本支出增加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3.24</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2.94%</w:t>
      </w:r>
      <w:r>
        <w:rPr>
          <w:rFonts w:hint="eastAsia" w:ascii="宋体" w:hAnsi="宋体" w:eastAsia="宋体" w:cs="宋体"/>
          <w:sz w:val="28"/>
          <w:szCs w:val="28"/>
        </w:rPr>
        <w:t>,比上年</w:t>
      </w:r>
      <w:r>
        <w:rPr>
          <w:rFonts w:ascii="宋体" w:hAnsi="宋体" w:eastAsia="宋体" w:cs="宋体"/>
          <w:sz w:val="28"/>
          <w:u w:color="auto"/>
        </w:rPr>
        <w:t>减少0.16万元，减少4.71%,主要原因是：相应有关政策要求，压减日常办公经费支出</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4651375" cy="2517140"/>
            <wp:effectExtent l="4445" t="4445" r="11430" b="12065"/>
            <wp:docPr id="327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110.14</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110.14</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91.01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增加19.13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增长21.02%</w:t>
      </w:r>
      <w:r>
        <w:rPr>
          <w:rFonts w:hint="eastAsia" w:ascii="宋体" w:hAnsi="宋体" w:eastAsia="宋体" w:cs="宋体"/>
          <w:sz w:val="28"/>
          <w:szCs w:val="28"/>
        </w:rPr>
        <w:t>，主要原因是</w:t>
      </w:r>
      <w:r>
        <w:rPr>
          <w:rFonts w:hint="eastAsia"/>
          <w:highlight w:val="none"/>
          <w:lang w:val="en-US" w:eastAsia="zh-CN"/>
        </w:rPr>
        <w:t>人员变动影响经费增加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91.01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增加19.13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增长21.02%</w:t>
      </w:r>
      <w:r>
        <w:rPr>
          <w:rFonts w:hint="eastAsia" w:ascii="宋体" w:hAnsi="宋体" w:eastAsia="宋体" w:cs="宋体"/>
          <w:sz w:val="28"/>
          <w:szCs w:val="28"/>
        </w:rPr>
        <w:t>，主要原因是</w:t>
      </w:r>
      <w:r>
        <w:rPr>
          <w:rFonts w:hint="eastAsia"/>
          <w:highlight w:val="none"/>
          <w:lang w:val="en-US" w:eastAsia="zh-CN"/>
        </w:rPr>
        <w:t>人员变动影响经费支出增加</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327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110.14</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91.01</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增加19.13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增长21.02%</w:t>
      </w:r>
      <w:r>
        <w:rPr>
          <w:rFonts w:hint="eastAsia" w:ascii="宋体" w:hAnsi="宋体" w:eastAsia="宋体" w:cs="宋体"/>
          <w:sz w:val="28"/>
          <w:szCs w:val="28"/>
        </w:rPr>
        <w:t>，主要原因是</w:t>
      </w:r>
      <w:r>
        <w:rPr>
          <w:rFonts w:hint="eastAsia"/>
          <w:highlight w:val="none"/>
          <w:lang w:val="en-US" w:eastAsia="zh-CN"/>
        </w:rPr>
        <w:t>人员变动影响经费支出增加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1.08</w:t>
      </w:r>
      <w:r>
        <w:rPr>
          <w:rFonts w:hint="eastAsia" w:ascii="宋体" w:hAnsi="宋体" w:eastAsia="宋体" w:cs="宋体"/>
          <w:sz w:val="28"/>
          <w:szCs w:val="28"/>
        </w:rPr>
        <w:t>万元，占支出总预算的</w:t>
      </w:r>
      <w:r>
        <w:rPr>
          <w:rFonts w:ascii="宋体" w:hAnsi="宋体" w:eastAsia="宋体" w:cs="宋体"/>
          <w:sz w:val="28"/>
          <w:u w:color="auto"/>
        </w:rPr>
        <w:t>0.98%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1.48</w:t>
      </w:r>
      <w:r>
        <w:rPr>
          <w:rFonts w:hint="eastAsia" w:ascii="宋体" w:hAnsi="宋体" w:eastAsia="宋体" w:cs="宋体"/>
          <w:sz w:val="28"/>
          <w:szCs w:val="28"/>
        </w:rPr>
        <w:t>万元，</w:t>
      </w:r>
      <w:r>
        <w:rPr>
          <w:rFonts w:ascii="宋体" w:hAnsi="宋体" w:eastAsia="宋体" w:cs="宋体"/>
          <w:sz w:val="28"/>
          <w:u w:color="auto"/>
        </w:rPr>
        <w:t>减少0.40</w:t>
      </w:r>
      <w:r>
        <w:rPr>
          <w:rFonts w:hint="eastAsia" w:ascii="宋体" w:hAnsi="宋体" w:eastAsia="宋体" w:cs="宋体"/>
          <w:sz w:val="28"/>
          <w:szCs w:val="28"/>
        </w:rPr>
        <w:t>万元，</w:t>
      </w:r>
      <w:r>
        <w:rPr>
          <w:rFonts w:ascii="宋体" w:hAnsi="宋体" w:eastAsia="宋体" w:cs="宋体"/>
          <w:sz w:val="28"/>
          <w:u w:color="auto"/>
        </w:rPr>
        <w:t>减少27.03%</w:t>
      </w:r>
      <w:r>
        <w:rPr>
          <w:rFonts w:hint="eastAsia" w:ascii="宋体" w:hAnsi="宋体" w:eastAsia="宋体" w:cs="宋体"/>
          <w:sz w:val="28"/>
          <w:szCs w:val="28"/>
        </w:rPr>
        <w:t>，主要原因是：</w:t>
      </w:r>
      <w:r>
        <w:rPr>
          <w:rFonts w:hint="eastAsia"/>
          <w:highlight w:val="none"/>
        </w:rPr>
        <w:t>响应有关政策要求，压减日常办公经费支出</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11.29</w:t>
      </w:r>
      <w:r>
        <w:rPr>
          <w:rFonts w:hint="eastAsia" w:ascii="宋体" w:hAnsi="宋体" w:eastAsia="宋体" w:cs="宋体"/>
          <w:sz w:val="28"/>
          <w:szCs w:val="28"/>
        </w:rPr>
        <w:t>万元，占支出总预算的</w:t>
      </w:r>
      <w:r>
        <w:rPr>
          <w:rFonts w:ascii="宋体" w:hAnsi="宋体" w:eastAsia="宋体" w:cs="宋体"/>
          <w:sz w:val="28"/>
          <w:u w:color="auto"/>
        </w:rPr>
        <w:t>10.25%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8.85</w:t>
      </w:r>
      <w:r>
        <w:rPr>
          <w:rFonts w:hint="eastAsia" w:ascii="宋体" w:hAnsi="宋体" w:eastAsia="宋体" w:cs="宋体"/>
          <w:sz w:val="28"/>
          <w:szCs w:val="28"/>
        </w:rPr>
        <w:t>万元，</w:t>
      </w:r>
      <w:r>
        <w:rPr>
          <w:rFonts w:ascii="宋体" w:hAnsi="宋体" w:eastAsia="宋体" w:cs="宋体"/>
          <w:sz w:val="28"/>
          <w:u w:color="auto"/>
        </w:rPr>
        <w:t>增长2.44</w:t>
      </w:r>
      <w:r>
        <w:rPr>
          <w:rFonts w:hint="eastAsia" w:ascii="宋体" w:hAnsi="宋体" w:eastAsia="宋体" w:cs="宋体"/>
          <w:sz w:val="28"/>
          <w:szCs w:val="28"/>
        </w:rPr>
        <w:t>万元，</w:t>
      </w:r>
      <w:r>
        <w:rPr>
          <w:rFonts w:ascii="宋体" w:hAnsi="宋体" w:eastAsia="宋体" w:cs="宋体"/>
          <w:sz w:val="28"/>
          <w:u w:color="auto"/>
        </w:rPr>
        <w:t>增长27.57%</w:t>
      </w:r>
      <w:r>
        <w:rPr>
          <w:rFonts w:hint="eastAsia" w:ascii="宋体" w:hAnsi="宋体" w:eastAsia="宋体" w:cs="宋体"/>
          <w:sz w:val="28"/>
          <w:szCs w:val="28"/>
        </w:rPr>
        <w:t>，主要原因是：</w:t>
      </w:r>
      <w:r>
        <w:rPr>
          <w:rFonts w:hint="eastAsia"/>
          <w:highlight w:val="none"/>
        </w:rPr>
        <w:t>人员变动影响社会住房保障支出增加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城乡社区支出（类）支出</w:t>
      </w:r>
      <w:r>
        <w:rPr>
          <w:rFonts w:ascii="宋体" w:hAnsi="宋体" w:eastAsia="宋体" w:cs="宋体"/>
          <w:sz w:val="28"/>
          <w:u w:color="auto"/>
        </w:rPr>
        <w:t>84.79</w:t>
      </w:r>
      <w:r>
        <w:rPr>
          <w:rFonts w:hint="eastAsia" w:ascii="宋体" w:hAnsi="宋体" w:eastAsia="宋体" w:cs="宋体"/>
          <w:sz w:val="28"/>
          <w:szCs w:val="28"/>
        </w:rPr>
        <w:t>万元，占支出总预算的</w:t>
      </w:r>
      <w:r>
        <w:rPr>
          <w:rFonts w:ascii="宋体" w:hAnsi="宋体" w:eastAsia="宋体" w:cs="宋体"/>
          <w:sz w:val="28"/>
          <w:u w:color="auto"/>
        </w:rPr>
        <w:t>76.98%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68.88</w:t>
      </w:r>
      <w:r>
        <w:rPr>
          <w:rFonts w:hint="eastAsia" w:ascii="宋体" w:hAnsi="宋体" w:eastAsia="宋体" w:cs="宋体"/>
          <w:sz w:val="28"/>
          <w:szCs w:val="28"/>
        </w:rPr>
        <w:t>万元，</w:t>
      </w:r>
      <w:r>
        <w:rPr>
          <w:rFonts w:ascii="宋体" w:hAnsi="宋体" w:eastAsia="宋体" w:cs="宋体"/>
          <w:sz w:val="28"/>
          <w:u w:color="auto"/>
        </w:rPr>
        <w:t>增长15.91</w:t>
      </w:r>
      <w:r>
        <w:rPr>
          <w:rFonts w:hint="eastAsia" w:ascii="宋体" w:hAnsi="宋体" w:eastAsia="宋体" w:cs="宋体"/>
          <w:sz w:val="28"/>
          <w:szCs w:val="28"/>
        </w:rPr>
        <w:t>万元，</w:t>
      </w:r>
      <w:r>
        <w:rPr>
          <w:rFonts w:ascii="宋体" w:hAnsi="宋体" w:eastAsia="宋体" w:cs="宋体"/>
          <w:sz w:val="28"/>
          <w:u w:color="auto"/>
        </w:rPr>
        <w:t>增长23.10%</w:t>
      </w:r>
      <w:r>
        <w:rPr>
          <w:rFonts w:hint="eastAsia" w:ascii="宋体" w:hAnsi="宋体" w:eastAsia="宋体" w:cs="宋体"/>
          <w:sz w:val="28"/>
          <w:szCs w:val="28"/>
        </w:rPr>
        <w:t>，主要原因是：</w:t>
      </w:r>
      <w:r>
        <w:rPr>
          <w:rFonts w:hint="eastAsia"/>
          <w:highlight w:val="none"/>
        </w:rPr>
        <w:t>人员变动工资福利等基本支出增加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12.99</w:t>
      </w:r>
      <w:r>
        <w:rPr>
          <w:rFonts w:hint="eastAsia" w:ascii="宋体" w:hAnsi="宋体" w:eastAsia="宋体" w:cs="宋体"/>
          <w:sz w:val="28"/>
          <w:szCs w:val="28"/>
        </w:rPr>
        <w:t>万元，占支出总预算的</w:t>
      </w:r>
      <w:r>
        <w:rPr>
          <w:rFonts w:ascii="宋体" w:hAnsi="宋体" w:eastAsia="宋体" w:cs="宋体"/>
          <w:sz w:val="28"/>
          <w:u w:color="auto"/>
        </w:rPr>
        <w:t>11.79%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11.80</w:t>
      </w:r>
      <w:r>
        <w:rPr>
          <w:rFonts w:hint="eastAsia" w:ascii="宋体" w:hAnsi="宋体" w:eastAsia="宋体" w:cs="宋体"/>
          <w:sz w:val="28"/>
          <w:szCs w:val="28"/>
        </w:rPr>
        <w:t>万元，</w:t>
      </w:r>
      <w:r>
        <w:rPr>
          <w:rFonts w:ascii="宋体" w:hAnsi="宋体" w:eastAsia="宋体" w:cs="宋体"/>
          <w:sz w:val="28"/>
          <w:u w:color="auto"/>
        </w:rPr>
        <w:t>增长1.19</w:t>
      </w:r>
      <w:r>
        <w:rPr>
          <w:rFonts w:hint="eastAsia" w:ascii="宋体" w:hAnsi="宋体" w:eastAsia="宋体" w:cs="宋体"/>
          <w:sz w:val="28"/>
          <w:szCs w:val="28"/>
        </w:rPr>
        <w:t>万元，</w:t>
      </w:r>
      <w:r>
        <w:rPr>
          <w:rFonts w:ascii="宋体" w:hAnsi="宋体" w:eastAsia="宋体" w:cs="宋体"/>
          <w:sz w:val="28"/>
          <w:u w:color="auto"/>
        </w:rPr>
        <w:t>增长10.08%</w:t>
      </w:r>
      <w:r>
        <w:rPr>
          <w:rFonts w:hint="eastAsia" w:ascii="宋体" w:hAnsi="宋体" w:eastAsia="宋体" w:cs="宋体"/>
          <w:sz w:val="28"/>
          <w:szCs w:val="28"/>
        </w:rPr>
        <w:t>，主要原因是：</w:t>
      </w:r>
      <w:r>
        <w:rPr>
          <w:rFonts w:hint="eastAsia"/>
          <w:highlight w:val="none"/>
        </w:rPr>
        <w:t>人员变动和社保费用调整影响支出增加</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2610485"/>
            <wp:effectExtent l="4445" t="4445" r="20955" b="13970"/>
            <wp:docPr id="328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110.14</w:t>
      </w:r>
      <w:r>
        <w:rPr>
          <w:rFonts w:hint="eastAsia"/>
        </w:rPr>
        <w:t>万元，较2023年度预算数</w:t>
      </w:r>
      <w:r>
        <w:rPr>
          <w:rFonts w:hint="eastAsia"/>
          <w:lang w:val="en-US" w:eastAsia="zh-CN"/>
        </w:rPr>
        <w:t>91.01</w:t>
      </w:r>
      <w:r>
        <w:rPr>
          <w:rFonts w:hint="eastAsia"/>
        </w:rPr>
        <w:t>万元</w:t>
      </w:r>
      <w:r>
        <w:rPr>
          <w:rFonts w:hint="eastAsia"/>
          <w:lang w:val="en-US" w:eastAsia="zh-CN"/>
        </w:rPr>
        <w:t>,</w:t>
      </w:r>
      <w:r>
        <w:rPr>
          <w:u w:color="auto"/>
        </w:rPr>
        <w:t>增加19.13</w:t>
      </w:r>
      <w:r>
        <w:rPr>
          <w:rFonts w:hint="eastAsia"/>
        </w:rPr>
        <w:t>万元，</w:t>
      </w:r>
      <w:r>
        <w:rPr>
          <w:rFonts w:hint="eastAsia"/>
          <w:lang w:val="en-US" w:eastAsia="zh-CN"/>
        </w:rPr>
        <w:t>增长21.02%</w:t>
      </w:r>
      <w:r>
        <w:rPr>
          <w:rFonts w:hint="eastAsia"/>
        </w:rPr>
        <w:t>，主要原因是</w:t>
      </w:r>
      <w:r>
        <w:rPr>
          <w:rFonts w:hint="eastAsia"/>
          <w:highlight w:val="none"/>
          <w:lang w:val="en-US" w:eastAsia="zh-CN"/>
        </w:rPr>
        <w:t>人员变动影响经费增加</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106.91</w:t>
      </w:r>
      <w:r>
        <w:t>万元</w:t>
      </w:r>
      <w:r>
        <w:rPr>
          <w:rFonts w:hint="eastAsia"/>
          <w:lang w:eastAsia="zh-CN"/>
        </w:rPr>
        <w:t>，</w:t>
      </w:r>
      <w:r>
        <w:rPr>
          <w:rFonts w:hint="eastAsia"/>
        </w:rPr>
        <w:t>占基本支出预算的</w:t>
      </w:r>
      <w:r>
        <w:rPr>
          <w:rFonts w:hint="eastAsia"/>
          <w:lang w:val="en-US" w:eastAsia="zh-CN"/>
        </w:rPr>
        <w:t>97.07%</w:t>
      </w:r>
      <w:r>
        <w:rPr>
          <w:rFonts w:hint="eastAsia"/>
        </w:rPr>
        <w:t>，较2023年度预算数</w:t>
      </w:r>
      <w:r>
        <w:rPr>
          <w:rFonts w:hint="eastAsia"/>
          <w:lang w:val="en-US" w:eastAsia="zh-CN"/>
        </w:rPr>
        <w:t>87.62</w:t>
      </w:r>
      <w:r>
        <w:rPr>
          <w:rFonts w:hint="eastAsia"/>
        </w:rPr>
        <w:t>万元，</w:t>
      </w:r>
      <w:r>
        <w:rPr>
          <w:rFonts w:hint="eastAsia"/>
          <w:lang w:val="en-US" w:eastAsia="zh-CN"/>
        </w:rPr>
        <w:t>增长19.29</w:t>
      </w:r>
      <w:r>
        <w:rPr>
          <w:rFonts w:hint="eastAsia"/>
        </w:rPr>
        <w:t>万元，</w:t>
      </w:r>
      <w:r>
        <w:rPr>
          <w:rFonts w:hint="eastAsia"/>
          <w:lang w:val="en-US" w:eastAsia="zh-CN"/>
        </w:rPr>
        <w:t>增长22.02%</w:t>
      </w:r>
      <w:r>
        <w:rPr>
          <w:rFonts w:hint="eastAsia"/>
        </w:rPr>
        <w:t>，主要原因是：</w:t>
      </w:r>
      <w:r>
        <w:rPr>
          <w:rFonts w:hint="eastAsia"/>
          <w:highlight w:val="none"/>
        </w:rPr>
        <w:t>人员变动及经费调整工资福利等基本支出增加</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3.24</w:t>
      </w:r>
      <w:r>
        <w:t>万元</w:t>
      </w:r>
      <w:r>
        <w:rPr>
          <w:rFonts w:hint="eastAsia"/>
          <w:lang w:eastAsia="zh-CN"/>
        </w:rPr>
        <w:t>，</w:t>
      </w:r>
      <w:r>
        <w:rPr>
          <w:rFonts w:hint="eastAsia"/>
        </w:rPr>
        <w:t>占基本支出预算的</w:t>
      </w:r>
      <w:r>
        <w:rPr>
          <w:rFonts w:hint="eastAsia"/>
          <w:lang w:val="en-US" w:eastAsia="zh-CN"/>
        </w:rPr>
        <w:t>2.94%</w:t>
      </w:r>
      <w:r>
        <w:rPr>
          <w:rFonts w:hint="eastAsia"/>
        </w:rPr>
        <w:t>，较2023年度预算数</w:t>
      </w:r>
      <w:r>
        <w:rPr>
          <w:rFonts w:hint="eastAsia"/>
          <w:lang w:val="en-US" w:eastAsia="zh-CN"/>
        </w:rPr>
        <w:t>3.40</w:t>
      </w:r>
      <w:r>
        <w:rPr>
          <w:rFonts w:hint="eastAsia"/>
        </w:rPr>
        <w:t>万元，</w:t>
      </w:r>
      <w:r>
        <w:rPr>
          <w:rFonts w:hint="eastAsia"/>
          <w:lang w:val="en-US" w:eastAsia="zh-CN"/>
        </w:rPr>
        <w:t>减少0.16</w:t>
      </w:r>
      <w:r>
        <w:rPr>
          <w:rFonts w:hint="eastAsia"/>
        </w:rPr>
        <w:t>万元，</w:t>
      </w:r>
      <w:r>
        <w:rPr>
          <w:rFonts w:hint="eastAsia"/>
          <w:lang w:val="en-US" w:eastAsia="zh-CN"/>
        </w:rPr>
        <w:t>减少4.71%</w:t>
      </w:r>
      <w:r>
        <w:rPr>
          <w:rFonts w:hint="eastAsia"/>
        </w:rPr>
        <w:t>，主要原因是：</w:t>
      </w:r>
      <w:r>
        <w:rPr>
          <w:rFonts w:hint="eastAsia"/>
          <w:highlight w:val="none"/>
        </w:rPr>
        <w:t>相应有关政策要求，压减日常办公经费支出</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2324735"/>
            <wp:effectExtent l="4445" t="4445" r="20955" b="13970"/>
            <wp:docPr id="328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0.90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0.90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0.90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增长0.90</w:t>
      </w:r>
      <w:r>
        <w:rPr>
          <w:rFonts w:hint="eastAsia"/>
          <w:b w:val="0"/>
          <w:bCs w:val="0"/>
          <w:sz w:val="28"/>
          <w:szCs w:val="28"/>
        </w:rPr>
        <w:t>万元，</w:t>
      </w:r>
      <w:r>
        <w:rPr>
          <w:rFonts w:hint="eastAsia"/>
          <w:b w:val="0"/>
          <w:bCs w:val="0"/>
          <w:sz w:val="28"/>
          <w:szCs w:val="28"/>
          <w:lang w:val="en-US" w:eastAsia="zh-CN"/>
        </w:rPr>
        <w:t>增长100%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我部门2024年部门预算无因公出国（境）预算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0.90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增长0.90</w:t>
      </w:r>
      <w:r>
        <w:rPr>
          <w:rFonts w:hint="eastAsia"/>
          <w:b w:val="0"/>
          <w:bCs w:val="0"/>
          <w:sz w:val="28"/>
          <w:szCs w:val="28"/>
        </w:rPr>
        <w:t>万元，</w:t>
      </w:r>
      <w:r>
        <w:rPr>
          <w:sz w:val="28"/>
          <w:u w:color="auto"/>
        </w:rPr>
        <w:t>增长100%</w:t>
      </w:r>
      <w:r>
        <w:rPr>
          <w:rFonts w:hint="eastAsia"/>
          <w:b w:val="0"/>
          <w:bCs w:val="0"/>
          <w:sz w:val="28"/>
          <w:szCs w:val="28"/>
        </w:rPr>
        <w:t>，主要原因是</w:t>
      </w:r>
      <w:r>
        <w:rPr>
          <w:rFonts w:hint="eastAsia"/>
          <w:sz w:val="28"/>
          <w:szCs w:val="28"/>
          <w:highlight w:val="none"/>
          <w:lang w:val="en-US" w:eastAsia="zh-CN"/>
        </w:rPr>
        <w:t>我部门2024年部门预算无公务接待预算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（一）事业单位相关运行经费安排情况说明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3.24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3.40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下降4.71%</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响应上级政策，压减日常工资有关办公费用支出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0.5</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0.5</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主要用于：办公耗材如复印纸张等办公用品购置。</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环江毛南族自治县长美乡乡村建设综合服务中心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rPr>
          <w:b/>
          <w:bCs/>
        </w:rPr>
      </w:pPr>
      <w:bookmarkStart w:id="16" w:name="bookmark29"/>
      <w:bookmarkStart w:id="17" w:name="bookmark31"/>
      <w:bookmarkStart w:id="18" w:name="bookmark30"/>
      <w:r>
        <w:rPr>
          <w:b/>
          <w:bCs/>
        </w:rP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环江毛南族自治县长美乡乡村建设综合服务中心</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1.08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12.99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84.79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11.29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110.14</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b/>
          <w:bCs/>
          <w:lang w:val="en-US" w:eastAsia="zh-CN"/>
        </w:rPr>
      </w:pPr>
      <w:r>
        <w:rPr>
          <w:rFonts w:hint="eastAsia" w:eastAsia="宋体"/>
          <w:b/>
          <w:bCs/>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环江毛南族自治县长美乡乡村建设综合服务中心</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12"/>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center"/>
              <w:rPr>
                <w:rFonts w:hint="eastAsia" w:eastAsia="宋体"/>
                <w:vertAlign w:val="baseline"/>
                <w:lang w:val="en-US" w:eastAsia="zh-CN"/>
              </w:rPr>
            </w:pPr>
          </w:p>
        </w:tc>
        <w:tc>
          <w:tcPr>
            <w:tcW w:w="926"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12"/>
              <w:spacing w:line="312" w:lineRule="exact"/>
              <w:ind w:firstLine="0"/>
              <w:jc w:val="center"/>
              <w:rPr>
                <w:sz w:val="17"/>
                <w:szCs w:val="17"/>
              </w:rPr>
            </w:pPr>
            <w:r>
              <w:rPr>
                <w:sz w:val="17"/>
                <w:szCs w:val="17"/>
              </w:rPr>
              <w:t>财政专户管理资金</w:t>
            </w:r>
          </w:p>
          <w:p>
            <w:pPr>
              <w:pStyle w:val="12"/>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12"/>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12"/>
              <w:spacing w:line="312" w:lineRule="exact"/>
              <w:ind w:firstLine="0"/>
              <w:jc w:val="center"/>
              <w:rPr>
                <w:sz w:val="17"/>
                <w:szCs w:val="17"/>
              </w:rPr>
            </w:pPr>
            <w:r>
              <w:rPr>
                <w:sz w:val="17"/>
                <w:szCs w:val="17"/>
              </w:rPr>
              <w:t>财政专户管理资金</w:t>
            </w:r>
          </w:p>
          <w:p>
            <w:pPr>
              <w:pStyle w:val="12"/>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12"/>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12"/>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12"/>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708009</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环江毛南族自治县长美乡乡村建设综合服务中心</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110.14</w:t>
            </w:r>
          </w:p>
        </w:tc>
        <w:tc>
          <w:tcPr>
            <w:tcW w:w="926"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110.14</w:t>
            </w:r>
          </w:p>
        </w:tc>
        <w:tc>
          <w:tcPr>
            <w:tcW w:w="909"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110.14</w:t>
            </w:r>
          </w:p>
        </w:tc>
        <w:tc>
          <w:tcPr>
            <w:tcW w:w="968"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rPr>
          <w:b/>
          <w:bCs/>
        </w:rPr>
      </w:pPr>
      <w:bookmarkStart w:id="19" w:name="bookmark43"/>
      <w:bookmarkStart w:id="20" w:name="bookmark41"/>
      <w:bookmarkStart w:id="21" w:name="bookmark42"/>
      <w:r>
        <w:rPr>
          <w:b/>
          <w:bCs/>
        </w:rP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环江毛南族自治县长美乡乡村建设综合服务中心</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12.99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12.99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其他城乡社区支出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84.79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84.79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11.29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11.29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rPr>
          <w:b/>
          <w:bCs/>
        </w:rPr>
      </w:pPr>
      <w:bookmarkStart w:id="22" w:name="bookmark44"/>
      <w:bookmarkStart w:id="23" w:name="bookmark45"/>
      <w:bookmarkStart w:id="24" w:name="bookmark46"/>
      <w:r>
        <w:rPr>
          <w:b/>
          <w:bCs/>
        </w:rP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环江毛南族自治县长美乡乡村建设综合服务中心</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1.08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12.99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84.79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11.29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110.14</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b/>
          <w:bCs/>
          <w:lang w:eastAsia="zh-CN"/>
        </w:rPr>
      </w:pPr>
      <w:r>
        <w:rPr>
          <w:rFonts w:hint="eastAsia"/>
          <w:b/>
          <w:bCs/>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环江毛南族自治县长美乡乡村建设综合服务中心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708009</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110.14</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110.15</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106.91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3.24</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1.08</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1.08</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12.99</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12.99</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12.99</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2129999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其他城乡社区支出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84.79</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84.79</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82.63</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2.16</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11.29</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11.29</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11.29</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b/>
          <w:bCs/>
        </w:rPr>
      </w:pPr>
      <w:bookmarkStart w:id="25" w:name="bookmark56"/>
      <w:bookmarkStart w:id="26" w:name="bookmark57"/>
      <w:bookmarkStart w:id="27" w:name="bookmark58"/>
      <w:r>
        <w:rPr>
          <w:b/>
          <w:bCs/>
        </w:rP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环江毛南族自治县长美乡乡村建设综合服务中心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110.15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106.91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106.91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106.91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34.94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34.94</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18.25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18.25</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16.29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16.29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11.29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5"/>
      <w:bookmarkStart w:id="29" w:name="bookmark66"/>
      <w:bookmarkStart w:id="30" w:name="bookmark67"/>
    </w:p>
    <w:p>
      <w:pPr>
        <w:pStyle w:val="11"/>
        <w:keepNext/>
        <w:keepLines/>
        <w:spacing w:after="240"/>
        <w:jc w:val="center"/>
        <w:rPr>
          <w:rFonts w:hint="default"/>
          <w:sz w:val="28"/>
          <w:szCs w:val="28"/>
          <w:lang w:val="en-US" w:eastAsia="zh-CN"/>
        </w:rPr>
      </w:pPr>
    </w:p>
    <w:p>
      <w:pPr>
        <w:pStyle w:val="11"/>
        <w:keepNext/>
        <w:keepLines/>
        <w:spacing w:after="240"/>
        <w:jc w:val="center"/>
        <w:rPr>
          <w:rFonts w:hint="default"/>
          <w:b/>
          <w:bCs/>
          <w:sz w:val="28"/>
          <w:szCs w:val="28"/>
          <w:lang w:val="en-US" w:eastAsia="zh-CN"/>
        </w:rPr>
      </w:pPr>
      <w:r>
        <w:rPr>
          <w:rFonts w:hint="default"/>
          <w:b/>
          <w:bCs/>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环江毛南族自治县长美乡乡村建设综合服务中心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708009</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both"/>
      </w:pPr>
    </w:p>
    <w:p>
      <w:pPr>
        <w:pStyle w:val="11"/>
        <w:keepNext/>
        <w:keepLines/>
        <w:spacing w:after="240"/>
        <w:jc w:val="center"/>
      </w:pPr>
    </w:p>
    <w:p>
      <w:pPr>
        <w:pStyle w:val="13"/>
        <w:bidi w:val="0"/>
      </w:pPr>
    </w:p>
    <w:p>
      <w:pPr>
        <w:pStyle w:val="11"/>
        <w:keepNext/>
        <w:keepLines/>
        <w:spacing w:after="240"/>
        <w:jc w:val="center"/>
        <w:rPr>
          <w:b/>
          <w:bCs/>
        </w:rPr>
      </w:pPr>
      <w:r>
        <w:rPr>
          <w:b/>
          <w:bCs/>
        </w:rP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环江毛南族自治县长美乡乡村建设综合服务中心</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2129999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其他城乡社区支出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b/>
          <w:bCs/>
          <w:sz w:val="28"/>
          <w:szCs w:val="28"/>
        </w:rPr>
      </w:pPr>
      <w:r>
        <w:rPr>
          <w:b/>
          <w:bCs/>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环江毛南族自治县长美乡乡村建设综合服务中心</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b/>
          <w:bCs/>
          <w:lang w:val="en-US" w:eastAsia="zh-CN"/>
        </w:rPr>
      </w:pPr>
      <w:r>
        <w:rPr>
          <w:rFonts w:hint="eastAsia"/>
          <w:b/>
          <w:bCs/>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环江毛南族自治县长美乡乡村建设综合服务中心</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b/>
          <w:bCs/>
          <w:sz w:val="40"/>
          <w:szCs w:val="40"/>
        </w:rPr>
      </w:pPr>
      <w:bookmarkStart w:id="43" w:name="_GoBack"/>
      <w:bookmarkStart w:id="31" w:name="bookmark96"/>
      <w:bookmarkStart w:id="32" w:name="bookmark95"/>
      <w:bookmarkStart w:id="33" w:name="bookmark94"/>
      <w:r>
        <w:rPr>
          <w:b/>
          <w:bCs/>
          <w:sz w:val="40"/>
          <w:szCs w:val="40"/>
        </w:rPr>
        <w:t>第四部</w:t>
      </w:r>
      <w:r>
        <w:rPr>
          <w:rFonts w:hint="eastAsia"/>
          <w:b/>
          <w:bCs/>
          <w:sz w:val="40"/>
          <w:szCs w:val="40"/>
          <w:lang w:val="en-US" w:eastAsia="zh-CN"/>
        </w:rPr>
        <w:t xml:space="preserve">  </w:t>
      </w:r>
      <w:r>
        <w:rPr>
          <w:b/>
          <w:bCs/>
          <w:sz w:val="40"/>
          <w:szCs w:val="40"/>
        </w:rPr>
        <w:t>分名词解释</w:t>
      </w:r>
      <w:bookmarkEnd w:id="31"/>
      <w:bookmarkEnd w:id="32"/>
      <w:bookmarkEnd w:id="33"/>
    </w:p>
    <w:bookmarkEnd w:id="43"/>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PJ778EAgAADAQAAA4AAABkcnMvZTJvRG9jLnhtbK1TwY7TMBC9I/EP&#10;lu80bR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7fvOLMCUs9v/v+7e7H&#10;r7ufX9k8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jye+/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283"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A+fCV0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285"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xZUBqQ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6"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shgUEAgAADAQAAA4AAABkcnMvZTJvRG9jLnhtbK1TwY7TMBC9I/EP&#10;lu80bZFWJW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54vrjhzwlLPH759ffj+&#10;8+HHF/Ym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Y7IYF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JU+98EAgAADQQAAA4AAABkcnMvZTJvRG9jLnhtbK1TwY7TMBC9I/EP&#10;lu80SZGgip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Vf85XzxmjMnLPX8/O3r+fvP&#10;848vrCiSRZ0PJWXe+y1Ou0Aw6e0btOlLSlg/2Hq62qr6yCQFi8V8scjJcUlnlw3xZA+/ewzxnQLL&#10;Eqg4Ut8GO8XxNsQx9ZKSbnOw0cZQXJTG/REgzhTJUsVjjQnFftdPhe+gPpFihHEUgpcbTXfeihC3&#10;Aqn3VCe9jnhHS2OgqzhMiLMW8PO/4imfWkKnnHU0SxV39HQ4M+8dtSqN3QXgBewuwB3sW6DhLDjD&#10;aAZIPwgnia7ikbODR71vh2qT0uDfHCLJH1xJ2kZBk2SaksHXaaLTGP6+H7I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iVPvf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8"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WE8oDAgAADQ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v54vqPNOWOr5+fu3849f&#10;559f2WyeLOp8KCnz3m9x3AWCSW/foE1fUsL6bOvpaqvqI5MUnC2IekqOSzq7bIinePjdY4jvFViW&#10;QMWR+pbtFMfbEIfUS0q6zcFGG0NxURr3R4A4U6RIFQ81JhT7XT8WvoP6RIoRhlEIXm403XkrQtwK&#10;pN5TnfQ64h0tjYGu4jAizlrAL/+Kp3xqCZ1y1tEsVdzR0+HMfHDUqjR2F4AXsLsAd7DvgIZzxhlG&#10;kyH9IJwkuopHzg4e9b7N1Salwb89RJKfXUnaBkGjZJqS7Os40WkMH+9z1sMrX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JqWE8oDAgAADQ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8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AqgkDn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8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wnEgv6gEAAOUDAAAOAAAAAAAAAAEAIAAAACoBAABkcnMvZTJvRG9jLnhtbFBLBQYAAAAA&#10;BgAGAFkBAACGBQ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singleLevel"/>
    <w:tmpl w:val="03D62EC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C60EC"/>
    <w:rsid w:val="0B234635"/>
    <w:rsid w:val="189A6EE1"/>
    <w:rsid w:val="667D1DF3"/>
    <w:rsid w:val="707C60EC"/>
    <w:rsid w:val="7674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110.14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formatCode>General</c:formatCode>
                <c:ptCount val="4"/>
                <c:pt idx="0">
                  <c:v>1.08</c:v>
                </c:pt>
                <c:pt idx="1">
                  <c:v>12.99</c:v>
                </c:pt>
                <c:pt idx="2">
                  <c:v>84.79</c:v>
                </c:pt>
                <c:pt idx="3">
                  <c:v>11.29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91.01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110.14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110.14</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3.24</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106.91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106.91</c:v>
                </c:pt>
                <c:pt idx="1">
                  <c:v>3.24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0.9</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2024-02-29T10:20:00Z</dcterms:created>
  <dc:creator>无名指</dc:creator>
  <cp:lastModifiedBy>Administrator</cp:lastModifiedBy>
  <dcterms:modified xsi:type="dcterms:W3CDTF">2024-03-05T07:21:51Z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B20B58963EB04E07997ED9F8EF856BC5</vt:lpwstr>
  </property>
</Properties>
</file>