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环江毛南族自治县龙岩乡计生所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环江毛南族自治县龙岩乡计生所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环江毛南族自治县龙岩乡计生所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环江毛南族自治县龙岩乡计生所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环江毛南族自治县龙岩乡计生所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环江毛南族自治县龙岩乡计生所的主要职能是：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在乡分管领导的直接领导下开展工作;负责国家人口和计划生育政策的宣传教育，依法管理辖区内卫生和计划生育工作,与卫生和计划生育服务所合署办公;组织本乡卫计工作人员学习计生政策和上级决议、指示精神;互相配合，做好计生经常性工作，共同完成上级下达人口计划任务;宣传计生有关政策;了解本乡、村的育龄妇女情况，及时反馈信息;与卫计所人员一起共同做好计生服务工作;完成上级交办的其他事项，完成乡党委、政府布置的各项中心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2.完成上级下达的其他工作任务。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环江毛南族自治县龙岩乡计生所事业机构设置情况：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以乡党委、政府管理为主，上级业务部门进行业务指导的机构：卫生和计划生育服务所(与卫计办合署办公)，主要负责国家人口和计划生育政策的宣传教育，依法管理辖区内卫生和计划生育工作,与卫生和计划生育服务所合署办公;组织本乡卫计工作人员学习计生政策和上级决议、指示精神;互相配合，做好计生经常性工作，共同完成上级下达人口计划任务;宣传计生有关政策;了解本乡、村的育龄妇女情况，及时反馈信息;与卫计所人员一起共同做好计生服务工作;完成上级交办的其他事项，完成乡党委、政府布置的各项中心工作任务。</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环江毛南族自治县龙岩乡计生所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186.71</w:t>
      </w:r>
      <w:r>
        <w:rPr>
          <w:rFonts w:hint="eastAsia"/>
          <w:b w:val="0"/>
          <w:bCs w:val="0"/>
          <w:sz w:val="28"/>
          <w:szCs w:val="28"/>
        </w:rPr>
        <w:t xml:space="preserve">万元，总支出</w:t>
      </w:r>
      <w:r>
        <w:rPr>
          <w:rFonts w:hint="eastAsia"/>
          <w:sz w:val="28"/>
          <w:szCs w:val="28"/>
          <w:lang w:val="en-US" w:eastAsia="zh-CN"/>
        </w:rPr>
        <w:t xml:space="preserve">186.71</w:t>
      </w:r>
      <w:r>
        <w:rPr>
          <w:rFonts w:hint="eastAsia"/>
          <w:b w:val="0"/>
          <w:bCs w:val="0"/>
          <w:sz w:val="28"/>
          <w:szCs w:val="28"/>
        </w:rPr>
        <w:t xml:space="preserve">万元。总收入较2023年度预算数</w:t>
      </w:r>
      <w:r>
        <w:rPr>
          <w:rFonts w:hint="eastAsia"/>
          <w:sz w:val="28"/>
          <w:szCs w:val="28"/>
          <w:lang w:val="en-US" w:eastAsia="zh-CN"/>
        </w:rPr>
        <w:t xml:space="preserve">69.18</w:t>
      </w:r>
      <w:r>
        <w:rPr>
          <w:rFonts w:hint="eastAsia"/>
          <w:b w:val="0"/>
          <w:bCs w:val="0"/>
          <w:sz w:val="28"/>
          <w:szCs w:val="28"/>
        </w:rPr>
        <w:t xml:space="preserve">万元，</w:t>
      </w:r>
      <w:r>
        <w:rPr>
          <w:rFonts w:hint="eastAsia"/>
          <w:sz w:val="28"/>
          <w:szCs w:val="28"/>
        </w:rPr>
        <w:t xml:space="preserve">增加117.53</w:t>
      </w:r>
      <w:r>
        <w:rPr>
          <w:rFonts w:hint="eastAsia"/>
          <w:b w:val="0"/>
          <w:bCs w:val="0"/>
          <w:sz w:val="28"/>
          <w:szCs w:val="28"/>
        </w:rPr>
        <w:t xml:space="preserve">万元，</w:t>
      </w:r>
      <w:r>
        <w:rPr>
          <w:rFonts w:hint="eastAsia"/>
          <w:sz w:val="28"/>
          <w:szCs w:val="28"/>
        </w:rPr>
        <w:t xml:space="preserve">增长169.89%</w:t>
      </w:r>
      <w:r>
        <w:rPr>
          <w:rFonts w:hint="eastAsia"/>
          <w:b w:val="0"/>
          <w:bCs w:val="0"/>
          <w:sz w:val="28"/>
          <w:szCs w:val="28"/>
        </w:rPr>
        <w:t xml:space="preserve">，主要原因是</w:t>
      </w:r>
      <w:r>
        <w:rPr>
          <w:rFonts w:hint="eastAsia"/>
          <w:highlight w:val="none"/>
          <w:lang w:val="en-US" w:eastAsia="zh-CN"/>
        </w:rPr>
        <w:t xml:space="preserve">2024年度人员结构调整，711003编制预算时新增9人</w:t>
      </w:r>
      <w:r>
        <w:rPr>
          <w:rFonts w:hint="eastAsia"/>
          <w:b w:val="0"/>
          <w:bCs w:val="0"/>
          <w:sz w:val="28"/>
          <w:szCs w:val="28"/>
        </w:rPr>
        <w:t xml:space="preserve">。总支出较2023年度预算数</w:t>
      </w:r>
      <w:r>
        <w:rPr>
          <w:rFonts w:hint="eastAsia"/>
          <w:sz w:val="28"/>
          <w:szCs w:val="28"/>
          <w:lang w:val="en-US" w:eastAsia="zh-CN"/>
        </w:rPr>
        <w:t xml:space="preserve">69.18</w:t>
      </w:r>
      <w:r>
        <w:rPr>
          <w:rFonts w:hint="eastAsia"/>
          <w:b w:val="0"/>
          <w:bCs w:val="0"/>
          <w:sz w:val="28"/>
          <w:szCs w:val="28"/>
        </w:rPr>
        <w:t xml:space="preserve">万元，</w:t>
      </w:r>
      <w:r>
        <w:rPr>
          <w:rFonts w:hint="eastAsia"/>
          <w:sz w:val="28"/>
          <w:szCs w:val="28"/>
        </w:rPr>
        <w:t xml:space="preserve">增加117.53</w:t>
      </w:r>
      <w:r>
        <w:rPr>
          <w:rFonts w:hint="eastAsia"/>
          <w:b w:val="0"/>
          <w:bCs w:val="0"/>
          <w:sz w:val="28"/>
          <w:szCs w:val="28"/>
        </w:rPr>
        <w:t xml:space="preserve">万元，</w:t>
      </w:r>
      <w:r>
        <w:rPr>
          <w:rFonts w:hint="eastAsia"/>
          <w:sz w:val="28"/>
          <w:szCs w:val="28"/>
        </w:rPr>
        <w:t xml:space="preserve">增长169.89%</w:t>
      </w:r>
      <w:r>
        <w:rPr>
          <w:rFonts w:hint="eastAsia"/>
          <w:b w:val="0"/>
          <w:bCs w:val="0"/>
          <w:sz w:val="28"/>
          <w:szCs w:val="28"/>
        </w:rPr>
        <w:t xml:space="preserve">，主要原因是</w:t>
      </w:r>
      <w:r>
        <w:rPr>
          <w:rFonts w:hint="eastAsia"/>
          <w:highlight w:val="none"/>
          <w:lang w:val="en-US" w:eastAsia="zh-CN"/>
        </w:rPr>
        <w:t xml:space="preserve">2024年度人员结构调整，711003编制预算时新增9人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94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186.71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69.18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增加117.53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增长169.89%</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2024年度人员结构调整，711003编制预算时新增9人</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94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186.71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69.18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增加117.53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增长169.89%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2024年度人员结构调整，711003编制预算时新增9人</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卫生健康支出</w:t>
      </w:r>
      <w:r>
        <w:rPr>
          <w:rFonts w:hint="eastAsia"/>
          <w:lang w:val="en-US" w:eastAsia="zh-CN"/>
        </w:rPr>
        <w:t xml:space="preserve">144.65</w:t>
      </w:r>
      <w:r>
        <w:rPr>
          <w:rFonts w:hint="eastAsia"/>
        </w:rPr>
        <w:t xml:space="preserve">万元，占支出总预算</w:t>
      </w:r>
      <w:r>
        <w:rPr>
          <w:rFonts w:hint="eastAsia"/>
          <w:lang w:val="en-US" w:eastAsia="zh-CN"/>
        </w:rPr>
        <w:t xml:space="preserve">77.47%</w:t>
      </w:r>
      <w:r>
        <w:rPr>
          <w:rFonts w:hint="eastAsia"/>
        </w:rPr>
        <w:t xml:space="preserve">,比上年</w:t>
      </w:r>
      <w:r>
        <w:rPr>
          <w:rFonts w:hint="eastAsia"/>
          <w:lang w:val="en-US" w:eastAsia="zh-CN"/>
        </w:rPr>
        <w:t xml:space="preserve">增长91.75</w:t>
      </w:r>
      <w:r>
        <w:rPr>
          <w:rFonts w:hint="eastAsia"/>
        </w:rPr>
        <w:t xml:space="preserve">万元，</w:t>
      </w:r>
      <w:r>
        <w:rPr>
          <w:rFonts w:hint="eastAsia"/>
          <w:lang w:val="en-US" w:eastAsia="zh-CN"/>
        </w:rPr>
        <w:t xml:space="preserve">增长173.44%</w:t>
      </w:r>
      <w:r>
        <w:rPr>
          <w:rFonts w:hint="eastAsia"/>
        </w:rPr>
        <w:t xml:space="preserve">,</w:t>
      </w:r>
      <w:r>
        <w:rPr>
          <w:rFonts w:hint="eastAsia"/>
          <w:highlight w:val="none"/>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21.54</w:t>
      </w:r>
      <w:r>
        <w:rPr>
          <w:rFonts w:hint="eastAsia"/>
        </w:rPr>
        <w:t xml:space="preserve">万元，占支出总预算</w:t>
      </w:r>
      <w:r>
        <w:rPr>
          <w:rFonts w:hint="eastAsia"/>
          <w:lang w:val="en-US" w:eastAsia="zh-CN"/>
        </w:rPr>
        <w:t xml:space="preserve">11.54%</w:t>
      </w:r>
      <w:r>
        <w:rPr>
          <w:rFonts w:hint="eastAsia"/>
        </w:rPr>
        <w:t xml:space="preserve">,比上年</w:t>
      </w:r>
      <w:r>
        <w:rPr>
          <w:rFonts w:hint="eastAsia"/>
          <w:lang w:val="en-US" w:eastAsia="zh-CN"/>
        </w:rPr>
        <w:t xml:space="preserve">增长12.86</w:t>
      </w:r>
      <w:r>
        <w:rPr>
          <w:rFonts w:hint="eastAsia"/>
        </w:rPr>
        <w:t xml:space="preserve">万元，</w:t>
      </w:r>
      <w:r>
        <w:rPr>
          <w:rFonts w:hint="eastAsia"/>
          <w:lang w:val="en-US" w:eastAsia="zh-CN"/>
        </w:rPr>
        <w:t xml:space="preserve">增长148.16%</w:t>
      </w:r>
      <w:r>
        <w:rPr>
          <w:rFonts w:hint="eastAsia"/>
        </w:rPr>
        <w:t xml:space="preserve">,</w:t>
      </w:r>
      <w:r>
        <w:rPr>
          <w:rFonts w:hint="eastAsia"/>
          <w:highlight w:val="none"/>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18.74</w:t>
      </w:r>
      <w:r>
        <w:rPr>
          <w:rFonts w:hint="eastAsia"/>
        </w:rPr>
        <w:t xml:space="preserve">万元，占支出总预算</w:t>
      </w:r>
      <w:r>
        <w:rPr>
          <w:rFonts w:hint="eastAsia"/>
          <w:lang w:val="en-US" w:eastAsia="zh-CN"/>
        </w:rPr>
        <w:t xml:space="preserve">10.04%</w:t>
      </w:r>
      <w:r>
        <w:rPr>
          <w:rFonts w:hint="eastAsia"/>
        </w:rPr>
        <w:t xml:space="preserve">,比上年</w:t>
      </w:r>
      <w:r>
        <w:rPr>
          <w:rFonts w:hint="eastAsia"/>
          <w:lang w:val="en-US" w:eastAsia="zh-CN"/>
        </w:rPr>
        <w:t xml:space="preserve">增长12.23</w:t>
      </w:r>
      <w:r>
        <w:rPr>
          <w:rFonts w:hint="eastAsia"/>
        </w:rPr>
        <w:t xml:space="preserve">万元，</w:t>
      </w:r>
      <w:r>
        <w:rPr>
          <w:rFonts w:hint="eastAsia"/>
          <w:lang w:val="en-US" w:eastAsia="zh-CN"/>
        </w:rPr>
        <w:t xml:space="preserve">增长187.86%</w:t>
      </w:r>
      <w:r>
        <w:rPr>
          <w:rFonts w:hint="eastAsia"/>
        </w:rPr>
        <w:t xml:space="preserve">,</w:t>
      </w:r>
      <w:r>
        <w:rPr>
          <w:rFonts w:hint="eastAsia"/>
          <w:highlight w:val="none"/>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1.78</w:t>
      </w:r>
      <w:r>
        <w:rPr>
          <w:rFonts w:hint="eastAsia"/>
        </w:rPr>
        <w:t xml:space="preserve">万元，占支出总预算</w:t>
      </w:r>
      <w:r>
        <w:rPr>
          <w:rFonts w:hint="eastAsia"/>
          <w:lang w:val="en-US" w:eastAsia="zh-CN"/>
        </w:rPr>
        <w:t xml:space="preserve">0.95%</w:t>
      </w:r>
      <w:r>
        <w:rPr>
          <w:rFonts w:hint="eastAsia"/>
        </w:rPr>
        <w:t xml:space="preserve">,比上年</w:t>
      </w:r>
      <w:r>
        <w:rPr>
          <w:rFonts w:hint="eastAsia"/>
          <w:lang w:val="en-US" w:eastAsia="zh-CN"/>
        </w:rPr>
        <w:t xml:space="preserve">增长0.69</w:t>
      </w:r>
      <w:r>
        <w:rPr>
          <w:rFonts w:hint="eastAsia"/>
        </w:rPr>
        <w:t xml:space="preserve">万元，</w:t>
      </w:r>
      <w:r>
        <w:rPr>
          <w:rFonts w:hint="eastAsia"/>
          <w:lang w:val="en-US" w:eastAsia="zh-CN"/>
        </w:rPr>
        <w:t xml:space="preserve">增长63.30%</w:t>
      </w:r>
      <w:r>
        <w:rPr>
          <w:rFonts w:hint="eastAsia"/>
        </w:rPr>
        <w:t xml:space="preserve">,</w:t>
      </w:r>
      <w:r>
        <w:rPr>
          <w:rFonts w:hint="eastAsia"/>
          <w:highlight w:val="none"/>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186.71</w:t>
      </w:r>
      <w:r>
        <w:rPr>
          <w:rFonts w:hint="eastAsia"/>
        </w:rPr>
        <w:t xml:space="preserve">万元，占支出预算</w:t>
      </w:r>
      <w:r>
        <w:rPr>
          <w:u w:color="auto"/>
        </w:rPr>
        <w:t xml:space="preserve">100.00%</w:t>
      </w:r>
      <w:r>
        <w:rPr>
          <w:u w:color="auto"/>
        </w:rPr>
        <w:t xml:space="preserve">,比上年</w:t>
      </w:r>
      <w:r>
        <w:rPr>
          <w:u w:color="auto"/>
        </w:rPr>
        <w:t xml:space="preserve">增长117.53</w:t>
      </w:r>
      <w:r>
        <w:rPr>
          <w:u w:color="auto"/>
        </w:rPr>
        <w:t xml:space="preserve">万元，</w:t>
      </w:r>
      <w:r>
        <w:rPr>
          <w:u w:color="auto"/>
        </w:rPr>
        <w:t xml:space="preserve">增长169.89%</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减少0.75</w:t>
      </w:r>
      <w:r>
        <w:rPr>
          <w:rFonts w:ascii="宋体" w:eastAsia="宋体" w:hAnsi="宋体" w:cs="宋体"/>
          <w:sz w:val="28"/>
          <w:u w:color="auto"/>
        </w:rPr>
        <w:t xml:space="preserve">万元，</w:t>
      </w:r>
      <w:r>
        <w:rPr>
          <w:rFonts w:ascii="宋体" w:eastAsia="宋体" w:hAnsi="宋体" w:cs="宋体"/>
          <w:sz w:val="28"/>
          <w:u w:color="auto"/>
        </w:rPr>
        <w:t xml:space="preserve">减少100.00%</w:t>
      </w:r>
      <w:r>
        <w:rPr>
          <w:rFonts w:ascii="宋体" w:eastAsia="宋体" w:hAnsi="宋体" w:cs="宋体"/>
          <w:sz w:val="28"/>
          <w:u w:color="auto"/>
        </w:rPr>
        <w:t xml:space="preserve">,主要原因是：2023年度人员信息维护，将原隶属于预算单位711003环江毛南族自治县龙岩乡计生所的退休人员梁艳丽调整到预算单位711001环江毛南族自治县龙岩乡人民政府，进行退休人员统一管理</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180.38</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96.61%</w:t>
      </w:r>
      <w:r>
        <w:rPr>
          <w:rFonts w:ascii="宋体" w:eastAsia="宋体" w:hAnsi="宋体" w:cs="宋体" w:hint="eastAsia"/>
          <w:sz w:val="28"/>
          <w:szCs w:val="28"/>
        </w:rPr>
        <w:t xml:space="preserve">,比上年</w:t>
      </w:r>
      <w:r>
        <w:rPr>
          <w:rFonts w:ascii="宋体" w:eastAsia="宋体" w:hAnsi="宋体" w:cs="宋体"/>
          <w:sz w:val="28"/>
          <w:u w:color="auto"/>
        </w:rPr>
        <w:t xml:space="preserve">增长115.43</w:t>
      </w:r>
      <w:r>
        <w:rPr>
          <w:rFonts w:ascii="宋体" w:eastAsia="宋体" w:hAnsi="宋体" w:cs="宋体"/>
          <w:sz w:val="28"/>
          <w:u w:color="auto"/>
        </w:rPr>
        <w:t xml:space="preserve">万元，</w:t>
      </w:r>
      <w:r>
        <w:rPr>
          <w:rFonts w:ascii="宋体" w:eastAsia="宋体" w:hAnsi="宋体" w:cs="宋体"/>
          <w:sz w:val="28"/>
          <w:u w:color="auto"/>
        </w:rPr>
        <w:t xml:space="preserve">增长177.72%</w:t>
      </w:r>
      <w:r>
        <w:rPr>
          <w:rFonts w:ascii="宋体" w:eastAsia="宋体" w:hAnsi="宋体" w:cs="宋体"/>
          <w:sz w:val="28"/>
          <w:u w:color="auto"/>
        </w:rPr>
        <w:t xml:space="preserve">,主要原因是：编制2024年度预算时，将原隶属于预算单位711001环江毛南族自治县龙岩乡人民政府的9位干部职工调整到预算单位711003环江毛南族自治县龙岩乡计生所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6.33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3.39%</w:t>
      </w:r>
      <w:r>
        <w:rPr>
          <w:rFonts w:ascii="宋体" w:eastAsia="宋体" w:hAnsi="宋体" w:cs="宋体" w:hint="eastAsia"/>
          <w:sz w:val="28"/>
          <w:szCs w:val="28"/>
        </w:rPr>
        <w:t xml:space="preserve">,比上年</w:t>
      </w:r>
      <w:r>
        <w:rPr>
          <w:rFonts w:ascii="宋体" w:eastAsia="宋体" w:hAnsi="宋体" w:cs="宋体"/>
          <w:sz w:val="28"/>
          <w:u w:color="auto"/>
        </w:rPr>
        <w:t xml:space="preserve">增长2.85</w:t>
      </w:r>
      <w:r>
        <w:rPr>
          <w:rFonts w:ascii="宋体" w:eastAsia="宋体" w:hAnsi="宋体" w:cs="宋体"/>
          <w:sz w:val="28"/>
          <w:u w:color="auto"/>
        </w:rPr>
        <w:t xml:space="preserve">万元，</w:t>
      </w:r>
      <w:r>
        <w:rPr>
          <w:rFonts w:ascii="宋体" w:eastAsia="宋体" w:hAnsi="宋体" w:cs="宋体"/>
          <w:sz w:val="28"/>
          <w:u w:color="auto"/>
        </w:rPr>
        <w:t xml:space="preserve">增长81.90%</w:t>
      </w:r>
      <w:r>
        <w:rPr>
          <w:rFonts w:ascii="宋体" w:eastAsia="宋体" w:hAnsi="宋体" w:cs="宋体"/>
          <w:sz w:val="28"/>
          <w:u w:color="auto"/>
        </w:rPr>
        <w:t xml:space="preserve">,主要原因是：编制2024年度预算时，将原隶属于预算单位711001环江毛南族自治县龙岩乡人民政府的9位干部职工调整到预算单位711003环江毛南族自治县龙岩乡计生所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94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186.71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186.71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69.18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增长169.89%</w:t>
      </w:r>
      <w:r>
        <w:rPr>
          <w:rFonts w:ascii="宋体" w:eastAsia="宋体" w:hAnsi="宋体" w:cs="宋体" w:hint="eastAsia"/>
          <w:sz w:val="28"/>
          <w:szCs w:val="28"/>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69.18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增长169.89%</w:t>
      </w:r>
      <w:r>
        <w:rPr>
          <w:rFonts w:ascii="宋体" w:eastAsia="宋体" w:hAnsi="宋体" w:cs="宋体" w:hint="eastAsia"/>
          <w:sz w:val="28"/>
          <w:szCs w:val="28"/>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94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186.71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69.18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增加117.53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增长169.89%</w:t>
      </w:r>
      <w:r>
        <w:rPr>
          <w:rFonts w:ascii="宋体" w:eastAsia="宋体" w:hAnsi="宋体" w:cs="宋体" w:hint="eastAsia"/>
          <w:sz w:val="28"/>
          <w:szCs w:val="28"/>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1.78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1.09</w:t>
      </w:r>
      <w:r>
        <w:rPr>
          <w:rFonts w:ascii="宋体" w:eastAsia="宋体" w:hAnsi="宋体" w:cs="宋体" w:hint="eastAsia"/>
          <w:sz w:val="28"/>
          <w:szCs w:val="28"/>
        </w:rPr>
        <w:t xml:space="preserve">万元，</w:t>
      </w:r>
      <w:r>
        <w:rPr>
          <w:rFonts w:ascii="宋体" w:eastAsia="宋体" w:hAnsi="宋体" w:cs="宋体"/>
          <w:sz w:val="28"/>
          <w:u w:color="auto"/>
        </w:rPr>
        <w:t xml:space="preserve">增长0.69</w:t>
      </w:r>
      <w:r>
        <w:rPr>
          <w:rFonts w:ascii="宋体" w:eastAsia="宋体" w:hAnsi="宋体" w:cs="宋体" w:hint="eastAsia"/>
          <w:sz w:val="28"/>
          <w:szCs w:val="28"/>
        </w:rPr>
        <w:t xml:space="preserve">万元，</w:t>
      </w:r>
      <w:r>
        <w:rPr>
          <w:rFonts w:ascii="宋体" w:eastAsia="宋体" w:hAnsi="宋体" w:cs="宋体"/>
          <w:sz w:val="28"/>
          <w:u w:color="auto"/>
        </w:rPr>
        <w:t xml:space="preserve">增长63.30%</w:t>
      </w:r>
      <w:r>
        <w:rPr>
          <w:rFonts w:ascii="宋体" w:eastAsia="宋体" w:hAnsi="宋体" w:cs="宋体" w:hint="eastAsia"/>
          <w:sz w:val="28"/>
          <w:szCs w:val="28"/>
        </w:rPr>
        <w:t xml:space="preserve">，主要原因是：</w:t>
      </w:r>
      <w:r>
        <w:rPr>
          <w:rFonts w:hint="eastAsia"/>
          <w:highlight w:val="none"/>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18.74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6.51</w:t>
      </w:r>
      <w:r>
        <w:rPr>
          <w:rFonts w:ascii="宋体" w:eastAsia="宋体" w:hAnsi="宋体" w:cs="宋体" w:hint="eastAsia"/>
          <w:sz w:val="28"/>
          <w:szCs w:val="28"/>
        </w:rPr>
        <w:t xml:space="preserve">万元，</w:t>
      </w:r>
      <w:r>
        <w:rPr>
          <w:rFonts w:ascii="宋体" w:eastAsia="宋体" w:hAnsi="宋体" w:cs="宋体"/>
          <w:sz w:val="28"/>
          <w:u w:color="auto"/>
        </w:rPr>
        <w:t xml:space="preserve">增长12.23</w:t>
      </w:r>
      <w:r>
        <w:rPr>
          <w:rFonts w:ascii="宋体" w:eastAsia="宋体" w:hAnsi="宋体" w:cs="宋体" w:hint="eastAsia"/>
          <w:sz w:val="28"/>
          <w:szCs w:val="28"/>
        </w:rPr>
        <w:t xml:space="preserve">万元，</w:t>
      </w:r>
      <w:r>
        <w:rPr>
          <w:rFonts w:ascii="宋体" w:eastAsia="宋体" w:hAnsi="宋体" w:cs="宋体"/>
          <w:sz w:val="28"/>
          <w:u w:color="auto"/>
        </w:rPr>
        <w:t xml:space="preserve">增长187.86%</w:t>
      </w:r>
      <w:r>
        <w:rPr>
          <w:rFonts w:ascii="宋体" w:eastAsia="宋体" w:hAnsi="宋体" w:cs="宋体" w:hint="eastAsia"/>
          <w:sz w:val="28"/>
          <w:szCs w:val="28"/>
        </w:rPr>
        <w:t xml:space="preserve">，主要原因是：</w:t>
      </w:r>
      <w:r>
        <w:rPr>
          <w:rFonts w:hint="eastAsia"/>
          <w:highlight w:val="none"/>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144.65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52.90</w:t>
      </w:r>
      <w:r>
        <w:rPr>
          <w:rFonts w:ascii="宋体" w:eastAsia="宋体" w:hAnsi="宋体" w:cs="宋体" w:hint="eastAsia"/>
          <w:sz w:val="28"/>
          <w:szCs w:val="28"/>
        </w:rPr>
        <w:t xml:space="preserve">万元，</w:t>
      </w:r>
      <w:r>
        <w:rPr>
          <w:rFonts w:ascii="宋体" w:eastAsia="宋体" w:hAnsi="宋体" w:cs="宋体"/>
          <w:sz w:val="28"/>
          <w:u w:color="auto"/>
        </w:rPr>
        <w:t xml:space="preserve">增长91.75</w:t>
      </w:r>
      <w:r>
        <w:rPr>
          <w:rFonts w:ascii="宋体" w:eastAsia="宋体" w:hAnsi="宋体" w:cs="宋体" w:hint="eastAsia"/>
          <w:sz w:val="28"/>
          <w:szCs w:val="28"/>
        </w:rPr>
        <w:t xml:space="preserve">万元，</w:t>
      </w:r>
      <w:r>
        <w:rPr>
          <w:rFonts w:ascii="宋体" w:eastAsia="宋体" w:hAnsi="宋体" w:cs="宋体"/>
          <w:sz w:val="28"/>
          <w:u w:color="auto"/>
        </w:rPr>
        <w:t xml:space="preserve">增长173.44%</w:t>
      </w:r>
      <w:r>
        <w:rPr>
          <w:rFonts w:ascii="宋体" w:eastAsia="宋体" w:hAnsi="宋体" w:cs="宋体" w:hint="eastAsia"/>
          <w:sz w:val="28"/>
          <w:szCs w:val="28"/>
        </w:rPr>
        <w:t xml:space="preserve">，主要原因是：</w:t>
      </w:r>
      <w:r>
        <w:rPr>
          <w:rFonts w:hint="eastAsia"/>
          <w:highlight w:val="none"/>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21.54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8.68</w:t>
      </w:r>
      <w:r>
        <w:rPr>
          <w:rFonts w:ascii="宋体" w:eastAsia="宋体" w:hAnsi="宋体" w:cs="宋体" w:hint="eastAsia"/>
          <w:sz w:val="28"/>
          <w:szCs w:val="28"/>
        </w:rPr>
        <w:t xml:space="preserve">万元，</w:t>
      </w:r>
      <w:r>
        <w:rPr>
          <w:rFonts w:ascii="宋体" w:eastAsia="宋体" w:hAnsi="宋体" w:cs="宋体"/>
          <w:sz w:val="28"/>
          <w:u w:color="auto"/>
        </w:rPr>
        <w:t xml:space="preserve">增长12.86</w:t>
      </w:r>
      <w:r>
        <w:rPr>
          <w:rFonts w:ascii="宋体" w:eastAsia="宋体" w:hAnsi="宋体" w:cs="宋体" w:hint="eastAsia"/>
          <w:sz w:val="28"/>
          <w:szCs w:val="28"/>
        </w:rPr>
        <w:t xml:space="preserve">万元，</w:t>
      </w:r>
      <w:r>
        <w:rPr>
          <w:rFonts w:ascii="宋体" w:eastAsia="宋体" w:hAnsi="宋体" w:cs="宋体"/>
          <w:sz w:val="28"/>
          <w:u w:color="auto"/>
        </w:rPr>
        <w:t xml:space="preserve">增长148.16%</w:t>
      </w:r>
      <w:r>
        <w:rPr>
          <w:rFonts w:ascii="宋体" w:eastAsia="宋体" w:hAnsi="宋体" w:cs="宋体" w:hint="eastAsia"/>
          <w:sz w:val="28"/>
          <w:szCs w:val="28"/>
        </w:rPr>
        <w:t xml:space="preserve">，主要原因是：</w:t>
      </w:r>
      <w:r>
        <w:rPr>
          <w:rFonts w:hint="eastAsia"/>
          <w:highlight w:val="none"/>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94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186.71</w:t>
      </w:r>
      <w:r>
        <w:rPr>
          <w:rFonts w:hint="eastAsia"/>
        </w:rPr>
        <w:t xml:space="preserve">万元，较2023年度预算数</w:t>
      </w:r>
      <w:r>
        <w:rPr>
          <w:rFonts w:hint="eastAsia"/>
          <w:lang w:val="en-US" w:eastAsia="zh-CN"/>
        </w:rPr>
        <w:t xml:space="preserve">69.18</w:t>
      </w:r>
      <w:r>
        <w:rPr>
          <w:rFonts w:hint="eastAsia"/>
        </w:rPr>
        <w:t xml:space="preserve">万元</w:t>
      </w:r>
      <w:r>
        <w:rPr>
          <w:rFonts w:hint="eastAsia"/>
          <w:lang w:val="en-US" w:eastAsia="zh-CN"/>
        </w:rPr>
        <w:t xml:space="preserve">,</w:t>
      </w:r>
      <w:r>
        <w:rPr>
          <w:u w:color="auto"/>
        </w:rPr>
        <w:t xml:space="preserve">增加117.53</w:t>
      </w:r>
      <w:r>
        <w:rPr>
          <w:rFonts w:hint="eastAsia"/>
        </w:rPr>
        <w:t xml:space="preserve">万元，</w:t>
      </w:r>
      <w:r>
        <w:rPr>
          <w:rFonts w:hint="eastAsia"/>
          <w:lang w:val="en-US" w:eastAsia="zh-CN"/>
        </w:rPr>
        <w:t xml:space="preserve">增长169.89%</w:t>
      </w:r>
      <w:r>
        <w:rPr>
          <w:rFonts w:hint="eastAsia"/>
        </w:rPr>
        <w:t xml:space="preserve">，主要原因是</w:t>
      </w:r>
      <w:r>
        <w:rPr>
          <w:rFonts w:hint="eastAsia"/>
          <w:highlight w:val="none"/>
          <w:lang w:val="en-US" w:eastAsia="zh-CN"/>
        </w:rPr>
        <w:t xml:space="preserve">编制2024年度预算时，将原隶属于预算单位711001环江毛南族自治县龙岩乡人民政府的9位干部职工调整到预算单位711003环江毛南族自治县龙岩乡计生所</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0.75</w:t>
      </w:r>
      <w:r>
        <w:rPr>
          <w:rFonts w:hint="eastAsia"/>
        </w:rPr>
        <w:t xml:space="preserve">万元，</w:t>
      </w:r>
      <w:r>
        <w:rPr>
          <w:rFonts w:hint="eastAsia"/>
          <w:lang w:val="en-US" w:eastAsia="zh-CN"/>
        </w:rPr>
        <w:t xml:space="preserve">减少0.75</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2023年度人员信息维护，将原隶属于预算单位711003环江毛南族自治县龙岩乡计生所的退休人员梁艳丽调整到预算单位711001环江毛南族自治县龙岩乡人民政府，进行退休人员统一管理</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180.38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96.61%</w:t>
      </w:r>
      <w:r>
        <w:rPr>
          <w:rFonts w:hint="eastAsia"/>
        </w:rPr>
        <w:t xml:space="preserve">，较2023年度预算数</w:t>
      </w:r>
      <w:r>
        <w:rPr>
          <w:rFonts w:hint="eastAsia"/>
          <w:lang w:val="en-US" w:eastAsia="zh-CN"/>
        </w:rPr>
        <w:t xml:space="preserve">64.95</w:t>
      </w:r>
      <w:r>
        <w:rPr>
          <w:rFonts w:hint="eastAsia"/>
        </w:rPr>
        <w:t xml:space="preserve">万元，</w:t>
      </w:r>
      <w:r>
        <w:rPr>
          <w:rFonts w:hint="eastAsia"/>
          <w:lang w:val="en-US" w:eastAsia="zh-CN"/>
        </w:rPr>
        <w:t xml:space="preserve">增长115.43</w:t>
      </w:r>
      <w:r>
        <w:rPr>
          <w:rFonts w:hint="eastAsia"/>
        </w:rPr>
        <w:t xml:space="preserve">万元，</w:t>
      </w:r>
      <w:r>
        <w:rPr>
          <w:rFonts w:hint="eastAsia"/>
          <w:lang w:val="en-US" w:eastAsia="zh-CN"/>
        </w:rPr>
        <w:t xml:space="preserve">增长177.72%</w:t>
      </w:r>
      <w:r>
        <w:rPr>
          <w:rFonts w:hint="eastAsia"/>
        </w:rPr>
        <w:t xml:space="preserve">，主要原因是：</w:t>
      </w:r>
      <w:r>
        <w:rPr>
          <w:rFonts w:hint="eastAsia"/>
          <w:highlight w:val="none"/>
        </w:rPr>
        <w:t xml:space="preserve">编制2024年度预算时，将原隶属于预算单位711001环江毛南族自治县龙岩乡人民政府的9位干部职工调整到预算单位711003环江毛南族自治县龙岩乡计生所</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6.33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3.39%</w:t>
      </w:r>
      <w:r>
        <w:rPr>
          <w:rFonts w:hint="eastAsia"/>
        </w:rPr>
        <w:t xml:space="preserve">，较2023年度预算数</w:t>
      </w:r>
      <w:r>
        <w:rPr>
          <w:rFonts w:hint="eastAsia"/>
          <w:lang w:val="en-US" w:eastAsia="zh-CN"/>
        </w:rPr>
        <w:t xml:space="preserve">3.48</w:t>
      </w:r>
      <w:r>
        <w:rPr>
          <w:rFonts w:hint="eastAsia"/>
        </w:rPr>
        <w:t xml:space="preserve">万元，</w:t>
      </w:r>
      <w:r>
        <w:rPr>
          <w:rFonts w:hint="eastAsia"/>
          <w:lang w:val="en-US" w:eastAsia="zh-CN"/>
        </w:rPr>
        <w:t xml:space="preserve">增长2.85</w:t>
      </w:r>
      <w:r>
        <w:rPr>
          <w:rFonts w:hint="eastAsia"/>
        </w:rPr>
        <w:t xml:space="preserve">万元，</w:t>
      </w:r>
      <w:r>
        <w:rPr>
          <w:rFonts w:hint="eastAsia"/>
          <w:lang w:val="en-US" w:eastAsia="zh-CN"/>
        </w:rPr>
        <w:t xml:space="preserve">增长81.90%</w:t>
      </w:r>
      <w:r>
        <w:rPr>
          <w:rFonts w:hint="eastAsia"/>
        </w:rPr>
        <w:t xml:space="preserve">，主要原因是：</w:t>
      </w:r>
      <w:r>
        <w:rPr>
          <w:rFonts w:hint="eastAsia"/>
          <w:highlight w:val="none"/>
        </w:rPr>
        <w:t xml:space="preserve">编制2024年度预算时，将原隶属于预算单位711001环江毛南族自治县龙岩乡人民政府的9位干部职工调整到预算单位711003环江毛南族自治县龙岩乡计生所</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95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0.95</w:t>
      </w:r>
      <w:r>
        <w:rPr>
          <w:rFonts w:hint="eastAsia"/>
          <w:b w:val="0"/>
          <w:bCs w:val="0"/>
          <w:sz w:val="28"/>
          <w:szCs w:val="28"/>
        </w:rPr>
        <w:t xml:space="preserve">万元，同口径较2023年度预算数</w:t>
      </w:r>
      <w:r>
        <w:rPr>
          <w:rFonts w:hint="eastAsia"/>
          <w:b w:val="0"/>
          <w:bCs w:val="0"/>
          <w:sz w:val="28"/>
          <w:szCs w:val="28"/>
          <w:lang w:val="en-US" w:eastAsia="zh-CN"/>
        </w:rPr>
        <w:t xml:space="preserve">0.95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本单位今年没有新购置公务用车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本单位没有政府性基金预算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本单位没有国有资本经营预算</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6.33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3.48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增加2.85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增长81.90%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编制2024年度预算时，将原隶属于预算单位711001环江毛南族自治县龙岩乡人民政府的9位干部职工调整到预算单位711003环江毛南族自治县龙岩乡计生所</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主要用于：本单位2024年没有政府采购预算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我部门2024年没有项目支出</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环江毛南族自治县龙岩乡计生所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环江毛南族自治县龙岩乡计生所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186.71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186.71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18.74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186.71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186.71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186.71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186.71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环江毛南族自治县龙岩乡计生所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186.71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186.71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186.71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711003</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186.71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186.71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186.71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环江毛南族自治县龙岩乡计生所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186.71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186.71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711003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186.71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186.71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2100716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计划生育机构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环江毛南族自治县龙岩乡计生所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186.71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186.71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144.65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18.74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186.71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186.71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186.71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186.71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环江毛南族自治县龙岩乡计生所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711003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186.71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186.71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180.38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6.33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1.78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21.54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2100716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计划生育机构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144.65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140.10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4.55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18.74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环江毛南族自治县龙岩乡计生所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环江毛南族自治县龙岩乡计生所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711003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环江毛南族自治县龙岩乡计生所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2100716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计划生育机构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环江毛南族自治县龙岩乡计生所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环江毛南族自治县龙岩乡计生所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01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95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01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95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01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5"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401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6"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40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0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5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5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lZyNWHUgHm+cjxBSunQYSQ==" w:hash="86vzeSJFH4pDuKu6gk1TijRL/c3Mqb9lCgy5x3VGr4VY46GzeGscunPE822EZ43yQbllIuf6eZZvHjB8UdyfP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186.71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1.78</c:v>
                </c:pt>
                <c:pt idx="1">
                  <c:v>21.54</c:v>
                </c:pt>
                <c:pt idx="2">
                  <c:v>144.65</c:v>
                </c:pt>
                <c:pt idx="3">
                  <c:v>18.74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186.71</c:v>
                </c:pt>
              </c:numCache>
            </c:numRef>
          </c:val>
        </c:ser>
        <c:ser>
          <c:idx val="1"/>
          <c:order val="1"/>
          <c:tx>
            <c:strRef>
              <c:f>Sheet1!$C$1</c:f>
              <c:strCache>
                <c:ptCount val="1"/>
                <c:pt idx="0">
                  <c:v>结转下年支出</c:v>
                </c:pt>
              </c:strCache>
            </c:strRef>
          </c:tx>
          <c:spPr>
            <a:solidFill>
              <a:schemeClr val="accent2"/>
            </a:solidFill>
            <a:ln>
              <a:noFill/>
            </a:ln>
            <a:effectLst/>
          </c:spPr>
          <c:invertIfNegative val="0"/>
          <c:dLbls>
            <c:delete val="1"/>
          </c:dLbls>
          <c:cat>
            <c:strRef>
              <c:f>Sheet1!$A$2</c:f>
              <c:strCache>
                <c:ptCount val="1"/>
                <c:pt idx="0">
                  <c:v>上年</c:v>
                </c:pt>
              </c:strCache>
            </c:strRef>
          </c:cat>
          <c:val>
            <c:numRef>
              <c:f>Sheet1!$C$2</c:f>
              <c:numCache>
                <c:formatCode>General</c:formatCod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MOF_DIV_CODE</c:v>
                </c:pt>
              </c:strCache>
            </c:strRef>
          </c:tx>
          <c:cat>
            <c:strRef>
              <c:f>Sheet1!$A$2</c:f>
              <c:strCache>
                <c:ptCount val="1"/>
                <c:pt idx="0">
                  <c:v>上年</c:v>
                </c:pt>
              </c:strCache>
            </c:strRef>
          </c:cat>
          <c:val>
            <c:numRef>
              <c:f>Sheet1!$E$2</c:f>
              <c:numCache>
                <c:ptCount val="1"/>
                <c:pt idx="0">
                  <c:v>4.51226E8</c:v>
                </c:pt>
              </c:numCache>
            </c:numRef>
          </c:val>
        </c:ser>
        <c:ser>
          <c:idx val="4"/>
          <c:order val="4"/>
          <c:tx>
            <c:strRef>
              <c:f>Sheet1!$F$1</c:f>
              <c:strCache>
                <c:ptCount val="1"/>
                <c:pt idx="0">
                  <c:v>公用经费</c:v>
                </c:pt>
              </c:strCache>
            </c:strRef>
          </c:tx>
          <c:cat>
            <c:strRef>
              <c:f>Sheet1!$A$2</c:f>
              <c:strCache>
                <c:ptCount val="1"/>
                <c:pt idx="0">
                  <c:v>上年</c:v>
                </c:pt>
              </c:strCache>
            </c:strRef>
          </c:cat>
          <c:val>
            <c:numRef>
              <c:f>Sheet1!$F$2</c:f>
              <c:numCache>
                <c:ptCount val="1"/>
                <c:pt idx="0">
                  <c:v>6.33</c:v>
                </c:pt>
              </c:numCache>
            </c:numRef>
          </c:val>
        </c:ser>
        <c:ser>
          <c:idx val="5"/>
          <c:order val="5"/>
          <c:tx>
            <c:strRef>
              <c:f>Sheet1!$G$1</c:f>
              <c:strCache>
                <c:ptCount val="1"/>
                <c:pt idx="0">
                  <c:v>人员经费</c:v>
                </c:pt>
              </c:strCache>
            </c:strRef>
          </c:tx>
          <c:cat>
            <c:strRef>
              <c:f>Sheet1!$A$2</c:f>
              <c:strCache>
                <c:ptCount val="1"/>
                <c:pt idx="0">
                  <c:v>上年</c:v>
                </c:pt>
              </c:strCache>
            </c:strRef>
          </c:cat>
          <c:val>
            <c:numRef>
              <c:f>Sheet1!$G$2</c:f>
              <c:numCache>
                <c:ptCount val="1"/>
                <c:pt idx="0">
                  <c:v>180.38</c:v>
                </c:pt>
              </c:numCache>
            </c:numRef>
          </c:val>
        </c:ser>
        <c:ser>
          <c:idx val="6"/>
          <c:order val="6"/>
          <c:tx>
            <c:strRef>
              <c:f>Sheet1!$H$1</c:f>
              <c:strCache>
                <c:ptCount val="1"/>
                <c:pt idx="0">
                  <c:v>AGENCY_CODE</c:v>
                </c:pt>
              </c:strCache>
            </c:strRef>
          </c:tx>
          <c:cat>
            <c:strRef>
              <c:f>Sheet1!$A$2</c:f>
              <c:strCache>
                <c:ptCount val="1"/>
                <c:pt idx="0">
                  <c:v>上年</c:v>
                </c:pt>
              </c:strCache>
            </c:strRef>
          </c:cat>
          <c:val>
            <c:numRef>
              <c:f>Sheet1!$H$2</c:f>
              <c:numCache>
                <c:ptCount val="1"/>
                <c:pt idx="0">
                  <c:v>711003.0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186.71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6.33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180.38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180.38</c:v>
                </c:pt>
                <c:pt idx="1">
                  <c:v>6.33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0.95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2024-02-29T04:21:07Z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