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环江毛南族自治县司法局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环江毛南族自治县司法局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环江毛南族自治县司法局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环江毛南族自治县司法局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环江毛南族自治县司法局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（1）承担全面依法治县重大问题的政策研究，协调有关方面提出全面依法治县中长期规划建议，负责有关重大决策部署督察工作。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（2）负责对自治县人民政府拟出台的规范性文件以及需要自治县人民政府批准的县直部门规范性文件的合法性审查。承办政府法律事务工作。指导乡（镇）人民政府规范性文件合法性审查和政府法律事务工作。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（3）承担统筹推进法制政府建设的责任。指导、监督县直部门和乡（镇）人民政府依法行政工作。负责综合协调行政执法，承担推进行政执法体制改革有关工作，推进严格规范公正文明执法。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承办向自治县人民政府申请的行政复议、行政赔偿案件。承办自治县人民政府的行政应诉案件。承办因不服自治县人民政府行政复议决定向河池市人民政府申请裁决案件的答复工作。指导、监督全县行政复议和行政应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承担统筹规划全县法治社会建设的责任。负责拟定法制宣传教育规划，组织实施普法宣传和对外法治宣传工作，指导依法治理和法治创建工作。推动人民参与和促进法治建设。指导人民调解工作和人民陪审员、人民监督员选任管理工作。指导管理全县基层司法所，推进司法所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（6）负责指导、监督、管理全县社区矫正工作，承担自治县社区矫正工作领导小组办公室的日常工作。指导、管理全县刑释人员的安置帮教工作，承担自治县刑释人员安置帮教工作领导小组办公室的日常工作。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（7）负责拟定公共法律服务体系建设规划并指导实施，统筹和布局城乡、区域法律服务资源。指导、监督律师、法律援助、公证和基层法律服务管理工作。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（8）负责本系统服装和警车管理工作，指导、监督本系统财务、装备、设施、场所等保障工作。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（9）规划、协调、指导法治人才队伍建设相关工作，指导、监督本系统队伍建设。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（10）完成自治县党委、自治县人民政府交办的其他任务。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根据上述职责，司法局设5个内设机构。实有财政供养在职在编人数41人，其中行政在职36人，参公在职2人，事业在职3人；离退休37人。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一、社区矫正管理科。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工作职责：负责监督检查社区矫正法律法规和政策的执行工作，拟定社区矫正工作发展规划、管理制度和相关政策并组织实施。指导、监督社区矫正对象的刑罚执行、管理教育和帮扶工作。指导社会力量和志愿者参与社区矫正工作。指导社区矫正场所建设和管理工作。负责自治县社区矫正工作领导小组办公室的日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二、政府法律事务科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工作职责：承办自治县人民政府行政规范性文件合法性审查工作。负责行政执法的综合协调工作。指导、监督各乡镇、各部门依法行政工作，推进严格规范公正文明执法。负责协调行政执法体制改革和行政执法的普遍性重要性问题。指导行政执法示范点建设。组织开展行政执法监督工作。负责自治县人民政府职能转变、“放管服”改革措施的法制协调工作。指导行政执法队伍规范化、制度化建设。指导行政裁决工作。承办向自治县人民政府申请的行政复议和行政赔偿案件。负责办理自治县人民政府的行政应诉案件。承办因不服自治县人民政府行政复议决定依法向河池市人民政府申请裁决案件的答复工作。指导、监督全县行政复议、行政应诉工作。承办自治县司法局的行政复议、行政应诉和国家赔偿案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三、公共法律服务管理科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工作职责：制定保障人民群众参与、促进、监督法治建设的制度措施。指导人民团体、群众自治组织和社会组织参与、支持法治社会建设工作。指导人民调解、行政调解、行业性专业性调解工作。指导人民陪审员和人民监督员选任管理工作。指导全县刑满释放人员安置帮教工作。负责自治县刑释人员安置帮教工作领导小组办公室的日常工作。负责规划和推进公共法律服务体系和平台建设。指导、监督、管理律师、公证、法律援助、基层法律服务、仲裁等工作。指导、监督律师公证、法律援助、基层法律服务、仲裁等方面的法律法规和规章政策的执行。指导、监督律师、公证、法律援助、基层法律服务、仲裁及从业人员执业许可。组织实施我县法律援助工作。牵头指导律师行业党建工作。指导、监督党政机关、企事业单位、村(居)法律顾问工作。指导社会组织和志愿者开展法律服务工作。指导公职律师和公司律师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四、普法依法治理科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工作职责：负责处理自治县党委全面依法治县委员会办公室日常事务。承担全面依法治县工作规划建议的协调工作。组织起草全面依法治县有关重要文件。研究提出建设法治政府、法治社会的意见和措施，对应完成法治调研、法治督察工作任务。负责拟订法治宣传教育规划并组织实施。指导、监督各部门各单位“谁执法谁普法”的普法责任制落实工作，推进全民普法。指导、监督国家工作人员学法用法工作。指导、监督各乡镇、各部门、各行业依法治理和法治创建工作。组织、指导对外法治宣传、新闻宣传工作。指导、推进社会主义法治文化建设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五、综合科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办公室负责机关日常运转工作。承担机关文电、会务、机要、档案、督查督办、政务公开、统计、保密、信访、外事、安全、应急管理等工作。负责机关重要文稿、公文的组织起草、审核工作和信息报送工作。负责本系统舆情监控。负责本系统车辆的管理，保养、维护、修理、出差用车安排、加油、使用人员登记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政工科负责负责本系统思想政治和组织、人事和纪检监察工作，指导、监督党的建设和干部队伍建设。负责机关离退休人员工作。负责机关和直属事业单位的党群工作。推进司法所及队伍建设。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财务科负责指导本系统财务、物资装备和基本建设管理工作，拟定建设标准、经费保障、物资装备和财务管理办法。指导、监督本系统政法补助专款和基建投资的使用工作。负责全系统服装和警车等业务装备的管理工作。负责机关、基层司法所、直属事业单位的预决算和机关的财务管理、国有资产管理、政府采购等工作。开展审计监督工作。指导、管理本系统信息化建设。承担机关电子政务工作的具体实施和技术保障。承担机关综合政务管理、公共法律服务网络平台及其相关业务系统的建设、维护和系统信息数据资源集成共享及应用工作。负责机关官网的建设和维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调处办负责组织协调、督促指导全县“三大纠纷”调处工作；总结交流调处工作经验，做好调处人员的业务培训和业务统计工作；负责自治县人民政府直接交办的重大、疑难“三大纠纷”案件的调处工作；完成自治县人民政府交办的其他工作任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环江毛南族自治县司法局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1057.96</w:t>
      </w:r>
      <w:r>
        <w:rPr>
          <w:rFonts w:hint="eastAsia"/>
          <w:b w:val="0"/>
          <w:bCs w:val="0"/>
          <w:sz w:val="28"/>
          <w:szCs w:val="28"/>
        </w:rPr>
        <w:t xml:space="preserve">万元，总支出</w:t>
      </w:r>
      <w:r>
        <w:rPr>
          <w:rFonts w:hint="eastAsia"/>
          <w:sz w:val="28"/>
          <w:szCs w:val="28"/>
          <w:lang w:val="en-US" w:eastAsia="zh-CN"/>
        </w:rPr>
        <w:t xml:space="preserve">1057.96</w:t>
      </w:r>
      <w:r>
        <w:rPr>
          <w:rFonts w:hint="eastAsia"/>
          <w:b w:val="0"/>
          <w:bCs w:val="0"/>
          <w:sz w:val="28"/>
          <w:szCs w:val="28"/>
        </w:rPr>
        <w:t xml:space="preserve">万元。总收入较2023年度预算数</w:t>
      </w:r>
      <w:r>
        <w:rPr>
          <w:rFonts w:hint="eastAsia"/>
          <w:sz w:val="28"/>
          <w:szCs w:val="28"/>
          <w:lang w:val="en-US" w:eastAsia="zh-CN"/>
        </w:rPr>
        <w:t xml:space="preserve">890.86</w:t>
      </w:r>
      <w:r>
        <w:rPr>
          <w:rFonts w:hint="eastAsia"/>
          <w:b w:val="0"/>
          <w:bCs w:val="0"/>
          <w:sz w:val="28"/>
          <w:szCs w:val="28"/>
        </w:rPr>
        <w:t xml:space="preserve">万元，</w:t>
      </w:r>
      <w:r>
        <w:rPr>
          <w:rFonts w:hint="eastAsia"/>
          <w:sz w:val="28"/>
          <w:szCs w:val="28"/>
        </w:rPr>
        <w:t xml:space="preserve">增加167.10</w:t>
      </w:r>
      <w:r>
        <w:rPr>
          <w:rFonts w:hint="eastAsia"/>
          <w:b w:val="0"/>
          <w:bCs w:val="0"/>
          <w:sz w:val="28"/>
          <w:szCs w:val="28"/>
        </w:rPr>
        <w:t xml:space="preserve">万元，</w:t>
      </w:r>
      <w:r>
        <w:rPr>
          <w:rFonts w:hint="eastAsia"/>
          <w:sz w:val="28"/>
          <w:szCs w:val="28"/>
        </w:rPr>
        <w:t xml:space="preserve">增长18.76%</w:t>
      </w:r>
      <w:r>
        <w:rPr>
          <w:rFonts w:hint="eastAsia"/>
          <w:b w:val="0"/>
          <w:bCs w:val="0"/>
          <w:sz w:val="28"/>
          <w:szCs w:val="28"/>
        </w:rPr>
        <w:t xml:space="preserve">，主要原因是</w:t>
      </w:r>
      <w:r>
        <w:rPr>
          <w:rFonts w:hint="eastAsia"/>
          <w:highlight w:val="none"/>
          <w:lang w:val="en-US" w:eastAsia="zh-CN"/>
        </w:rPr>
        <w:t xml:space="preserve">在职基础性绩效奖提高标准及上级转移支付结转经费增加</w:t>
      </w:r>
      <w:r>
        <w:rPr>
          <w:rFonts w:hint="eastAsia"/>
          <w:b w:val="0"/>
          <w:bCs w:val="0"/>
          <w:sz w:val="28"/>
          <w:szCs w:val="28"/>
        </w:rPr>
        <w:t xml:space="preserve">。总支出较2023年度预算数</w:t>
      </w:r>
      <w:r>
        <w:rPr>
          <w:rFonts w:hint="eastAsia"/>
          <w:sz w:val="28"/>
          <w:szCs w:val="28"/>
          <w:lang w:val="en-US" w:eastAsia="zh-CN"/>
        </w:rPr>
        <w:t xml:space="preserve">890.86</w:t>
      </w:r>
      <w:r>
        <w:rPr>
          <w:rFonts w:hint="eastAsia"/>
          <w:b w:val="0"/>
          <w:bCs w:val="0"/>
          <w:sz w:val="28"/>
          <w:szCs w:val="28"/>
        </w:rPr>
        <w:t xml:space="preserve">万元，</w:t>
      </w:r>
      <w:r>
        <w:rPr>
          <w:rFonts w:hint="eastAsia"/>
          <w:sz w:val="28"/>
          <w:szCs w:val="28"/>
        </w:rPr>
        <w:t xml:space="preserve">增加167.10</w:t>
      </w:r>
      <w:r>
        <w:rPr>
          <w:rFonts w:hint="eastAsia"/>
          <w:b w:val="0"/>
          <w:bCs w:val="0"/>
          <w:sz w:val="28"/>
          <w:szCs w:val="28"/>
        </w:rPr>
        <w:t xml:space="preserve">万元，</w:t>
      </w:r>
      <w:r>
        <w:rPr>
          <w:rFonts w:hint="eastAsia"/>
          <w:sz w:val="28"/>
          <w:szCs w:val="28"/>
        </w:rPr>
        <w:t xml:space="preserve">增长18.76%</w:t>
      </w:r>
      <w:r>
        <w:rPr>
          <w:rFonts w:hint="eastAsia"/>
          <w:b w:val="0"/>
          <w:bCs w:val="0"/>
          <w:sz w:val="28"/>
          <w:szCs w:val="28"/>
        </w:rPr>
        <w:t xml:space="preserve">，主要原因是</w:t>
      </w:r>
      <w:r>
        <w:rPr>
          <w:rFonts w:hint="eastAsia"/>
          <w:highlight w:val="none"/>
          <w:lang w:val="en-US" w:eastAsia="zh-CN"/>
        </w:rPr>
        <w:t xml:space="preserve">在职基础性绩效奖提高标准及上级转移支付结转经费增加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1057.96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890.86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增加167.10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增长18.76%</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在职基础性绩效奖提高标准及上级转移支付结转经费增加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1057.96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890.86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增加167.10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增长18.76%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在职基础性绩效奖提高标准及上级转移支付结转经费增加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础性绩效奖、上级转移支付业务装备经费、上级转移支付办案业务经费、上级转移支付社区矫正经费、上级转移支付共建试点经费、上级转移支付法律援助经费、上级转移支付资金地方协同国家安全事项、上级转移支付资金政法部门绩效考核等项目</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公共安全支出</w:t>
      </w:r>
      <w:r>
        <w:rPr>
          <w:rFonts w:hint="eastAsia"/>
          <w:lang w:val="en-US" w:eastAsia="zh-CN"/>
        </w:rPr>
        <w:t xml:space="preserve">913.81</w:t>
      </w:r>
      <w:r>
        <w:rPr>
          <w:rFonts w:hint="eastAsia"/>
        </w:rPr>
        <w:t xml:space="preserve">万元，占支出总预算</w:t>
      </w:r>
      <w:r>
        <w:rPr>
          <w:rFonts w:hint="eastAsia"/>
          <w:lang w:val="en-US" w:eastAsia="zh-CN"/>
        </w:rPr>
        <w:t xml:space="preserve">86.37%</w:t>
      </w:r>
      <w:r>
        <w:rPr>
          <w:rFonts w:hint="eastAsia"/>
        </w:rPr>
        <w:t xml:space="preserve">,比上年</w:t>
      </w:r>
      <w:r>
        <w:rPr>
          <w:rFonts w:hint="eastAsia"/>
          <w:lang w:val="en-US" w:eastAsia="zh-CN"/>
        </w:rPr>
        <w:t xml:space="preserve">增长170.07</w:t>
      </w:r>
      <w:r>
        <w:rPr>
          <w:rFonts w:hint="eastAsia"/>
        </w:rPr>
        <w:t xml:space="preserve">万元，</w:t>
      </w:r>
      <w:r>
        <w:rPr>
          <w:rFonts w:hint="eastAsia"/>
          <w:lang w:val="en-US" w:eastAsia="zh-CN"/>
        </w:rPr>
        <w:t xml:space="preserve">增长22.87%</w:t>
      </w:r>
      <w:r>
        <w:rPr>
          <w:rFonts w:hint="eastAsia"/>
        </w:rPr>
        <w:t xml:space="preserve">,</w:t>
      </w:r>
      <w:r>
        <w:rPr>
          <w:rFonts w:hint="eastAsia"/>
          <w:highlight w:val="none"/>
        </w:rPr>
        <w:t xml:space="preserve">主要原因是：</w:t>
      </w:r>
      <w:r>
        <w:rPr>
          <w:rFonts w:hint="eastAsia"/>
          <w:highlight w:val="none"/>
          <w:lang w:val="en-US" w:eastAsia="zh-CN"/>
        </w:rPr>
        <w:t xml:space="preserve">在职基础性绩效奖提高标准及上级转移支付结转经费增加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62.90</w:t>
      </w:r>
      <w:r>
        <w:rPr>
          <w:rFonts w:hint="eastAsia"/>
        </w:rPr>
        <w:t xml:space="preserve">万元，占支出总预算</w:t>
      </w:r>
      <w:r>
        <w:rPr>
          <w:rFonts w:hint="eastAsia"/>
          <w:lang w:val="en-US" w:eastAsia="zh-CN"/>
        </w:rPr>
        <w:t xml:space="preserve">5.95%</w:t>
      </w:r>
      <w:r>
        <w:rPr>
          <w:rFonts w:hint="eastAsia"/>
        </w:rPr>
        <w:t xml:space="preserve">,比上年</w:t>
      </w:r>
      <w:r>
        <w:rPr>
          <w:rFonts w:hint="eastAsia"/>
          <w:lang w:val="en-US" w:eastAsia="zh-CN"/>
        </w:rPr>
        <w:t xml:space="preserve">增长4.05</w:t>
      </w:r>
      <w:r>
        <w:rPr>
          <w:rFonts w:hint="eastAsia"/>
        </w:rPr>
        <w:t xml:space="preserve">万元，</w:t>
      </w:r>
      <w:r>
        <w:rPr>
          <w:rFonts w:hint="eastAsia"/>
          <w:lang w:val="en-US" w:eastAsia="zh-CN"/>
        </w:rPr>
        <w:t xml:space="preserve">增长6.88%</w:t>
      </w:r>
      <w:r>
        <w:rPr>
          <w:rFonts w:hint="eastAsia"/>
        </w:rPr>
        <w:t xml:space="preserve">,</w:t>
      </w:r>
      <w:r>
        <w:rPr>
          <w:rFonts w:hint="eastAsia"/>
          <w:highlight w:val="none"/>
        </w:rPr>
        <w:t xml:space="preserve">主要原因是：</w:t>
      </w:r>
      <w:r>
        <w:rPr>
          <w:rFonts w:hint="eastAsia"/>
          <w:highlight w:val="none"/>
          <w:lang w:val="en-US" w:eastAsia="zh-CN"/>
        </w:rPr>
        <w:t xml:space="preserve">公积金基数有所提高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6.81</w:t>
      </w:r>
      <w:r>
        <w:rPr>
          <w:rFonts w:hint="eastAsia"/>
        </w:rPr>
        <w:t xml:space="preserve">万元，占支出总预算</w:t>
      </w:r>
      <w:r>
        <w:rPr>
          <w:rFonts w:hint="eastAsia"/>
          <w:lang w:val="en-US" w:eastAsia="zh-CN"/>
        </w:rPr>
        <w:t xml:space="preserve">0.64%</w:t>
      </w:r>
      <w:r>
        <w:rPr>
          <w:rFonts w:hint="eastAsia"/>
        </w:rPr>
        <w:t xml:space="preserve">,比上年</w:t>
      </w:r>
      <w:r>
        <w:rPr>
          <w:rFonts w:hint="eastAsia"/>
          <w:lang w:val="en-US" w:eastAsia="zh-CN"/>
        </w:rPr>
        <w:t xml:space="preserve">减少3.00</w:t>
      </w:r>
      <w:r>
        <w:rPr>
          <w:rFonts w:hint="eastAsia"/>
        </w:rPr>
        <w:t xml:space="preserve">万元，</w:t>
      </w:r>
      <w:r>
        <w:rPr>
          <w:rFonts w:hint="eastAsia"/>
          <w:lang w:val="en-US" w:eastAsia="zh-CN"/>
        </w:rPr>
        <w:t xml:space="preserve">减少30.58%</w:t>
      </w:r>
      <w:r>
        <w:rPr>
          <w:rFonts w:hint="eastAsia"/>
        </w:rPr>
        <w:t xml:space="preserve">,</w:t>
      </w:r>
      <w:r>
        <w:rPr>
          <w:rFonts w:hint="eastAsia"/>
          <w:highlight w:val="none"/>
        </w:rPr>
        <w:t xml:space="preserve">主要原因是：</w:t>
      </w:r>
      <w:r>
        <w:rPr>
          <w:rFonts w:hint="eastAsia"/>
          <w:highlight w:val="none"/>
          <w:lang w:val="en-US" w:eastAsia="zh-CN"/>
        </w:rPr>
        <w:t xml:space="preserve">工会经费基数降低</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74.45</w:t>
      </w:r>
      <w:r>
        <w:rPr>
          <w:rFonts w:hint="eastAsia"/>
        </w:rPr>
        <w:t xml:space="preserve">万元，占支出总预算</w:t>
      </w:r>
      <w:r>
        <w:rPr>
          <w:rFonts w:hint="eastAsia"/>
          <w:lang w:val="en-US" w:eastAsia="zh-CN"/>
        </w:rPr>
        <w:t xml:space="preserve">7.04%</w:t>
      </w:r>
      <w:r>
        <w:rPr>
          <w:rFonts w:hint="eastAsia"/>
        </w:rPr>
        <w:t xml:space="preserve">,比上年</w:t>
      </w:r>
      <w:r>
        <w:rPr>
          <w:rFonts w:hint="eastAsia"/>
          <w:lang w:val="en-US" w:eastAsia="zh-CN"/>
        </w:rPr>
        <w:t xml:space="preserve">减少4.01</w:t>
      </w:r>
      <w:r>
        <w:rPr>
          <w:rFonts w:hint="eastAsia"/>
        </w:rPr>
        <w:t xml:space="preserve">万元，</w:t>
      </w:r>
      <w:r>
        <w:rPr>
          <w:rFonts w:hint="eastAsia"/>
          <w:lang w:val="en-US" w:eastAsia="zh-CN"/>
        </w:rPr>
        <w:t xml:space="preserve">减少5.11%</w:t>
      </w:r>
      <w:r>
        <w:rPr>
          <w:rFonts w:hint="eastAsia"/>
        </w:rPr>
        <w:t xml:space="preserve">,</w:t>
      </w:r>
      <w:r>
        <w:rPr>
          <w:rFonts w:hint="eastAsia"/>
          <w:highlight w:val="none"/>
        </w:rPr>
        <w:t xml:space="preserve">主要原因是：</w:t>
      </w:r>
      <w:r>
        <w:rPr>
          <w:rFonts w:hint="eastAsia"/>
          <w:highlight w:val="none"/>
          <w:lang w:val="en-US" w:eastAsia="zh-CN"/>
        </w:rPr>
        <w:t xml:space="preserve">做2024年预算时在编在职人员比2023年预算时少2人</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754.92</w:t>
      </w:r>
      <w:r>
        <w:rPr>
          <w:rFonts w:hint="eastAsia"/>
        </w:rPr>
        <w:t xml:space="preserve">万元，占支出预算</w:t>
      </w:r>
      <w:r>
        <w:rPr>
          <w:u w:color="auto"/>
        </w:rPr>
        <w:t xml:space="preserve">71.36%</w:t>
      </w:r>
      <w:r>
        <w:rPr>
          <w:u w:color="auto"/>
        </w:rPr>
        <w:t xml:space="preserve">,比上年</w:t>
      </w:r>
      <w:r>
        <w:rPr>
          <w:u w:color="auto"/>
        </w:rPr>
        <w:t xml:space="preserve">增长56.14</w:t>
      </w:r>
      <w:r>
        <w:rPr>
          <w:u w:color="auto"/>
        </w:rPr>
        <w:t xml:space="preserve">万元，</w:t>
      </w:r>
      <w:r>
        <w:rPr>
          <w:u w:color="auto"/>
        </w:rPr>
        <w:t xml:space="preserve">增长8.03%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76.96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10.19%</w:t>
      </w:r>
      <w:r>
        <w:rPr>
          <w:rFonts w:hint="eastAsia"/>
        </w:rPr>
        <w:t xml:space="preserve">,</w:t>
      </w:r>
      <w:r>
        <w:t xml:space="preserve">比上年</w:t>
      </w:r>
      <w:r>
        <w:rPr>
          <w:rFonts w:hint="eastAsia"/>
        </w:rPr>
        <w:t xml:space="preserve">减少4.54</w:t>
      </w:r>
      <w:r>
        <w:t xml:space="preserve">万元，</w:t>
      </w:r>
      <w:r>
        <w:rPr>
          <w:rFonts w:hint="eastAsia"/>
        </w:rPr>
        <w:t xml:space="preserve">减少5.57%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做2024年预算时在编在职人员比2023年预算时少2人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42.58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5.64%</w:t>
      </w:r>
      <w:r>
        <w:rPr>
          <w:rFonts w:hint="eastAsia"/>
        </w:rPr>
        <w:t xml:space="preserve">,</w:t>
      </w:r>
      <w:r>
        <w:t xml:space="preserve">比上年</w:t>
      </w:r>
      <w:r>
        <w:rPr>
          <w:rFonts w:hint="eastAsia"/>
        </w:rPr>
        <w:t xml:space="preserve">增长15.17</w:t>
      </w:r>
      <w:r>
        <w:t xml:space="preserve">万元，</w:t>
      </w:r>
      <w:r>
        <w:rPr>
          <w:rFonts w:hint="eastAsia"/>
        </w:rPr>
        <w:t xml:space="preserve">增长55.34%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退休人员生活补助标准提高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635.38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84.17%</w:t>
      </w:r>
      <w:r>
        <w:rPr>
          <w:rFonts w:hint="eastAsia"/>
        </w:rPr>
        <w:t xml:space="preserve">,</w:t>
      </w:r>
      <w:r>
        <w:t xml:space="preserve">比上年</w:t>
      </w:r>
      <w:r>
        <w:rPr>
          <w:rFonts w:hint="eastAsia"/>
        </w:rPr>
        <w:t xml:space="preserve">增长45.51</w:t>
      </w:r>
      <w:r>
        <w:t xml:space="preserve">万元，</w:t>
      </w:r>
      <w:r>
        <w:rPr>
          <w:rFonts w:hint="eastAsia"/>
        </w:rPr>
        <w:t xml:space="preserve">增长7.72%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在职人员基础性绩效奖标准提高</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303.05</w:t>
      </w:r>
      <w:r>
        <w:rPr>
          <w:rFonts w:hint="eastAsia"/>
        </w:rPr>
        <w:t xml:space="preserve">万元，占支出预算</w:t>
      </w:r>
      <w:r>
        <w:rPr>
          <w:u w:color="auto"/>
        </w:rPr>
        <w:t xml:space="preserve">28.64%</w:t>
      </w:r>
      <w:r>
        <w:rPr>
          <w:rFonts w:hint="eastAsia"/>
        </w:rPr>
        <w:t xml:space="preserve">,比上年</w:t>
      </w:r>
      <w:r>
        <w:rPr>
          <w:u w:color="auto"/>
        </w:rPr>
        <w:t xml:space="preserve">增长110.98</w:t>
      </w:r>
      <w:r>
        <w:rPr>
          <w:rFonts w:hint="eastAsia"/>
        </w:rPr>
        <w:t xml:space="preserve">万元，</w:t>
      </w:r>
      <w:r>
        <w:rPr>
          <w:u w:color="auto"/>
        </w:rPr>
        <w:t xml:space="preserve">增长57.78%</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195.82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64.62%</w:t>
      </w:r>
      <w:r>
        <w:t xml:space="preserve">,比上年</w:t>
      </w:r>
      <w:r>
        <w:rPr>
          <w:rFonts w:hint="eastAsia"/>
        </w:rPr>
        <w:t xml:space="preserve">增长99.23</w:t>
      </w:r>
      <w:r>
        <w:t xml:space="preserve">万元，</w:t>
      </w:r>
      <w:r>
        <w:rPr>
          <w:rFonts w:hint="eastAsia"/>
        </w:rPr>
        <w:t xml:space="preserve">增长102.73%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上级转移支付结转经费增加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94.10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31.05%</w:t>
      </w:r>
      <w:r>
        <w:t xml:space="preserve">,比上年</w:t>
      </w:r>
      <w:r>
        <w:rPr>
          <w:rFonts w:hint="eastAsia"/>
        </w:rPr>
        <w:t xml:space="preserve">增长2.71</w:t>
      </w:r>
      <w:r>
        <w:t xml:space="preserve">万元，</w:t>
      </w:r>
      <w:r>
        <w:rPr>
          <w:rFonts w:hint="eastAsia"/>
        </w:rPr>
        <w:t xml:space="preserve">增长2.97%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上级转移支付结转经费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13.12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4.33%</w:t>
      </w:r>
      <w:r>
        <w:t xml:space="preserve">,比上年</w:t>
      </w:r>
      <w:r>
        <w:rPr>
          <w:rFonts w:hint="eastAsia"/>
        </w:rPr>
        <w:t xml:space="preserve">增长12.23</w:t>
      </w:r>
      <w:r>
        <w:t xml:space="preserve">万元，</w:t>
      </w:r>
      <w:r>
        <w:rPr>
          <w:rFonts w:hint="eastAsia"/>
        </w:rPr>
        <w:t xml:space="preserve">增长1374.16%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主要为支付历年未缴的残保金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减少3.20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2024年无此项支出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8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1057.96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1057.96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890.86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增加167.10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增长18.76%</w:t>
      </w:r>
      <w:r>
        <w:rPr>
          <w:rFonts w:ascii="宋体" w:eastAsia="宋体" w:hAnsi="宋体" w:cs="宋体" w:hint="eastAsia"/>
          <w:sz w:val="28"/>
          <w:szCs w:val="28"/>
        </w:rPr>
        <w:t xml:space="preserve">，主要原因是</w:t>
      </w:r>
      <w:r>
        <w:rPr>
          <w:rFonts w:hint="eastAsia"/>
          <w:highlight w:val="none"/>
          <w:lang w:val="en-US" w:eastAsia="zh-CN"/>
        </w:rPr>
        <w:t xml:space="preserve">在职基础性绩效奖提高标准及上级转移支付结转经费增加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890.86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增加167.10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增长18.76%</w:t>
      </w:r>
      <w:r>
        <w:rPr>
          <w:rFonts w:ascii="宋体" w:eastAsia="宋体" w:hAnsi="宋体" w:cs="宋体" w:hint="eastAsia"/>
          <w:sz w:val="28"/>
          <w:szCs w:val="28"/>
        </w:rPr>
        <w:t xml:space="preserve">，主要原因是</w:t>
      </w:r>
      <w:r>
        <w:rPr>
          <w:rFonts w:hint="eastAsia"/>
          <w:highlight w:val="none"/>
          <w:lang w:val="en-US" w:eastAsia="zh-CN"/>
        </w:rPr>
        <w:t xml:space="preserve">在职基础性绩效奖提高标准及上级转移支付结转经费增加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1057.96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890.86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增加167.10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增长18.76%</w:t>
      </w:r>
      <w:r>
        <w:rPr>
          <w:rFonts w:ascii="宋体" w:eastAsia="宋体" w:hAnsi="宋体" w:cs="宋体" w:hint="eastAsia"/>
          <w:sz w:val="28"/>
          <w:szCs w:val="28"/>
        </w:rPr>
        <w:t xml:space="preserve">，主要原因是</w:t>
      </w:r>
      <w:r>
        <w:rPr>
          <w:rFonts w:hint="eastAsia"/>
          <w:highlight w:val="none"/>
          <w:lang w:val="en-US" w:eastAsia="zh-CN"/>
        </w:rPr>
        <w:t xml:space="preserve">在职基础性绩效奖提高标准及上级转移支付结转经费增加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320.00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9.81</w:t>
      </w:r>
      <w:r>
        <w:rPr>
          <w:rFonts w:ascii="宋体" w:eastAsia="宋体" w:hAnsi="宋体" w:cs="宋体" w:hint="eastAsia"/>
          <w:sz w:val="28"/>
          <w:szCs w:val="28"/>
        </w:rPr>
        <w:t xml:space="preserve">万元，</w:t>
      </w:r>
      <w:r>
        <w:rPr>
          <w:rFonts w:ascii="宋体" w:eastAsia="宋体" w:hAnsi="宋体" w:cs="宋体"/>
          <w:sz w:val="28"/>
          <w:u w:color="auto"/>
        </w:rPr>
        <w:t xml:space="preserve">减少3.00</w:t>
      </w:r>
      <w:r>
        <w:rPr>
          <w:rFonts w:ascii="宋体" w:eastAsia="宋体" w:hAnsi="宋体" w:cs="宋体" w:hint="eastAsia"/>
          <w:sz w:val="28"/>
          <w:szCs w:val="28"/>
        </w:rPr>
        <w:t xml:space="preserve">万元，</w:t>
      </w:r>
      <w:r>
        <w:rPr>
          <w:rFonts w:ascii="宋体" w:eastAsia="宋体" w:hAnsi="宋体" w:cs="宋体"/>
          <w:sz w:val="28"/>
          <w:u w:color="auto"/>
        </w:rPr>
        <w:t xml:space="preserve">减少30.58%</w:t>
      </w:r>
      <w:r>
        <w:rPr>
          <w:rFonts w:ascii="宋体" w:eastAsia="宋体" w:hAnsi="宋体" w:cs="宋体" w:hint="eastAsia"/>
          <w:sz w:val="28"/>
          <w:szCs w:val="28"/>
        </w:rPr>
        <w:t xml:space="preserve">，主要原因是：</w:t>
      </w:r>
      <w:r>
        <w:rPr>
          <w:rFonts w:hint="eastAsia"/>
          <w:highlight w:val="none"/>
        </w:rPr>
        <w:t xml:space="preserve">工会经费基数减少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62.90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58.85</w:t>
      </w:r>
      <w:r>
        <w:rPr>
          <w:rFonts w:ascii="宋体" w:eastAsia="宋体" w:hAnsi="宋体" w:cs="宋体" w:hint="eastAsia"/>
          <w:sz w:val="28"/>
          <w:szCs w:val="28"/>
        </w:rPr>
        <w:t xml:space="preserve">万元，</w:t>
      </w:r>
      <w:r>
        <w:rPr>
          <w:rFonts w:ascii="宋体" w:eastAsia="宋体" w:hAnsi="宋体" w:cs="宋体"/>
          <w:sz w:val="28"/>
          <w:u w:color="auto"/>
        </w:rPr>
        <w:t xml:space="preserve">增长4.05</w:t>
      </w:r>
      <w:r>
        <w:rPr>
          <w:rFonts w:ascii="宋体" w:eastAsia="宋体" w:hAnsi="宋体" w:cs="宋体" w:hint="eastAsia"/>
          <w:sz w:val="28"/>
          <w:szCs w:val="28"/>
        </w:rPr>
        <w:t xml:space="preserve">万元，</w:t>
      </w:r>
      <w:r>
        <w:rPr>
          <w:rFonts w:ascii="宋体" w:eastAsia="宋体" w:hAnsi="宋体" w:cs="宋体"/>
          <w:sz w:val="28"/>
          <w:u w:color="auto"/>
        </w:rPr>
        <w:t xml:space="preserve">增长6.88%</w:t>
      </w:r>
      <w:r>
        <w:rPr>
          <w:rFonts w:ascii="宋体" w:eastAsia="宋体" w:hAnsi="宋体" w:cs="宋体" w:hint="eastAsia"/>
          <w:sz w:val="28"/>
          <w:szCs w:val="28"/>
        </w:rPr>
        <w:t xml:space="preserve">，主要原因是：</w:t>
      </w:r>
      <w:r>
        <w:rPr>
          <w:rFonts w:hint="eastAsia"/>
          <w:highlight w:val="none"/>
        </w:rPr>
        <w:t xml:space="preserve">公积金基数提高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公共安全支出</w:t>
      </w:r>
      <w:r>
        <w:rPr>
          <w:rFonts w:ascii="宋体" w:eastAsia="宋体" w:hAnsi="宋体" w:cs="宋体" w:hint="eastAsia"/>
          <w:sz w:val="28"/>
          <w:szCs w:val="28"/>
        </w:rPr>
        <w:t xml:space="preserve">（类）支出</w:t>
      </w:r>
      <w:r>
        <w:rPr>
          <w:rFonts w:ascii="宋体" w:eastAsia="宋体" w:hAnsi="宋体" w:cs="宋体"/>
          <w:sz w:val="28"/>
          <w:u w:color="auto"/>
        </w:rPr>
        <w:t xml:space="preserve">913.81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743.74</w:t>
      </w:r>
      <w:r>
        <w:rPr>
          <w:rFonts w:ascii="宋体" w:eastAsia="宋体" w:hAnsi="宋体" w:cs="宋体" w:hint="eastAsia"/>
          <w:sz w:val="28"/>
          <w:szCs w:val="28"/>
        </w:rPr>
        <w:t xml:space="preserve">万元，</w:t>
      </w:r>
      <w:r>
        <w:rPr>
          <w:rFonts w:ascii="宋体" w:eastAsia="宋体" w:hAnsi="宋体" w:cs="宋体"/>
          <w:sz w:val="28"/>
          <w:u w:color="auto"/>
        </w:rPr>
        <w:t xml:space="preserve">增长170.07</w:t>
      </w:r>
      <w:r>
        <w:rPr>
          <w:rFonts w:ascii="宋体" w:eastAsia="宋体" w:hAnsi="宋体" w:cs="宋体" w:hint="eastAsia"/>
          <w:sz w:val="28"/>
          <w:szCs w:val="28"/>
        </w:rPr>
        <w:t xml:space="preserve">万元，</w:t>
      </w:r>
      <w:r>
        <w:rPr>
          <w:rFonts w:ascii="宋体" w:eastAsia="宋体" w:hAnsi="宋体" w:cs="宋体"/>
          <w:sz w:val="28"/>
          <w:u w:color="auto"/>
        </w:rPr>
        <w:t xml:space="preserve">增长22.87%</w:t>
      </w:r>
      <w:r>
        <w:rPr>
          <w:rFonts w:ascii="宋体" w:eastAsia="宋体" w:hAnsi="宋体" w:cs="宋体" w:hint="eastAsia"/>
          <w:sz w:val="28"/>
          <w:szCs w:val="28"/>
        </w:rPr>
        <w:t xml:space="preserve">，主要原因是：</w:t>
      </w:r>
      <w:r>
        <w:rPr>
          <w:rFonts w:hint="eastAsia"/>
          <w:highlight w:val="none"/>
        </w:rPr>
        <w:t xml:space="preserve">在职基础性绩效奖提高标准及上级转移支付结转经费增加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74.45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78.46</w:t>
      </w:r>
      <w:r>
        <w:rPr>
          <w:rFonts w:ascii="宋体" w:eastAsia="宋体" w:hAnsi="宋体" w:cs="宋体" w:hint="eastAsia"/>
          <w:sz w:val="28"/>
          <w:szCs w:val="28"/>
        </w:rPr>
        <w:t xml:space="preserve">万元，</w:t>
      </w:r>
      <w:r>
        <w:rPr>
          <w:rFonts w:ascii="宋体" w:eastAsia="宋体" w:hAnsi="宋体" w:cs="宋体"/>
          <w:sz w:val="28"/>
          <w:u w:color="auto"/>
        </w:rPr>
        <w:t xml:space="preserve">减少4.01</w:t>
      </w:r>
      <w:r>
        <w:rPr>
          <w:rFonts w:ascii="宋体" w:eastAsia="宋体" w:hAnsi="宋体" w:cs="宋体" w:hint="eastAsia"/>
          <w:sz w:val="28"/>
          <w:szCs w:val="28"/>
        </w:rPr>
        <w:t xml:space="preserve">万元，</w:t>
      </w:r>
      <w:r>
        <w:rPr>
          <w:rFonts w:ascii="宋体" w:eastAsia="宋体" w:hAnsi="宋体" w:cs="宋体"/>
          <w:sz w:val="28"/>
          <w:u w:color="auto"/>
        </w:rPr>
        <w:t xml:space="preserve">减少5.11%</w:t>
      </w:r>
      <w:r>
        <w:rPr>
          <w:rFonts w:ascii="宋体" w:eastAsia="宋体" w:hAnsi="宋体" w:cs="宋体" w:hint="eastAsia"/>
          <w:sz w:val="28"/>
          <w:szCs w:val="28"/>
        </w:rPr>
        <w:t xml:space="preserve">，主要原因是：</w:t>
      </w:r>
      <w:r>
        <w:rPr>
          <w:rFonts w:hint="eastAsia"/>
          <w:highlight w:val="none"/>
        </w:rPr>
        <w:t xml:space="preserve">做2024年预算时在编在职人员比2023年预算时少2人</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754.92</w:t>
      </w:r>
      <w:r>
        <w:rPr>
          <w:rFonts w:hint="eastAsia"/>
        </w:rPr>
        <w:t xml:space="preserve">万元，较2023年度预算数</w:t>
      </w:r>
      <w:r>
        <w:rPr>
          <w:rFonts w:hint="eastAsia"/>
          <w:lang w:val="en-US" w:eastAsia="zh-CN"/>
        </w:rPr>
        <w:t xml:space="preserve">698.78</w:t>
      </w:r>
      <w:r>
        <w:rPr>
          <w:rFonts w:hint="eastAsia"/>
        </w:rPr>
        <w:t xml:space="preserve">万元</w:t>
      </w:r>
      <w:r>
        <w:rPr>
          <w:rFonts w:hint="eastAsia"/>
          <w:lang w:val="en-US" w:eastAsia="zh-CN"/>
        </w:rPr>
        <w:t xml:space="preserve">,</w:t>
      </w:r>
      <w:r>
        <w:rPr>
          <w:u w:color="auto"/>
        </w:rPr>
        <w:t xml:space="preserve">增加56.14</w:t>
      </w:r>
      <w:r>
        <w:rPr>
          <w:rFonts w:hint="eastAsia"/>
        </w:rPr>
        <w:t xml:space="preserve">万元，</w:t>
      </w:r>
      <w:r>
        <w:rPr>
          <w:rFonts w:hint="eastAsia"/>
          <w:lang w:val="en-US" w:eastAsia="zh-CN"/>
        </w:rPr>
        <w:t xml:space="preserve">增长8.03%</w:t>
      </w:r>
      <w:r>
        <w:rPr>
          <w:rFonts w:hint="eastAsia"/>
        </w:rPr>
        <w:t xml:space="preserve">，主要原因是</w:t>
      </w:r>
      <w:r>
        <w:rPr>
          <w:rFonts w:hint="eastAsia"/>
          <w:highlight w:val="none"/>
          <w:lang w:val="en-US" w:eastAsia="zh-CN"/>
        </w:rPr>
        <w:t xml:space="preserve">在职基础性绩效奖标准提高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76.96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10.19%</w:t>
      </w:r>
      <w:r>
        <w:rPr>
          <w:rFonts w:hint="eastAsia"/>
        </w:rPr>
        <w:t xml:space="preserve">，较2023年度预算数</w:t>
      </w:r>
      <w:r>
        <w:rPr>
          <w:rFonts w:hint="eastAsia"/>
          <w:lang w:val="en-US" w:eastAsia="zh-CN"/>
        </w:rPr>
        <w:t xml:space="preserve">81.50</w:t>
      </w:r>
      <w:r>
        <w:rPr>
          <w:rFonts w:hint="eastAsia"/>
        </w:rPr>
        <w:t xml:space="preserve">万元，</w:t>
      </w:r>
      <w:r>
        <w:rPr>
          <w:rFonts w:hint="eastAsia"/>
          <w:lang w:val="en-US" w:eastAsia="zh-CN"/>
        </w:rPr>
        <w:t xml:space="preserve">减少4.54</w:t>
      </w:r>
      <w:r>
        <w:rPr>
          <w:rFonts w:hint="eastAsia"/>
        </w:rPr>
        <w:t xml:space="preserve">万元，</w:t>
      </w:r>
      <w:r>
        <w:rPr>
          <w:rFonts w:hint="eastAsia"/>
          <w:lang w:val="en-US" w:eastAsia="zh-CN"/>
        </w:rPr>
        <w:t xml:space="preserve">减少5.57%</w:t>
      </w:r>
      <w:r>
        <w:rPr>
          <w:rFonts w:hint="eastAsia"/>
        </w:rPr>
        <w:t xml:space="preserve">，主要原因是：</w:t>
      </w:r>
      <w:r>
        <w:rPr>
          <w:rFonts w:hint="eastAsia"/>
          <w:highlight w:val="none"/>
        </w:rPr>
        <w:t xml:space="preserve">做2024年预算时在编在职人员比2023年预算时少2人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42.58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5.64%</w:t>
      </w:r>
      <w:r>
        <w:rPr>
          <w:rFonts w:hint="eastAsia"/>
        </w:rPr>
        <w:t xml:space="preserve">，较2023年度预算数</w:t>
      </w:r>
      <w:r>
        <w:rPr>
          <w:rFonts w:hint="eastAsia"/>
          <w:lang w:val="en-US" w:eastAsia="zh-CN"/>
        </w:rPr>
        <w:t xml:space="preserve">27.41</w:t>
      </w:r>
      <w:r>
        <w:rPr>
          <w:rFonts w:hint="eastAsia"/>
        </w:rPr>
        <w:t xml:space="preserve">万元，</w:t>
      </w:r>
      <w:r>
        <w:rPr>
          <w:rFonts w:hint="eastAsia"/>
          <w:lang w:val="en-US" w:eastAsia="zh-CN"/>
        </w:rPr>
        <w:t xml:space="preserve">增长15.17</w:t>
      </w:r>
      <w:r>
        <w:rPr>
          <w:rFonts w:hint="eastAsia"/>
        </w:rPr>
        <w:t xml:space="preserve">万元，</w:t>
      </w:r>
      <w:r>
        <w:rPr>
          <w:rFonts w:hint="eastAsia"/>
          <w:lang w:val="en-US" w:eastAsia="zh-CN"/>
        </w:rPr>
        <w:t xml:space="preserve">增长55.34%</w:t>
      </w:r>
      <w:r>
        <w:rPr>
          <w:rFonts w:hint="eastAsia"/>
        </w:rPr>
        <w:t xml:space="preserve">，主要原因是：</w:t>
      </w:r>
      <w:r>
        <w:rPr>
          <w:rFonts w:hint="eastAsia"/>
          <w:highlight w:val="none"/>
        </w:rPr>
        <w:t xml:space="preserve">退休人员生活补助标准提高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635.38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84.17%</w:t>
      </w:r>
      <w:r>
        <w:rPr>
          <w:rFonts w:hint="eastAsia"/>
        </w:rPr>
        <w:t xml:space="preserve">，较2023年度预算数</w:t>
      </w:r>
      <w:r>
        <w:rPr>
          <w:rFonts w:hint="eastAsia"/>
          <w:lang w:val="en-US" w:eastAsia="zh-CN"/>
        </w:rPr>
        <w:t xml:space="preserve">589.87</w:t>
      </w:r>
      <w:r>
        <w:rPr>
          <w:rFonts w:hint="eastAsia"/>
        </w:rPr>
        <w:t xml:space="preserve">万元，</w:t>
      </w:r>
      <w:r>
        <w:rPr>
          <w:rFonts w:hint="eastAsia"/>
          <w:lang w:val="en-US" w:eastAsia="zh-CN"/>
        </w:rPr>
        <w:t xml:space="preserve">增长45.51</w:t>
      </w:r>
      <w:r>
        <w:rPr>
          <w:rFonts w:hint="eastAsia"/>
        </w:rPr>
        <w:t xml:space="preserve">万元，</w:t>
      </w:r>
      <w:r>
        <w:rPr>
          <w:rFonts w:hint="eastAsia"/>
          <w:lang w:val="en-US" w:eastAsia="zh-CN"/>
        </w:rPr>
        <w:t xml:space="preserve">增长7.72%</w:t>
      </w:r>
      <w:r>
        <w:rPr>
          <w:rFonts w:hint="eastAsia"/>
        </w:rPr>
        <w:t xml:space="preserve">，主要原因是：</w:t>
      </w:r>
      <w:r>
        <w:rPr>
          <w:rFonts w:hint="eastAsia"/>
          <w:highlight w:val="none"/>
        </w:rPr>
        <w:t xml:space="preserve">在职基础性绩效奖标准提高</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18.20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18.20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20.20</w:t>
      </w:r>
      <w:r>
        <w:rPr>
          <w:rFonts w:hint="eastAsia"/>
          <w:b w:val="0"/>
          <w:bCs w:val="0"/>
          <w:sz w:val="28"/>
          <w:szCs w:val="28"/>
        </w:rPr>
        <w:t xml:space="preserve">万元，同口径较2023年度预算数</w:t>
      </w:r>
      <w:r>
        <w:rPr>
          <w:rFonts w:hint="eastAsia"/>
          <w:b w:val="0"/>
          <w:bCs w:val="0"/>
          <w:sz w:val="28"/>
          <w:szCs w:val="28"/>
          <w:lang w:val="en-US" w:eastAsia="zh-CN"/>
        </w:rPr>
        <w:t xml:space="preserve">38.70</w:t>
      </w:r>
      <w:r>
        <w:rPr>
          <w:rFonts w:hint="eastAsia"/>
          <w:b w:val="0"/>
          <w:bCs w:val="0"/>
          <w:sz w:val="28"/>
          <w:szCs w:val="28"/>
        </w:rPr>
        <w:t xml:space="preserve">万元，</w:t>
      </w:r>
      <w:r>
        <w:rPr>
          <w:rFonts w:hint="eastAsia"/>
          <w:b w:val="0"/>
          <w:bCs w:val="0"/>
          <w:sz w:val="28"/>
          <w:szCs w:val="28"/>
          <w:lang w:val="en-US" w:eastAsia="zh-CN"/>
        </w:rPr>
        <w:t xml:space="preserve">减少18.50</w:t>
      </w:r>
      <w:r>
        <w:rPr>
          <w:rFonts w:hint="eastAsia"/>
          <w:b w:val="0"/>
          <w:bCs w:val="0"/>
          <w:sz w:val="28"/>
          <w:szCs w:val="28"/>
        </w:rPr>
        <w:t xml:space="preserve">万元，</w:t>
      </w:r>
      <w:r>
        <w:rPr>
          <w:rFonts w:hint="eastAsia"/>
          <w:b w:val="0"/>
          <w:bCs w:val="0"/>
          <w:sz w:val="28"/>
          <w:szCs w:val="28"/>
          <w:lang w:val="en-US" w:eastAsia="zh-CN"/>
        </w:rPr>
        <w:t xml:space="preserve">减少47.80%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无变化</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无变化</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18.20</w:t>
      </w:r>
      <w:r>
        <w:rPr>
          <w:rFonts w:hint="eastAsia"/>
          <w:b w:val="0"/>
          <w:bCs w:val="0"/>
          <w:sz w:val="28"/>
          <w:szCs w:val="28"/>
        </w:rPr>
        <w:t xml:space="preserve">万元，较2023年度预算数</w:t>
      </w:r>
      <w:r>
        <w:rPr>
          <w:sz w:val="28"/>
          <w:u w:color="auto"/>
        </w:rPr>
        <w:t xml:space="preserve">36.70</w:t>
      </w:r>
      <w:r>
        <w:rPr>
          <w:rFonts w:hint="eastAsia"/>
          <w:b w:val="0"/>
          <w:bCs w:val="0"/>
          <w:sz w:val="28"/>
          <w:szCs w:val="28"/>
        </w:rPr>
        <w:t xml:space="preserve">万元，</w:t>
      </w:r>
      <w:r>
        <w:rPr>
          <w:sz w:val="28"/>
          <w:u w:color="auto"/>
        </w:rPr>
        <w:t xml:space="preserve">减少18.50</w:t>
      </w:r>
      <w:r>
        <w:rPr>
          <w:rFonts w:hint="eastAsia"/>
          <w:b w:val="0"/>
          <w:bCs w:val="0"/>
          <w:sz w:val="28"/>
          <w:szCs w:val="28"/>
        </w:rPr>
        <w:t xml:space="preserve">万元，</w:t>
      </w:r>
      <w:r>
        <w:rPr>
          <w:sz w:val="28"/>
          <w:u w:color="auto"/>
        </w:rPr>
        <w:t xml:space="preserve">减少50.41%</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18.00</w:t>
      </w:r>
      <w:r>
        <w:rPr>
          <w:rFonts w:hint="eastAsia"/>
          <w:b w:val="0"/>
          <w:bCs w:val="0"/>
          <w:sz w:val="28"/>
          <w:szCs w:val="28"/>
        </w:rPr>
        <w:t xml:space="preserve">万元，</w:t>
      </w:r>
      <w:r>
        <w:rPr>
          <w:sz w:val="28"/>
          <w:u w:color="auto"/>
        </w:rPr>
        <w:t xml:space="preserve">减少18.00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highlight w:val="none"/>
          <w:lang w:val="en-US" w:eastAsia="zh-CN"/>
        </w:rPr>
        <w:t xml:space="preserve">已做公车购置的预算，按财政要求，公车购置统一在财政预留做，所以有所减少</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18.20</w:t>
      </w:r>
      <w:r>
        <w:rPr>
          <w:rFonts w:hint="eastAsia"/>
          <w:b w:val="0"/>
          <w:bCs w:val="0"/>
          <w:sz w:val="28"/>
          <w:szCs w:val="28"/>
        </w:rPr>
        <w:t xml:space="preserve">万元，较2023年度预算数</w:t>
      </w:r>
      <w:r>
        <w:rPr>
          <w:sz w:val="28"/>
          <w:u w:color="auto"/>
        </w:rPr>
        <w:t xml:space="preserve">18.70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减少2.67%</w:t>
      </w:r>
      <w:r>
        <w:rPr>
          <w:rFonts w:hint="eastAsia"/>
          <w:b w:val="0"/>
          <w:bCs w:val="0"/>
          <w:sz w:val="28"/>
          <w:szCs w:val="28"/>
        </w:rPr>
        <w:t xml:space="preserve">，主要原因是</w:t>
      </w:r>
      <w:r>
        <w:rPr>
          <w:rFonts w:hint="eastAsia"/>
          <w:highlight w:val="none"/>
          <w:lang w:val="en-US" w:eastAsia="zh-CN"/>
        </w:rPr>
        <w:t xml:space="preserve">按预算要求正确填报公车类型</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我单位无此类支出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我单位无此类支出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76.96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81.50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下降5.57%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做2024年预算时在编在职人员比2023年预算时少2人。机关运行经费主要指的是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27.49</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8.29</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19.2</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购买办公运转所需的电脑、打印机、文件柜、复印纸及车辆加油、保险，印刷等费用。</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7</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7</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303.05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名称：普法依法治理、法治宣传教育经费，预算资金92850元，2024年度绩效目标为：开展法治宣传教育工作，提高了群众对法律法规的知晓率和提高广大群众的法治意识和普及群众法治知识，维护社会稳定，为经济社会发展创造良好的法治环境。设1条数量指标：开展宪法、民法典以及时间节点法治宣传活动大于或等于25场；设1条质量指标：普法依法考试通过率大于或等于95%；设1条时效指标：开展宣传时间按照各普法时间节点开展；设1条成本指标：宣传成本在预算内支付；设一条社会效益指标：通过深入开展法治宣传教育，在社会上形成学法、知法、懂法、守法的氛围达到良好效果；设1条满意度指标：群众满意度大于或等于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环江毛南族自治县司法局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环江毛南族自治县司法局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1057.96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543.05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514.92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913.81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74.45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62.90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1057.96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1057.96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1057.96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1057.96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环江毛南族自治县司法局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1057.96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1057.96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1057.96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113001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1057.96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1057.96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1057.96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环江毛南族自治县司法局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1057.96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754.92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1057.96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754.92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626.47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610.76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基层司法业务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61.39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普法宣传</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公共法律服务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2040610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社区矫正</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其他司法支出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196.18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74.45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62.90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环江毛南族自治县司法局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1057.96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543.05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514.92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913.81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62.90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1057.96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1057.96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1057.96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1057.96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环江毛南族自治县司法局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113001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1057.96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754.92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677.96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76.96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303.05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626.47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610.76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540.61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70.15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15.71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基层司法业务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61.39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普法宣传</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9.29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公共法律服务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2040610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社区矫正</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其他司法支出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196.18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74.45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62.90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62.90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62.90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环江毛南族自治县司法局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754.92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677.96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635.38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635.38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152.39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76.96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被装购置费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33.54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环江毛南族自治县司法局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113001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18.20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18.20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环江毛南族自治县司法局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环江毛南族自治县司法局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环江毛南族自治县司法局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根据文件要求按时开展“三会一课”、主题党日活动等，组织党员学习领会贯彻落实党的二十大精神，提高党员政治责任意识，丰富党内生活。</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公证处经费开支</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10.21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围绕全县经济发展以及政府中心工作，依法规范开展公证法律服务，提高群众满意度。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人民调解员办案补贴经费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紧盯防范化解各类矛盾纠纷，扎实有效做好矛盾纠纷源头预防、排查预警、调解化解工作，切实维护社会稳定 。</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在职人员人身意外保险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在职人员人身意外保障，减轻在职人员因人身意外产生的经济负担。</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行政复议经费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年内完成行政复议各项工作。公平公正保障群众切身利益.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桂财政法[2021]41号《广西壮族自治区财政厅关于提前下达2022年中央和自治区政法纪检监察转移支付资金预算的通知》办案(业务)经费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社区矫正：维护社会和谐稳定，达到提高社会综合治理水平，人民调解：化解矛盾纠份，达到社会和谐稳定的目标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桂财政法[2021]41号《广西壮族自治区财政厅关于提前下达2022年中央和自治区政法纪检监察转移支付资金预算的通知》业务装备经费(A类重点补助)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做好智慧司法建设.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桂财政法[2021]41号《广西壮族自治区财政厅关于提前下达2022年中央和自治区政法纪检监察转移支付资金预算的通知》业务装备经费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通过资产配置,保证单位工作正常运转.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M项目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年底前完成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中央和自治区对市县办案(业务)经费(第一批)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46.24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社区矫正：维护社会和谐稳定，达到提高社会综合治理水平，人民调解：化解矛盾纠份，达到社会和谐稳定的目标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中央和自治区对市县业务装备经费(第一批)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配备办案业务所需要的装备，提高工作效率。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自治区对市县一村(社区)一法律顾问奖补经费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一村一法侓顾问工作覆盖全县140个村（社），法律顾问提供优质的法律服务，促进基层社会稳定。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上级转移支付社区矫正业务经费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开展全县社区矫正工作者和志愿者队伍对社区矫正对象的管理教育和劳动改造工作，维护社会和谐稳定，达到提高社会综合治理水平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上级转移支付一般办案（业务）经费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社区矫正：维护社会和谐稳定，达到提高社会综合治理水平，人民调解：化解矛盾纠份，达到社会和谐稳定的目标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上级转移支付共建试点经费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做好共建设点各项工作，做到规范化建设。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上级转移支付一般业务装备经费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配备办案业务所需要的装备，提高工作效率。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上级转移支付法律援助经费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依法受理、指派法律援助案件，做到应援尽援，提高群众满意度。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上级转移支付资金地方协同国家安全事项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调处化解和属地稳控工作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上级转移支付资金政法部门绩效考核</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完成上级绩效考核各项工作。有效发挥司法行政职能，维护经济社会和谐稳定发展。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法律援助配套业务补助经费支出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依法受理、指派法律援助案件，做到应援尽援，提高群众满意度。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普法依法治理、法治宣传教育经费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开展法治宣传教育工作，提高了群众对法律法规的知晓率和提高广大群众的法治意识和普及群众法治知识，维护社会稳定，为经济社会发展创造良好的法治环境。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一村一法律顾问经费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一村一法律顾问工作覆盖全县140个村（社），法律顾问提供优质的法律服务，促进基层社会稳定。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基层司法公用经费（社区矫正人民调解安置帮教等）</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严格规范执法，加强日常监管和督导。采用信息化管控手段核查社区矫正对象的活动轨迹和行踪，坚决杜绝发生脱管、漏管现象。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环江毛南族自治县司法局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公益性岗位工资经费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协助开展社区矫正、法制宣传、公共法律等司法行政工作各项工作。</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1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tvhoTB0onUAyboD1xlLRUw==" w:hash="pIrN++bYyKTxbE3/2i76M3gaWUTavobK1N+yTWMijrFGmGYxvFnHPfpXDTDhWGDWbob1DvUrLw3BKW2ho660G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1057.96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公共安全支出</c:v>
                </c:pt>
                <c:pt idx="2">
                  <c:v>社会保障和就业支出</c:v>
                </c:pt>
                <c:pt idx="3">
                  <c:v>住房保障支出</c:v>
                </c:pt>
              </c:strCache>
            </c:strRef>
          </c:cat>
          <c:val>
            <c:numRef>
              <c:f>Sheet1!$B$2:$B$5</c:f>
              <c:numCache>
                <c:ptCount val="4"/>
                <c:pt idx="0">
                  <c:v>6.81</c:v>
                </c:pt>
                <c:pt idx="1">
                  <c:v>370.76</c:v>
                </c:pt>
                <c:pt idx="2">
                  <c:v>74.45</c:v>
                </c:pt>
                <c:pt idx="3">
                  <c:v>62.9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834.92</c:v>
                </c:pt>
                <c:pt idx="1">
                  <c:v>834.92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754.92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80.0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76.96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677.96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1355.92</c:v>
                </c:pt>
                <c:pt idx="1">
                  <c:v>313.93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36.7</c:v>
                </c:pt>
                <c:pt idx="1">
                  <c:v>2.0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18.2</c:v>
                </c:pt>
                <c:pt idx="1">
                  <c:v>2.0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2024-02-29T00:44:10Z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