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bookmarkStart w:id="43" w:name="_GoBack"/>
      <w:bookmarkEnd w:id="43"/>
      <w:r>
        <w:rPr>
          <w:rFonts w:hint="eastAsia"/>
          <w:lang w:eastAsia="zh-CN"/>
        </w:rPr>
        <w:t>环江毛南族自治县投资促进局</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0"/>
      <w:bookmarkStart w:id="1" w:name="bookmark1"/>
      <w:bookmarkStart w:id="2" w:name="bookmark2"/>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环江毛南族自治县投资促进局单位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环江毛南族自治县投资促进局2024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环江毛南族自治县投资促进局2024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2"/>
      <w:bookmarkStart w:id="4" w:name="bookmark13"/>
      <w:bookmarkStart w:id="5" w:name="bookmark14"/>
    </w:p>
    <w:p>
      <w:pPr>
        <w:pStyle w:val="12"/>
        <w:keepNext/>
        <w:keepLines/>
        <w:spacing w:after="560"/>
        <w:jc w:val="center"/>
        <w:rPr>
          <w:b/>
          <w:bCs/>
        </w:rPr>
      </w:pPr>
      <w:r>
        <w:rPr>
          <w:b/>
          <w:bCs/>
        </w:rPr>
        <w:t>第一部分</w:t>
      </w:r>
      <w:r>
        <w:rPr>
          <w:rFonts w:hint="eastAsia"/>
          <w:b/>
          <w:bCs/>
          <w:lang w:eastAsia="zh-CN"/>
        </w:rPr>
        <w:t>：</w:t>
      </w:r>
      <w:r>
        <w:rPr>
          <w:b/>
          <w:u w:color="auto"/>
        </w:rPr>
        <w:t>环江毛南族自治县投资促进局</w:t>
      </w:r>
      <w:r>
        <w:rPr>
          <w:b/>
          <w:bCs/>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1.贯彻执行党和国家以及地方政府有关对外开放和利用外资的方针、政策、法规；研究制订本县对外招商引资的具体办法和措施及有关规范文件草案，报自治县人民政府批准后组织实施。</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2.参与起草我县招商引资的中长期规划和发展战略，分析我县招商引资状况，提出合理化建议。</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3.贯彻执行国家和地方政府有关外来投资政策，负责组织全县利用外来资金、技术引进，人才引进、补偿贸易等“三来一补”项目的考案、论证、洽谈、签约。</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4.组织以县名义参加全国性或跨省（区）、跨市跨县的招商引资活动和项目对外合作与交流活动。</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5.负责归口联系、办理和协调全县组团赴区内外举行招商引资活动的工作。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6.负责策划、组织实施全县组团参加区内外重大的投资洽谈活动。</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7.负责管理、协调、指导全县招商引资工作，组织、牵头和协调全县重大招商引资活动。</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8.负责全县招商引资项目的收集、论证、整理和编订，建立与区内外政府招商部门的联系，传递信息和代表自治县人民政府发布我县招商项目公告。</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9.负责整合社会及民间投资项目资源，建立和管理全县招商引资项目数据库，组织开展有关项目前期工作，协调县内有关部门和各个乡（镇）有关项目立项和项目储备工作。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10.负责对外来投资企业的接洽，情况介绍，做好开办审查，登记备案以及项目的协议，合同、章程的履约跟踪督查工作，为外来投资企业协助办理各种证照；负责对外来环江投资企业和外地驻环江办事机构的协调、管理和服务工作，协调解决他们在筹建和生产经营中遇到的困难和问题，落实好自治区、河池市、自治县各种配套优惠政策。</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11.负责全县范围内招商引资的统计、上报工作。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12.积极配合宣传部门，编制对外宣传材料，搞好招商引资的宣传工作。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13.按照县人民政府的安排，做好来访经济代表团、经济能人、项目洽谈及接待工作。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14.承办县委、县府和上级业务主管部门交办的其他工作。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15.按照干部管理权限，负责对本单位的干部进行管理、教育和培训，加强对本单位队伍的政治文明建设、精神文明建设和物质文明建设，提高干部队伍整体素质。</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本部门无下属单位，部门预算为县本级预算。环江毛南族自治县投资促进局是自治县人民政府直属正科级财政全额拨款、公益一类事业单位，加挂环江毛南族自治县招商引资项目代办服务中心牌子。内设机构：（一）办公室；（二）综合业务股。环江办[2021]81号关于印发《环江毛南族自治县投资促进局职能配置、内设机构和人员编制规定》的通知）。2.人员构成情况：人员编制总数为6人，其中行政编制0人，事业编制6人，机关后勤服务中心聘用人员控制数0人。实有财政供养人数11人，其中行政在职人员0人，事业在职6人，离退休人员5人，非实名编制内实聘人员3人。具体情况：正科级领导1人，二级主任科员1人，三级主任科员2人，试用期人员2人，非实名编制内实聘人员3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rPr>
      </w:pPr>
      <w:bookmarkStart w:id="7" w:name="bookmark70"/>
      <w:bookmarkStart w:id="8" w:name="bookmark68"/>
      <w:bookmarkStart w:id="9" w:name="bookmark69"/>
      <w:bookmarkStart w:id="10" w:name="bookmark27"/>
      <w:bookmarkStart w:id="11" w:name="bookmark26"/>
      <w:bookmarkStart w:id="12" w:name="bookmark28"/>
      <w:r>
        <w:rPr>
          <w:b/>
          <w:bCs/>
        </w:rPr>
        <w:t>第</w:t>
      </w:r>
      <w:r>
        <w:rPr>
          <w:rFonts w:hint="eastAsia"/>
          <w:b/>
          <w:bCs/>
          <w:lang w:val="en-US" w:eastAsia="zh-CN"/>
        </w:rPr>
        <w:t>二</w:t>
      </w:r>
      <w:r>
        <w:rPr>
          <w:b/>
          <w:bCs/>
        </w:rPr>
        <w:t>部分</w:t>
      </w:r>
      <w:r>
        <w:rPr>
          <w:rFonts w:hint="eastAsia"/>
          <w:b/>
          <w:bCs/>
          <w:lang w:eastAsia="zh-CN"/>
        </w:rPr>
        <w:t>：</w:t>
      </w:r>
      <w:bookmarkEnd w:id="7"/>
      <w:bookmarkEnd w:id="8"/>
      <w:bookmarkEnd w:id="9"/>
      <w:r>
        <w:rPr>
          <w:rFonts w:hint="eastAsia"/>
          <w:b/>
          <w:bCs/>
          <w:lang w:eastAsia="zh-CN"/>
        </w:rPr>
        <w:t>环江毛南族自治县投资促进局</w:t>
      </w:r>
      <w:r>
        <w:rPr>
          <w:b/>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144.40</w:t>
      </w:r>
      <w:r>
        <w:rPr>
          <w:rFonts w:hint="eastAsia"/>
          <w:b w:val="0"/>
          <w:bCs w:val="0"/>
          <w:sz w:val="28"/>
          <w:szCs w:val="28"/>
        </w:rPr>
        <w:t>万元，总支出</w:t>
      </w:r>
      <w:r>
        <w:rPr>
          <w:rFonts w:hint="eastAsia"/>
          <w:sz w:val="28"/>
          <w:szCs w:val="28"/>
          <w:lang w:val="en-US" w:eastAsia="zh-CN"/>
        </w:rPr>
        <w:t>144.40</w:t>
      </w:r>
      <w:r>
        <w:rPr>
          <w:rFonts w:hint="eastAsia"/>
          <w:b w:val="0"/>
          <w:bCs w:val="0"/>
          <w:sz w:val="28"/>
          <w:szCs w:val="28"/>
        </w:rPr>
        <w:t>万元。总收入较2023年度预算数</w:t>
      </w:r>
      <w:r>
        <w:rPr>
          <w:rFonts w:hint="eastAsia"/>
          <w:sz w:val="28"/>
          <w:szCs w:val="28"/>
          <w:lang w:val="en-US" w:eastAsia="zh-CN"/>
        </w:rPr>
        <w:t>104.42</w:t>
      </w:r>
      <w:r>
        <w:rPr>
          <w:rFonts w:hint="eastAsia"/>
          <w:b w:val="0"/>
          <w:bCs w:val="0"/>
          <w:sz w:val="28"/>
          <w:szCs w:val="28"/>
        </w:rPr>
        <w:t>万元，</w:t>
      </w:r>
      <w:r>
        <w:rPr>
          <w:rFonts w:hint="eastAsia"/>
          <w:sz w:val="28"/>
          <w:szCs w:val="28"/>
        </w:rPr>
        <w:t>增加39.98</w:t>
      </w:r>
      <w:r>
        <w:rPr>
          <w:rFonts w:hint="eastAsia"/>
          <w:b w:val="0"/>
          <w:bCs w:val="0"/>
          <w:sz w:val="28"/>
          <w:szCs w:val="28"/>
        </w:rPr>
        <w:t>万元，</w:t>
      </w:r>
      <w:r>
        <w:rPr>
          <w:rFonts w:hint="eastAsia"/>
          <w:sz w:val="28"/>
          <w:szCs w:val="28"/>
        </w:rPr>
        <w:t>增长38.29%</w:t>
      </w:r>
      <w:r>
        <w:rPr>
          <w:rFonts w:hint="eastAsia"/>
          <w:b w:val="0"/>
          <w:bCs w:val="0"/>
          <w:sz w:val="28"/>
          <w:szCs w:val="28"/>
        </w:rPr>
        <w:t>，主要原因是</w:t>
      </w:r>
      <w:r>
        <w:rPr>
          <w:rFonts w:hint="eastAsia"/>
          <w:highlight w:val="none"/>
          <w:lang w:val="en-US" w:eastAsia="zh-CN"/>
        </w:rPr>
        <w:t>事业在职人员增加3人</w:t>
      </w:r>
      <w:r>
        <w:rPr>
          <w:rFonts w:hint="eastAsia"/>
          <w:b w:val="0"/>
          <w:bCs w:val="0"/>
          <w:sz w:val="28"/>
          <w:szCs w:val="28"/>
        </w:rPr>
        <w:t>。总支出较2023年度预算数</w:t>
      </w:r>
      <w:r>
        <w:rPr>
          <w:rFonts w:hint="eastAsia"/>
          <w:sz w:val="28"/>
          <w:szCs w:val="28"/>
          <w:lang w:val="en-US" w:eastAsia="zh-CN"/>
        </w:rPr>
        <w:t>104.42</w:t>
      </w:r>
      <w:r>
        <w:rPr>
          <w:rFonts w:hint="eastAsia"/>
          <w:b w:val="0"/>
          <w:bCs w:val="0"/>
          <w:sz w:val="28"/>
          <w:szCs w:val="28"/>
        </w:rPr>
        <w:t>万元，</w:t>
      </w:r>
      <w:r>
        <w:rPr>
          <w:rFonts w:hint="eastAsia"/>
          <w:sz w:val="28"/>
          <w:szCs w:val="28"/>
        </w:rPr>
        <w:t>增加39.98</w:t>
      </w:r>
      <w:r>
        <w:rPr>
          <w:rFonts w:hint="eastAsia"/>
          <w:b w:val="0"/>
          <w:bCs w:val="0"/>
          <w:sz w:val="28"/>
          <w:szCs w:val="28"/>
        </w:rPr>
        <w:t>万元，</w:t>
      </w:r>
      <w:r>
        <w:rPr>
          <w:rFonts w:hint="eastAsia"/>
          <w:sz w:val="28"/>
          <w:szCs w:val="28"/>
        </w:rPr>
        <w:t>增长38.29%</w:t>
      </w:r>
      <w:r>
        <w:rPr>
          <w:rFonts w:hint="eastAsia"/>
          <w:b w:val="0"/>
          <w:bCs w:val="0"/>
          <w:sz w:val="28"/>
          <w:szCs w:val="28"/>
        </w:rPr>
        <w:t>，主要原因是</w:t>
      </w:r>
      <w:r>
        <w:rPr>
          <w:rFonts w:hint="eastAsia"/>
          <w:highlight w:val="none"/>
          <w:lang w:val="en-US" w:eastAsia="zh-CN"/>
        </w:rPr>
        <w:t>事业在职人员增加3人</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778" name="图表 6" title="{{img_rs_table}}"/>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144.40</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104.42</w:t>
      </w:r>
      <w:r>
        <w:rPr>
          <w:rFonts w:hint="eastAsia" w:ascii="宋体" w:hAnsi="宋体" w:eastAsia="宋体" w:cs="宋体"/>
          <w:sz w:val="28"/>
          <w:szCs w:val="28"/>
          <w:u w:color="auto"/>
        </w:rPr>
        <w:t>万元，</w:t>
      </w:r>
      <w:r>
        <w:rPr>
          <w:rFonts w:hint="eastAsia" w:ascii="宋体" w:hAnsi="宋体" w:eastAsia="宋体" w:cs="宋体"/>
          <w:sz w:val="28"/>
          <w:szCs w:val="28"/>
        </w:rPr>
        <w:t>增加39.98</w:t>
      </w:r>
      <w:r>
        <w:rPr>
          <w:rFonts w:hint="eastAsia" w:ascii="宋体" w:hAnsi="宋体" w:eastAsia="宋体" w:cs="宋体"/>
          <w:sz w:val="28"/>
          <w:szCs w:val="28"/>
          <w:u w:color="auto"/>
        </w:rPr>
        <w:t>万元，</w:t>
      </w:r>
      <w:r>
        <w:rPr>
          <w:rFonts w:hint="eastAsia" w:ascii="宋体" w:hAnsi="宋体" w:eastAsia="宋体" w:cs="宋体"/>
          <w:sz w:val="28"/>
          <w:szCs w:val="28"/>
        </w:rPr>
        <w:t>增长38.29%</w:t>
      </w:r>
      <w:r>
        <w:rPr>
          <w:rFonts w:hint="eastAsia" w:ascii="宋体" w:hAnsi="宋体" w:eastAsia="宋体" w:cs="宋体"/>
          <w:sz w:val="28"/>
          <w:szCs w:val="28"/>
          <w:u w:color="auto"/>
        </w:rPr>
        <w:t>，主要原因是</w:t>
      </w:r>
      <w:r>
        <w:rPr>
          <w:rFonts w:hint="eastAsia"/>
          <w:highlight w:val="none"/>
          <w:lang w:val="en-US" w:eastAsia="zh-CN"/>
        </w:rPr>
        <w:t>事业在职人员增加3人</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779" name="图表 14" title="{{img_gnkm_zc_data}}"/>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144.40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104.42</w:t>
      </w:r>
      <w:r>
        <w:rPr>
          <w:rFonts w:hint="eastAsia" w:ascii="宋体" w:hAnsi="宋体" w:eastAsia="宋体" w:cs="宋体"/>
          <w:sz w:val="28"/>
          <w:szCs w:val="28"/>
          <w:lang w:eastAsia="zh-CN"/>
        </w:rPr>
        <w:t>万元，</w:t>
      </w:r>
      <w:r>
        <w:rPr>
          <w:rFonts w:hint="eastAsia" w:ascii="宋体" w:hAnsi="宋体" w:eastAsia="宋体" w:cs="宋体"/>
          <w:sz w:val="28"/>
          <w:szCs w:val="28"/>
        </w:rPr>
        <w:t>增加39.98</w:t>
      </w:r>
      <w:r>
        <w:rPr>
          <w:rFonts w:hint="eastAsia" w:ascii="宋体" w:hAnsi="宋体" w:eastAsia="宋体" w:cs="宋体"/>
          <w:sz w:val="28"/>
          <w:szCs w:val="28"/>
          <w:lang w:eastAsia="zh-CN"/>
        </w:rPr>
        <w:t>万元，</w:t>
      </w:r>
      <w:r>
        <w:rPr>
          <w:rFonts w:hint="eastAsia" w:ascii="宋体" w:hAnsi="宋体" w:eastAsia="宋体" w:cs="宋体"/>
          <w:sz w:val="28"/>
          <w:szCs w:val="28"/>
        </w:rPr>
        <w:t>增长38.29%</w:t>
      </w:r>
      <w:r>
        <w:rPr>
          <w:rFonts w:hint="eastAsia" w:ascii="宋体" w:hAnsi="宋体" w:eastAsia="宋体" w:cs="宋体"/>
          <w:sz w:val="28"/>
          <w:szCs w:val="28"/>
          <w:lang w:eastAsia="zh-CN"/>
        </w:rPr>
        <w:t>，主要原因是</w:t>
      </w:r>
      <w:r>
        <w:rPr>
          <w:rFonts w:hint="eastAsia"/>
          <w:highlight w:val="none"/>
          <w:lang w:val="en-US" w:eastAsia="zh-CN"/>
        </w:rPr>
        <w:t>事业在职人员增加3人</w:t>
      </w:r>
      <w:r>
        <w:rPr>
          <w:rFonts w:hint="eastAsia" w:ascii="Times New Roman" w:hAnsi="Times New Roman" w:cs="Times New Roman"/>
          <w:sz w:val="30"/>
          <w:szCs w:val="30"/>
          <w:lang w:eastAsia="zh-CN"/>
        </w:rPr>
        <w:t>。主要包括：</w:t>
      </w:r>
      <w:r>
        <w:rPr>
          <w:rFonts w:hint="eastAsia"/>
          <w:highlight w:val="none"/>
          <w:lang w:val="en-US" w:eastAsia="zh-CN"/>
        </w:rPr>
        <w:t>部门所属单位人员工资、日常运转方面的支出</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3</w:t>
      </w:r>
      <w:r>
        <w:t>类，其中:</w:t>
      </w:r>
    </w:p>
    <w:p>
      <w:pPr>
        <w:pStyle w:val="18"/>
        <w:spacing w:line="623" w:lineRule="exact"/>
        <w:ind w:left="0" w:leftChars="0" w:firstLine="560" w:firstLineChars="200"/>
        <w:jc w:val="left"/>
        <w:rPr>
          <w:rFonts w:hint="eastAsia"/>
        </w:rPr>
      </w:pPr>
      <w:r>
        <w:rPr>
          <w:rFonts w:hint="eastAsia"/>
        </w:rPr>
        <w:t>(</w:t>
      </w:r>
      <w:r>
        <w:rPr>
          <w:u w:color="auto"/>
        </w:rPr>
        <w:t>1)一般公共服务支出</w:t>
      </w:r>
      <w:r>
        <w:rPr>
          <w:rFonts w:hint="eastAsia"/>
          <w:lang w:val="en-US" w:eastAsia="zh-CN"/>
        </w:rPr>
        <w:t>127.17</w:t>
      </w:r>
      <w:r>
        <w:rPr>
          <w:rFonts w:hint="eastAsia"/>
        </w:rPr>
        <w:t>万元，占支出总预算</w:t>
      </w:r>
      <w:r>
        <w:rPr>
          <w:rFonts w:hint="eastAsia"/>
          <w:lang w:val="en-US" w:eastAsia="zh-CN"/>
        </w:rPr>
        <w:t>88.07%</w:t>
      </w:r>
      <w:r>
        <w:rPr>
          <w:rFonts w:hint="eastAsia"/>
        </w:rPr>
        <w:t>,比上年</w:t>
      </w:r>
      <w:r>
        <w:rPr>
          <w:rFonts w:hint="eastAsia"/>
          <w:lang w:val="en-US" w:eastAsia="zh-CN"/>
        </w:rPr>
        <w:t>增长32.11</w:t>
      </w:r>
      <w:r>
        <w:rPr>
          <w:rFonts w:hint="eastAsia"/>
        </w:rPr>
        <w:t>万元，</w:t>
      </w:r>
      <w:r>
        <w:rPr>
          <w:rFonts w:hint="eastAsia"/>
          <w:lang w:val="en-US" w:eastAsia="zh-CN"/>
        </w:rPr>
        <w:t>增长33.78%</w:t>
      </w:r>
      <w:r>
        <w:rPr>
          <w:rFonts w:hint="eastAsia"/>
        </w:rPr>
        <w:t>,</w:t>
      </w:r>
      <w:r>
        <w:rPr>
          <w:rFonts w:hint="eastAsia"/>
          <w:highlight w:val="none"/>
        </w:rPr>
        <w:t>主要原因是：</w:t>
      </w:r>
      <w:r>
        <w:rPr>
          <w:rFonts w:hint="eastAsia"/>
          <w:highlight w:val="none"/>
          <w:lang w:val="en-US" w:eastAsia="zh-CN"/>
        </w:rPr>
        <w:t>事业在职人员增加3人</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2)住房保障支出</w:t>
      </w:r>
      <w:r>
        <w:rPr>
          <w:rFonts w:hint="eastAsia"/>
          <w:lang w:val="en-US" w:eastAsia="zh-CN"/>
        </w:rPr>
        <w:t>7.98</w:t>
      </w:r>
      <w:r>
        <w:rPr>
          <w:rFonts w:hint="eastAsia"/>
        </w:rPr>
        <w:t>万元，占支出总预算</w:t>
      </w:r>
      <w:r>
        <w:rPr>
          <w:rFonts w:hint="eastAsia"/>
          <w:lang w:val="en-US" w:eastAsia="zh-CN"/>
        </w:rPr>
        <w:t>5.53%</w:t>
      </w:r>
      <w:r>
        <w:rPr>
          <w:rFonts w:hint="eastAsia"/>
        </w:rPr>
        <w:t>,比上年</w:t>
      </w:r>
      <w:r>
        <w:rPr>
          <w:rFonts w:hint="eastAsia"/>
          <w:lang w:val="en-US" w:eastAsia="zh-CN"/>
        </w:rPr>
        <w:t>增长3.97</w:t>
      </w:r>
      <w:r>
        <w:rPr>
          <w:rFonts w:hint="eastAsia"/>
        </w:rPr>
        <w:t>万元，</w:t>
      </w:r>
      <w:r>
        <w:rPr>
          <w:rFonts w:hint="eastAsia"/>
          <w:lang w:val="en-US" w:eastAsia="zh-CN"/>
        </w:rPr>
        <w:t>增长99.00%</w:t>
      </w:r>
      <w:r>
        <w:rPr>
          <w:rFonts w:hint="eastAsia"/>
        </w:rPr>
        <w:t>,</w:t>
      </w:r>
      <w:r>
        <w:rPr>
          <w:rFonts w:hint="eastAsia"/>
          <w:highlight w:val="none"/>
        </w:rPr>
        <w:t>主要原因是：</w:t>
      </w:r>
      <w:r>
        <w:rPr>
          <w:rFonts w:hint="eastAsia"/>
          <w:highlight w:val="none"/>
          <w:lang w:val="en-US" w:eastAsia="zh-CN"/>
        </w:rPr>
        <w:t>事业在职人员增加3人</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3)社会保障和就业支出</w:t>
      </w:r>
      <w:r>
        <w:rPr>
          <w:rFonts w:hint="eastAsia"/>
          <w:lang w:val="en-US" w:eastAsia="zh-CN"/>
        </w:rPr>
        <w:t>9.25</w:t>
      </w:r>
      <w:r>
        <w:rPr>
          <w:rFonts w:hint="eastAsia"/>
        </w:rPr>
        <w:t>万元，占支出总预算</w:t>
      </w:r>
      <w:r>
        <w:rPr>
          <w:rFonts w:hint="eastAsia"/>
          <w:lang w:val="en-US" w:eastAsia="zh-CN"/>
        </w:rPr>
        <w:t>6.41%</w:t>
      </w:r>
      <w:r>
        <w:rPr>
          <w:rFonts w:hint="eastAsia"/>
        </w:rPr>
        <w:t>,比上年</w:t>
      </w:r>
      <w:r>
        <w:rPr>
          <w:rFonts w:hint="eastAsia"/>
          <w:lang w:val="en-US" w:eastAsia="zh-CN"/>
        </w:rPr>
        <w:t>增长3.90</w:t>
      </w:r>
      <w:r>
        <w:rPr>
          <w:rFonts w:hint="eastAsia"/>
        </w:rPr>
        <w:t>万元，</w:t>
      </w:r>
      <w:r>
        <w:rPr>
          <w:rFonts w:hint="eastAsia"/>
          <w:lang w:val="en-US" w:eastAsia="zh-CN"/>
        </w:rPr>
        <w:t>增长72.90%</w:t>
      </w:r>
      <w:r>
        <w:rPr>
          <w:rFonts w:hint="eastAsia"/>
        </w:rPr>
        <w:t>,</w:t>
      </w:r>
      <w:r>
        <w:rPr>
          <w:rFonts w:hint="eastAsia"/>
          <w:highlight w:val="none"/>
        </w:rPr>
        <w:t>主要原因是：</w:t>
      </w:r>
      <w:r>
        <w:rPr>
          <w:rFonts w:hint="eastAsia"/>
          <w:highlight w:val="none"/>
          <w:lang w:val="en-US" w:eastAsia="zh-CN"/>
        </w:rPr>
        <w:t>事业在职人员增加3人</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104.40</w:t>
      </w:r>
      <w:r>
        <w:rPr>
          <w:rFonts w:hint="eastAsia"/>
        </w:rPr>
        <w:t>万元，占支出预算</w:t>
      </w:r>
      <w:r>
        <w:rPr>
          <w:u w:color="auto"/>
        </w:rPr>
        <w:t>72.30%,比上年增长44.98万元，增长75.70%</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89.90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86.11%</w:t>
      </w:r>
      <w:r>
        <w:rPr>
          <w:rFonts w:hint="eastAsia"/>
        </w:rPr>
        <w:t>,</w:t>
      </w:r>
      <w:r>
        <w:t>比上年</w:t>
      </w:r>
      <w:r>
        <w:rPr>
          <w:rFonts w:hint="eastAsia"/>
        </w:rPr>
        <w:t>增长39.21</w:t>
      </w:r>
      <w:r>
        <w:t>万元，</w:t>
      </w:r>
      <w:r>
        <w:rPr>
          <w:rFonts w:hint="eastAsia"/>
        </w:rPr>
        <w:t>增长77.35%</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事业在职人员增加3人</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8.39</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8.04%</w:t>
      </w:r>
      <w:r>
        <w:rPr>
          <w:rFonts w:hint="eastAsia"/>
        </w:rPr>
        <w:t>,</w:t>
      </w:r>
      <w:r>
        <w:t>比上年</w:t>
      </w:r>
      <w:r>
        <w:rPr>
          <w:rFonts w:hint="eastAsia"/>
        </w:rPr>
        <w:t>增长3.74</w:t>
      </w:r>
      <w:r>
        <w:t>万元，</w:t>
      </w:r>
      <w:r>
        <w:rPr>
          <w:rFonts w:hint="eastAsia"/>
        </w:rPr>
        <w:t>增长80.43%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事业在职人员增加3人</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6.11</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5.85%</w:t>
      </w:r>
      <w:r>
        <w:rPr>
          <w:rFonts w:hint="eastAsia"/>
        </w:rPr>
        <w:t>,</w:t>
      </w:r>
      <w:r>
        <w:t>比上年</w:t>
      </w:r>
      <w:r>
        <w:rPr>
          <w:rFonts w:hint="eastAsia"/>
        </w:rPr>
        <w:t>增长2.03</w:t>
      </w:r>
      <w:r>
        <w:t>万元，</w:t>
      </w:r>
      <w:r>
        <w:rPr>
          <w:rFonts w:hint="eastAsia"/>
        </w:rPr>
        <w:t>增长49.75%</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离退休生活补助提高</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40.00</w:t>
      </w:r>
      <w:r>
        <w:rPr>
          <w:rFonts w:hint="eastAsia"/>
        </w:rPr>
        <w:t>万元，占支出预算</w:t>
      </w:r>
      <w:r>
        <w:rPr>
          <w:u w:color="auto"/>
        </w:rPr>
        <w:t>27.70%</w:t>
      </w:r>
      <w:r>
        <w:rPr>
          <w:rFonts w:hint="eastAsia"/>
        </w:rPr>
        <w:t>,比上年</w:t>
      </w:r>
      <w:r>
        <w:rPr>
          <w:u w:color="auto"/>
        </w:rPr>
        <w:t>减少5.01</w:t>
      </w:r>
      <w:r>
        <w:rPr>
          <w:rFonts w:hint="eastAsia"/>
        </w:rPr>
        <w:t>万元，</w:t>
      </w:r>
      <w:r>
        <w:rPr>
          <w:u w:color="auto"/>
        </w:rPr>
        <w:t>减少11.13%</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40.00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100.00%</w:t>
      </w:r>
      <w:r>
        <w:t>,比上年</w:t>
      </w:r>
      <w:r>
        <w:rPr>
          <w:rFonts w:hint="eastAsia"/>
        </w:rPr>
        <w:t>减少5.01</w:t>
      </w:r>
      <w:r>
        <w:t>万元，</w:t>
      </w:r>
      <w:r>
        <w:rPr>
          <w:rFonts w:hint="eastAsia"/>
        </w:rPr>
        <w:t>减少11.13%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压减项目支出</w:t>
      </w:r>
      <w:r>
        <w:rPr>
          <w:rFonts w:hint="eastAsia"/>
          <w:highlight w:val="none"/>
          <w:lang w:val="en-US" w:eastAsia="zh-CN"/>
        </w:rP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780" name="图表 13" title="{{img_sz_cb_data}}"/>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144.40</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144.40</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104.42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增加39.98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增长38.29%</w:t>
      </w:r>
      <w:r>
        <w:rPr>
          <w:rFonts w:hint="eastAsia" w:ascii="宋体" w:hAnsi="宋体" w:eastAsia="宋体" w:cs="宋体"/>
          <w:sz w:val="28"/>
          <w:szCs w:val="28"/>
        </w:rPr>
        <w:t>，主要原因是</w:t>
      </w:r>
      <w:r>
        <w:rPr>
          <w:rFonts w:hint="eastAsia"/>
          <w:highlight w:val="none"/>
          <w:lang w:val="en-US" w:eastAsia="zh-CN"/>
        </w:rPr>
        <w:t>人员增加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104.42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增加39.98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增长38.29%</w:t>
      </w:r>
      <w:r>
        <w:rPr>
          <w:rFonts w:hint="eastAsia" w:ascii="宋体" w:hAnsi="宋体" w:eastAsia="宋体" w:cs="宋体"/>
          <w:sz w:val="28"/>
          <w:szCs w:val="28"/>
        </w:rPr>
        <w:t>，主要原因是</w:t>
      </w:r>
      <w:r>
        <w:rPr>
          <w:rFonts w:hint="eastAsia"/>
          <w:highlight w:val="none"/>
          <w:lang w:val="en-US" w:eastAsia="zh-CN"/>
        </w:rPr>
        <w:t>人员增加</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781" name="图表 10" title="{{img_zc_yb_data}}"/>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144.40</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104.42</w:t>
      </w:r>
      <w:r>
        <w:rPr>
          <w:rFonts w:hint="eastAsia" w:ascii="宋体" w:hAnsi="宋体" w:eastAsia="宋体" w:cs="宋体"/>
          <w:sz w:val="28"/>
          <w:szCs w:val="28"/>
        </w:rPr>
        <w:t>万元，</w:t>
      </w:r>
      <w:r>
        <w:rPr>
          <w:rFonts w:hint="eastAsia" w:ascii="宋体" w:hAnsi="宋体" w:eastAsia="宋体" w:cs="宋体"/>
          <w:sz w:val="28"/>
          <w:szCs w:val="28"/>
          <w:lang w:val="en-US" w:eastAsia="zh-CN"/>
        </w:rPr>
        <w:t>增加39.98</w:t>
      </w:r>
      <w:r>
        <w:rPr>
          <w:rFonts w:hint="eastAsia" w:ascii="宋体" w:hAnsi="宋体" w:eastAsia="宋体" w:cs="宋体"/>
          <w:sz w:val="28"/>
          <w:szCs w:val="28"/>
        </w:rPr>
        <w:t>万元，</w:t>
      </w:r>
      <w:r>
        <w:rPr>
          <w:rFonts w:hint="eastAsia" w:ascii="宋体" w:hAnsi="宋体" w:eastAsia="宋体" w:cs="宋体"/>
          <w:sz w:val="28"/>
          <w:szCs w:val="28"/>
          <w:lang w:val="en-US" w:eastAsia="zh-CN"/>
        </w:rPr>
        <w:t>增长38.29%</w:t>
      </w:r>
      <w:r>
        <w:rPr>
          <w:rFonts w:hint="eastAsia" w:ascii="宋体" w:hAnsi="宋体" w:eastAsia="宋体" w:cs="宋体"/>
          <w:sz w:val="28"/>
          <w:szCs w:val="28"/>
        </w:rPr>
        <w:t>，主要原因是</w:t>
      </w:r>
      <w:r>
        <w:rPr>
          <w:rFonts w:hint="eastAsia"/>
          <w:highlight w:val="none"/>
          <w:lang w:val="en-US" w:eastAsia="zh-CN"/>
        </w:rPr>
        <w:t>人员增加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127.17</w:t>
      </w:r>
      <w:r>
        <w:rPr>
          <w:rFonts w:hint="eastAsia" w:ascii="宋体" w:hAnsi="宋体" w:eastAsia="宋体" w:cs="宋体"/>
          <w:sz w:val="28"/>
          <w:szCs w:val="28"/>
        </w:rPr>
        <w:t>万元，占支出总预算的</w:t>
      </w:r>
      <w:r>
        <w:rPr>
          <w:rFonts w:ascii="宋体" w:hAnsi="宋体" w:eastAsia="宋体" w:cs="宋体"/>
          <w:sz w:val="28"/>
          <w:u w:color="auto"/>
        </w:rPr>
        <w:t>88.07%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95.06</w:t>
      </w:r>
      <w:r>
        <w:rPr>
          <w:rFonts w:hint="eastAsia" w:ascii="宋体" w:hAnsi="宋体" w:eastAsia="宋体" w:cs="宋体"/>
          <w:sz w:val="28"/>
          <w:szCs w:val="28"/>
        </w:rPr>
        <w:t>万元，</w:t>
      </w:r>
      <w:r>
        <w:rPr>
          <w:rFonts w:ascii="宋体" w:hAnsi="宋体" w:eastAsia="宋体" w:cs="宋体"/>
          <w:sz w:val="28"/>
          <w:u w:color="auto"/>
        </w:rPr>
        <w:t>增长32.11</w:t>
      </w:r>
      <w:r>
        <w:rPr>
          <w:rFonts w:hint="eastAsia" w:ascii="宋体" w:hAnsi="宋体" w:eastAsia="宋体" w:cs="宋体"/>
          <w:sz w:val="28"/>
          <w:szCs w:val="28"/>
        </w:rPr>
        <w:t>万元，</w:t>
      </w:r>
      <w:r>
        <w:rPr>
          <w:rFonts w:ascii="宋体" w:hAnsi="宋体" w:eastAsia="宋体" w:cs="宋体"/>
          <w:sz w:val="28"/>
          <w:u w:color="auto"/>
        </w:rPr>
        <w:t>增长33.78%</w:t>
      </w:r>
      <w:r>
        <w:rPr>
          <w:rFonts w:hint="eastAsia" w:ascii="宋体" w:hAnsi="宋体" w:eastAsia="宋体" w:cs="宋体"/>
          <w:sz w:val="28"/>
          <w:szCs w:val="28"/>
        </w:rPr>
        <w:t>，主要原因是：</w:t>
      </w:r>
      <w:r>
        <w:rPr>
          <w:rFonts w:hint="eastAsia"/>
          <w:highlight w:val="none"/>
        </w:rPr>
        <w:t>人员增加</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7.98</w:t>
      </w:r>
      <w:r>
        <w:rPr>
          <w:rFonts w:hint="eastAsia" w:ascii="宋体" w:hAnsi="宋体" w:eastAsia="宋体" w:cs="宋体"/>
          <w:sz w:val="28"/>
          <w:szCs w:val="28"/>
        </w:rPr>
        <w:t>万元，占支出总预算的</w:t>
      </w:r>
      <w:r>
        <w:rPr>
          <w:rFonts w:ascii="宋体" w:hAnsi="宋体" w:eastAsia="宋体" w:cs="宋体"/>
          <w:sz w:val="28"/>
          <w:u w:color="auto"/>
        </w:rPr>
        <w:t>5.53%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4.01</w:t>
      </w:r>
      <w:r>
        <w:rPr>
          <w:rFonts w:hint="eastAsia" w:ascii="宋体" w:hAnsi="宋体" w:eastAsia="宋体" w:cs="宋体"/>
          <w:sz w:val="28"/>
          <w:szCs w:val="28"/>
        </w:rPr>
        <w:t>万元，</w:t>
      </w:r>
      <w:r>
        <w:rPr>
          <w:rFonts w:ascii="宋体" w:hAnsi="宋体" w:eastAsia="宋体" w:cs="宋体"/>
          <w:sz w:val="28"/>
          <w:u w:color="auto"/>
        </w:rPr>
        <w:t>增长3.97</w:t>
      </w:r>
      <w:r>
        <w:rPr>
          <w:rFonts w:hint="eastAsia" w:ascii="宋体" w:hAnsi="宋体" w:eastAsia="宋体" w:cs="宋体"/>
          <w:sz w:val="28"/>
          <w:szCs w:val="28"/>
        </w:rPr>
        <w:t>万元，</w:t>
      </w:r>
      <w:r>
        <w:rPr>
          <w:rFonts w:ascii="宋体" w:hAnsi="宋体" w:eastAsia="宋体" w:cs="宋体"/>
          <w:sz w:val="28"/>
          <w:u w:color="auto"/>
        </w:rPr>
        <w:t>增长99.00%</w:t>
      </w:r>
      <w:r>
        <w:rPr>
          <w:rFonts w:hint="eastAsia" w:ascii="宋体" w:hAnsi="宋体" w:eastAsia="宋体" w:cs="宋体"/>
          <w:sz w:val="28"/>
          <w:szCs w:val="28"/>
        </w:rPr>
        <w:t>，主要原因是：</w:t>
      </w:r>
      <w:r>
        <w:rPr>
          <w:rFonts w:hint="eastAsia"/>
          <w:highlight w:val="none"/>
        </w:rPr>
        <w:t>人员增加</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9.25</w:t>
      </w:r>
      <w:r>
        <w:rPr>
          <w:rFonts w:hint="eastAsia" w:ascii="宋体" w:hAnsi="宋体" w:eastAsia="宋体" w:cs="宋体"/>
          <w:sz w:val="28"/>
          <w:szCs w:val="28"/>
        </w:rPr>
        <w:t>万元，占支出总预算的</w:t>
      </w:r>
      <w:r>
        <w:rPr>
          <w:rFonts w:ascii="宋体" w:hAnsi="宋体" w:eastAsia="宋体" w:cs="宋体"/>
          <w:sz w:val="28"/>
          <w:u w:color="auto"/>
        </w:rPr>
        <w:t>6.41%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5.35</w:t>
      </w:r>
      <w:r>
        <w:rPr>
          <w:rFonts w:hint="eastAsia" w:ascii="宋体" w:hAnsi="宋体" w:eastAsia="宋体" w:cs="宋体"/>
          <w:sz w:val="28"/>
          <w:szCs w:val="28"/>
        </w:rPr>
        <w:t>万元，</w:t>
      </w:r>
      <w:r>
        <w:rPr>
          <w:rFonts w:ascii="宋体" w:hAnsi="宋体" w:eastAsia="宋体" w:cs="宋体"/>
          <w:sz w:val="28"/>
          <w:u w:color="auto"/>
        </w:rPr>
        <w:t>增长3.90</w:t>
      </w:r>
      <w:r>
        <w:rPr>
          <w:rFonts w:hint="eastAsia" w:ascii="宋体" w:hAnsi="宋体" w:eastAsia="宋体" w:cs="宋体"/>
          <w:sz w:val="28"/>
          <w:szCs w:val="28"/>
        </w:rPr>
        <w:t>万元，</w:t>
      </w:r>
      <w:r>
        <w:rPr>
          <w:rFonts w:ascii="宋体" w:hAnsi="宋体" w:eastAsia="宋体" w:cs="宋体"/>
          <w:sz w:val="28"/>
          <w:u w:color="auto"/>
        </w:rPr>
        <w:t>增长72.90%</w:t>
      </w:r>
      <w:r>
        <w:rPr>
          <w:rFonts w:hint="eastAsia" w:ascii="宋体" w:hAnsi="宋体" w:eastAsia="宋体" w:cs="宋体"/>
          <w:sz w:val="28"/>
          <w:szCs w:val="28"/>
        </w:rPr>
        <w:t>，主要原因是：</w:t>
      </w:r>
      <w:r>
        <w:rPr>
          <w:rFonts w:hint="eastAsia"/>
          <w:highlight w:val="none"/>
        </w:rPr>
        <w:t>人员增加</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782" name="图表 3" title="{{rep6_yb_data}}"/>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104.40</w:t>
      </w:r>
      <w:r>
        <w:rPr>
          <w:rFonts w:hint="eastAsia"/>
        </w:rPr>
        <w:t>万元，较2023年度预算数</w:t>
      </w:r>
      <w:r>
        <w:rPr>
          <w:rFonts w:hint="eastAsia"/>
          <w:lang w:val="en-US" w:eastAsia="zh-CN"/>
        </w:rPr>
        <w:t>59.42</w:t>
      </w:r>
      <w:r>
        <w:rPr>
          <w:rFonts w:hint="eastAsia"/>
        </w:rPr>
        <w:t>万元</w:t>
      </w:r>
      <w:r>
        <w:rPr>
          <w:rFonts w:hint="eastAsia"/>
          <w:lang w:val="en-US" w:eastAsia="zh-CN"/>
        </w:rPr>
        <w:t>,</w:t>
      </w:r>
      <w:r>
        <w:rPr>
          <w:u w:color="auto"/>
        </w:rPr>
        <w:t>增加44.98</w:t>
      </w:r>
      <w:r>
        <w:rPr>
          <w:rFonts w:hint="eastAsia"/>
        </w:rPr>
        <w:t>万元，</w:t>
      </w:r>
      <w:r>
        <w:rPr>
          <w:rFonts w:hint="eastAsia"/>
          <w:lang w:val="en-US" w:eastAsia="zh-CN"/>
        </w:rPr>
        <w:t>增长75.70%</w:t>
      </w:r>
      <w:r>
        <w:rPr>
          <w:rFonts w:hint="eastAsia"/>
        </w:rPr>
        <w:t>，主要原因是</w:t>
      </w:r>
      <w:r>
        <w:rPr>
          <w:rFonts w:hint="eastAsia"/>
          <w:highlight w:val="none"/>
          <w:lang w:val="en-US" w:eastAsia="zh-CN"/>
        </w:rPr>
        <w:t>人员增加</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89.90</w:t>
      </w:r>
      <w:r>
        <w:t>万元</w:t>
      </w:r>
      <w:r>
        <w:rPr>
          <w:rFonts w:hint="eastAsia"/>
          <w:lang w:eastAsia="zh-CN"/>
        </w:rPr>
        <w:t>，</w:t>
      </w:r>
      <w:r>
        <w:rPr>
          <w:rFonts w:hint="eastAsia"/>
        </w:rPr>
        <w:t>占基本支出预算的</w:t>
      </w:r>
      <w:r>
        <w:rPr>
          <w:rFonts w:hint="eastAsia"/>
          <w:lang w:val="en-US" w:eastAsia="zh-CN"/>
        </w:rPr>
        <w:t>86.11%</w:t>
      </w:r>
      <w:r>
        <w:rPr>
          <w:rFonts w:hint="eastAsia"/>
        </w:rPr>
        <w:t>，较2023年度预算数</w:t>
      </w:r>
      <w:r>
        <w:rPr>
          <w:rFonts w:hint="eastAsia"/>
          <w:lang w:val="en-US" w:eastAsia="zh-CN"/>
        </w:rPr>
        <w:t>50.69</w:t>
      </w:r>
      <w:r>
        <w:rPr>
          <w:rFonts w:hint="eastAsia"/>
        </w:rPr>
        <w:t>万元，</w:t>
      </w:r>
      <w:r>
        <w:rPr>
          <w:rFonts w:hint="eastAsia"/>
          <w:lang w:val="en-US" w:eastAsia="zh-CN"/>
        </w:rPr>
        <w:t>增长39.21</w:t>
      </w:r>
      <w:r>
        <w:rPr>
          <w:rFonts w:hint="eastAsia"/>
        </w:rPr>
        <w:t>万元，</w:t>
      </w:r>
      <w:r>
        <w:rPr>
          <w:rFonts w:hint="eastAsia"/>
          <w:lang w:val="en-US" w:eastAsia="zh-CN"/>
        </w:rPr>
        <w:t>增长77.35%</w:t>
      </w:r>
      <w:r>
        <w:rPr>
          <w:rFonts w:hint="eastAsia"/>
        </w:rPr>
        <w:t>，主要原因是：</w:t>
      </w:r>
      <w:r>
        <w:rPr>
          <w:rFonts w:hint="eastAsia"/>
          <w:highlight w:val="none"/>
        </w:rPr>
        <w:t>人员增加</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8.39</w:t>
      </w:r>
      <w:r>
        <w:t>万元</w:t>
      </w:r>
      <w:r>
        <w:rPr>
          <w:rFonts w:hint="eastAsia"/>
          <w:lang w:eastAsia="zh-CN"/>
        </w:rPr>
        <w:t>，</w:t>
      </w:r>
      <w:r>
        <w:rPr>
          <w:rFonts w:hint="eastAsia"/>
        </w:rPr>
        <w:t>占基本支出预算的</w:t>
      </w:r>
      <w:r>
        <w:rPr>
          <w:rFonts w:hint="eastAsia"/>
          <w:lang w:val="en-US" w:eastAsia="zh-CN"/>
        </w:rPr>
        <w:t>8.04%</w:t>
      </w:r>
      <w:r>
        <w:rPr>
          <w:rFonts w:hint="eastAsia"/>
        </w:rPr>
        <w:t>，较2023年度预算数</w:t>
      </w:r>
      <w:r>
        <w:rPr>
          <w:rFonts w:hint="eastAsia"/>
          <w:lang w:val="en-US" w:eastAsia="zh-CN"/>
        </w:rPr>
        <w:t>4.65</w:t>
      </w:r>
      <w:r>
        <w:rPr>
          <w:rFonts w:hint="eastAsia"/>
        </w:rPr>
        <w:t>万元，</w:t>
      </w:r>
      <w:r>
        <w:rPr>
          <w:rFonts w:hint="eastAsia"/>
          <w:lang w:val="en-US" w:eastAsia="zh-CN"/>
        </w:rPr>
        <w:t>增长3.74</w:t>
      </w:r>
      <w:r>
        <w:rPr>
          <w:rFonts w:hint="eastAsia"/>
        </w:rPr>
        <w:t>万元，</w:t>
      </w:r>
      <w:r>
        <w:rPr>
          <w:rFonts w:hint="eastAsia"/>
          <w:lang w:val="en-US" w:eastAsia="zh-CN"/>
        </w:rPr>
        <w:t>增长80.43%</w:t>
      </w:r>
      <w:r>
        <w:rPr>
          <w:rFonts w:hint="eastAsia"/>
        </w:rPr>
        <w:t>，主要原因是：</w:t>
      </w:r>
      <w:r>
        <w:rPr>
          <w:rFonts w:hint="eastAsia"/>
          <w:highlight w:val="none"/>
        </w:rPr>
        <w:t>人员增加</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6.11</w:t>
      </w:r>
      <w:r>
        <w:t>万元</w:t>
      </w:r>
      <w:r>
        <w:rPr>
          <w:rFonts w:hint="eastAsia"/>
          <w:lang w:eastAsia="zh-CN"/>
        </w:rPr>
        <w:t>，</w:t>
      </w:r>
      <w:r>
        <w:rPr>
          <w:rFonts w:hint="eastAsia"/>
        </w:rPr>
        <w:t>占基本支出预算的</w:t>
      </w:r>
      <w:r>
        <w:rPr>
          <w:rFonts w:hint="eastAsia"/>
          <w:lang w:val="en-US" w:eastAsia="zh-CN"/>
        </w:rPr>
        <w:t>5.85%</w:t>
      </w:r>
      <w:r>
        <w:rPr>
          <w:rFonts w:hint="eastAsia"/>
        </w:rPr>
        <w:t>，较2023年度预算数</w:t>
      </w:r>
      <w:r>
        <w:rPr>
          <w:rFonts w:hint="eastAsia"/>
          <w:lang w:val="en-US" w:eastAsia="zh-CN"/>
        </w:rPr>
        <w:t>4.08</w:t>
      </w:r>
      <w:r>
        <w:rPr>
          <w:rFonts w:hint="eastAsia"/>
        </w:rPr>
        <w:t>万元，</w:t>
      </w:r>
      <w:r>
        <w:rPr>
          <w:rFonts w:hint="eastAsia"/>
          <w:lang w:val="en-US" w:eastAsia="zh-CN"/>
        </w:rPr>
        <w:t>增长2.03</w:t>
      </w:r>
      <w:r>
        <w:rPr>
          <w:rFonts w:hint="eastAsia"/>
        </w:rPr>
        <w:t>万元，</w:t>
      </w:r>
      <w:r>
        <w:rPr>
          <w:rFonts w:hint="eastAsia"/>
          <w:lang w:val="en-US" w:eastAsia="zh-CN"/>
        </w:rPr>
        <w:t>增长49.75%</w:t>
      </w:r>
      <w:r>
        <w:rPr>
          <w:rFonts w:hint="eastAsia"/>
        </w:rPr>
        <w:t>，主要原因是：</w:t>
      </w:r>
      <w:r>
        <w:rPr>
          <w:rFonts w:hint="eastAsia"/>
          <w:highlight w:val="none"/>
        </w:rPr>
        <w:t>离退休生活补助提高</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783" name="图表 23" title="{{img_sgzc_ys_data}}"/>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6.90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6.90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6.90</w:t>
      </w:r>
      <w:r>
        <w:rPr>
          <w:rFonts w:hint="eastAsia"/>
          <w:b w:val="0"/>
          <w:bCs w:val="0"/>
          <w:sz w:val="28"/>
          <w:szCs w:val="28"/>
        </w:rPr>
        <w:t>万元，同口径较2023年度预算数</w:t>
      </w:r>
      <w:r>
        <w:rPr>
          <w:rFonts w:hint="eastAsia"/>
          <w:b w:val="0"/>
          <w:bCs w:val="0"/>
          <w:sz w:val="28"/>
          <w:szCs w:val="28"/>
          <w:lang w:val="en-US" w:eastAsia="zh-CN"/>
        </w:rPr>
        <w:t>12.50</w:t>
      </w:r>
      <w:r>
        <w:rPr>
          <w:rFonts w:hint="eastAsia"/>
          <w:b w:val="0"/>
          <w:bCs w:val="0"/>
          <w:sz w:val="28"/>
          <w:szCs w:val="28"/>
        </w:rPr>
        <w:t>万元，</w:t>
      </w:r>
      <w:r>
        <w:rPr>
          <w:rFonts w:hint="eastAsia"/>
          <w:b w:val="0"/>
          <w:bCs w:val="0"/>
          <w:sz w:val="28"/>
          <w:szCs w:val="28"/>
          <w:lang w:val="en-US" w:eastAsia="zh-CN"/>
        </w:rPr>
        <w:t>减少5.60</w:t>
      </w:r>
      <w:r>
        <w:rPr>
          <w:rFonts w:hint="eastAsia"/>
          <w:b w:val="0"/>
          <w:bCs w:val="0"/>
          <w:sz w:val="28"/>
          <w:szCs w:val="28"/>
        </w:rPr>
        <w:t>万元，</w:t>
      </w:r>
      <w:r>
        <w:rPr>
          <w:rFonts w:hint="eastAsia"/>
          <w:b w:val="0"/>
          <w:bCs w:val="0"/>
          <w:sz w:val="28"/>
          <w:szCs w:val="28"/>
          <w:lang w:val="en-US" w:eastAsia="zh-CN"/>
        </w:rPr>
        <w:t>减少44.80%</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无人出国（境）</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6.90</w:t>
      </w:r>
      <w:r>
        <w:rPr>
          <w:rFonts w:hint="eastAsia"/>
          <w:b w:val="0"/>
          <w:bCs w:val="0"/>
          <w:sz w:val="28"/>
          <w:szCs w:val="28"/>
        </w:rPr>
        <w:t>万元，较2023年度预算数</w:t>
      </w:r>
      <w:r>
        <w:rPr>
          <w:sz w:val="28"/>
          <w:u w:color="auto"/>
        </w:rPr>
        <w:t>11.00</w:t>
      </w:r>
      <w:r>
        <w:rPr>
          <w:rFonts w:hint="eastAsia"/>
          <w:b w:val="0"/>
          <w:bCs w:val="0"/>
          <w:sz w:val="28"/>
          <w:szCs w:val="28"/>
        </w:rPr>
        <w:t>万元，</w:t>
      </w:r>
      <w:r>
        <w:rPr>
          <w:sz w:val="28"/>
          <w:u w:color="auto"/>
        </w:rPr>
        <w:t>减少4.10</w:t>
      </w:r>
      <w:r>
        <w:rPr>
          <w:rFonts w:hint="eastAsia"/>
          <w:b w:val="0"/>
          <w:bCs w:val="0"/>
          <w:sz w:val="28"/>
          <w:szCs w:val="28"/>
        </w:rPr>
        <w:t>万元，</w:t>
      </w:r>
      <w:r>
        <w:rPr>
          <w:sz w:val="28"/>
          <w:u w:color="auto"/>
        </w:rPr>
        <w:t>减少37.27%</w:t>
      </w:r>
      <w:r>
        <w:rPr>
          <w:rFonts w:hint="eastAsia"/>
          <w:b w:val="0"/>
          <w:bCs w:val="0"/>
          <w:sz w:val="28"/>
          <w:szCs w:val="28"/>
        </w:rPr>
        <w:t>，主要原因是</w:t>
      </w:r>
      <w:r>
        <w:rPr>
          <w:rFonts w:hint="eastAsia"/>
          <w:highlight w:val="none"/>
          <w:lang w:val="en-US" w:eastAsia="zh-CN"/>
        </w:rPr>
        <w:t>本单位贯彻落实厉行节约的有关规定，控制开支</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1.50</w:t>
      </w:r>
      <w:r>
        <w:rPr>
          <w:rFonts w:hint="eastAsia"/>
          <w:b w:val="0"/>
          <w:bCs w:val="0"/>
          <w:sz w:val="28"/>
          <w:szCs w:val="28"/>
        </w:rPr>
        <w:t>万元，</w:t>
      </w:r>
      <w:r>
        <w:rPr>
          <w:sz w:val="28"/>
          <w:u w:color="auto"/>
        </w:rPr>
        <w:t>减少1.50</w:t>
      </w:r>
      <w:r>
        <w:rPr>
          <w:rFonts w:hint="eastAsia"/>
          <w:b w:val="0"/>
          <w:bCs w:val="0"/>
          <w:sz w:val="28"/>
          <w:szCs w:val="28"/>
        </w:rPr>
        <w:t>万元，</w:t>
      </w:r>
      <w:r>
        <w:rPr>
          <w:sz w:val="28"/>
          <w:u w:color="auto"/>
        </w:rPr>
        <w:t>减少100.00%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压减费用支出</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1.50</w:t>
      </w:r>
      <w:r>
        <w:rPr>
          <w:rFonts w:hint="eastAsia"/>
          <w:b w:val="0"/>
          <w:bCs w:val="0"/>
          <w:sz w:val="28"/>
          <w:szCs w:val="28"/>
        </w:rPr>
        <w:t>万元，</w:t>
      </w:r>
      <w:r>
        <w:rPr>
          <w:sz w:val="28"/>
          <w:u w:color="auto"/>
        </w:rPr>
        <w:t>减少1.50</w:t>
      </w:r>
      <w:r>
        <w:rPr>
          <w:rFonts w:hint="eastAsia"/>
          <w:b w:val="0"/>
          <w:bCs w:val="0"/>
          <w:sz w:val="28"/>
          <w:szCs w:val="28"/>
        </w:rPr>
        <w:t>万元，</w:t>
      </w:r>
      <w:r>
        <w:rPr>
          <w:sz w:val="28"/>
          <w:u w:color="auto"/>
        </w:rPr>
        <w:t>减少100.00%</w:t>
      </w:r>
      <w:r>
        <w:rPr>
          <w:rFonts w:hint="eastAsia"/>
          <w:b w:val="0"/>
          <w:bCs w:val="0"/>
          <w:sz w:val="28"/>
          <w:szCs w:val="28"/>
        </w:rPr>
        <w:t>，主要原因是</w:t>
      </w:r>
      <w:r>
        <w:rPr>
          <w:rFonts w:hint="eastAsia"/>
          <w:highlight w:val="none"/>
          <w:lang w:val="en-US" w:eastAsia="zh-CN"/>
        </w:rPr>
        <w:t>压减费用支出</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我部门2024年部门预算无政府性基金预算</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我部门2024年部门预算无国有资本经营预算</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8.39</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4.65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增加3.74</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增长80.43%</w:t>
      </w:r>
      <w:r>
        <w:rPr>
          <w:rFonts w:hint="eastAsia" w:ascii="宋体" w:hAnsi="宋体" w:eastAsia="宋体" w:cs="宋体"/>
          <w:sz w:val="28"/>
          <w:szCs w:val="28"/>
          <w:lang w:eastAsia="zh-CN"/>
        </w:rPr>
        <w:t>，主要原因是：</w:t>
      </w:r>
      <w:r>
        <w:rPr>
          <w:rFonts w:hint="eastAsia"/>
          <w:highlight w:val="none"/>
          <w:lang w:val="en-US" w:eastAsia="zh-CN"/>
        </w:rPr>
        <w:t>人员增加</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0.3</w:t>
      </w:r>
      <w:r>
        <w:rPr>
          <w:rFonts w:hint="eastAsia" w:ascii="宋体" w:hAnsi="宋体" w:eastAsia="宋体" w:cs="宋体"/>
          <w:sz w:val="28"/>
          <w:szCs w:val="28"/>
          <w:lang w:eastAsia="zh-CN"/>
        </w:rPr>
        <w:t>万元。其中：货物类采购</w:t>
      </w:r>
      <w:r>
        <w:rPr>
          <w:rFonts w:hint="eastAsia"/>
          <w:highlight w:val="none"/>
          <w:lang w:val="en-US" w:eastAsia="zh-CN"/>
        </w:rPr>
        <w:t>0.3</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日常办公所需。</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8</w:t>
      </w:r>
      <w:r>
        <w:rPr>
          <w:rFonts w:hint="eastAsia" w:ascii="宋体" w:hAnsi="宋体" w:eastAsia="宋体" w:cs="宋体"/>
          <w:sz w:val="28"/>
          <w:szCs w:val="28"/>
          <w:lang w:eastAsia="zh-CN"/>
        </w:rPr>
        <w:t>个，预算资金</w:t>
      </w:r>
      <w:r>
        <w:rPr>
          <w:rFonts w:hint="eastAsia"/>
          <w:highlight w:val="none"/>
          <w:lang w:val="en-US" w:eastAsia="zh-CN"/>
        </w:rPr>
        <w:t>40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重点项目一：项目名称：招商工作经费，预算资金10万元，2024年度绩效目标为：全面完成年内外出招商工作、公务接待及办公耗材等目标任务。设1条数量指标：招商接待≥10次；设1条质量指标：招商接待≥90%；设1条时效指标：一年内完成；设1条成本指标：经费成本≤10万元；设1条社会效益指标：引进更多客商来环江投资；设1条满意度指标：服务对象满意度≥95%。</w:t>
      </w:r>
    </w:p>
    <w:p>
      <w:pPr>
        <w:pStyle w:val="18"/>
        <w:spacing w:line="624" w:lineRule="exact"/>
        <w:ind w:firstLine="600"/>
        <w:jc w:val="left"/>
        <w:rPr>
          <w:rFonts w:hint="eastAsia"/>
          <w:highlight w:val="none"/>
          <w:lang w:val="en-US" w:eastAsia="zh-CN"/>
        </w:rPr>
      </w:pPr>
      <w:r>
        <w:rPr>
          <w:rFonts w:hint="eastAsia"/>
          <w:highlight w:val="none"/>
          <w:lang w:val="en-US" w:eastAsia="zh-CN"/>
        </w:rPr>
        <w:t>重点项目二：项目名称：招商宣传册经费，预算资金4.3万元，2024年度绩效目标为：完成招商手册印刷及保障各项业务正常开展。设1条数量指标：招商宣传手册≥700本；设1条质量指标：完成率≥95%；设1条时效指标：一年内完成；设1条成本指标：经费成本≤5.6万元；设1条社会效益指标：保障各项业务正常开展；设1条满意度指标：服务对象满意度≥95%。</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pPr>
      <w:r>
        <w:t>第</w:t>
      </w:r>
      <w:r>
        <w:rPr>
          <w:rFonts w:hint="eastAsia"/>
          <w:lang w:val="en-US" w:eastAsia="zh-CN"/>
        </w:rPr>
        <w:t>三</w:t>
      </w:r>
      <w:r>
        <w:t>部分</w:t>
      </w:r>
      <w:r>
        <w:rPr>
          <w:rFonts w:hint="eastAsia"/>
          <w:lang w:eastAsia="zh-CN"/>
        </w:rPr>
        <w:t>环江毛南族自治县投资促进局</w:t>
      </w:r>
      <w:r>
        <w:rPr>
          <w:rFonts w:hint="eastAsia" w:ascii="Times New Roman" w:hAnsi="Times New Roman" w:cs="Times New Roman"/>
          <w:sz w:val="42"/>
          <w:szCs w:val="42"/>
          <w:lang w:eastAsia="zh-CN"/>
        </w:rPr>
        <w:t>2024</w:t>
      </w:r>
      <w:r>
        <w:rPr>
          <w:rFonts w:ascii="Times New Roman" w:hAnsi="Times New Roman" w:cs="Times New Roman"/>
          <w:sz w:val="42"/>
          <w:u w:color="auto"/>
        </w:rPr>
        <w:t>年</w:t>
      </w:r>
      <w:r>
        <w:t>部门预算表</w:t>
      </w:r>
    </w:p>
    <w:p>
      <w:pPr>
        <w:pStyle w:val="22"/>
        <w:keepNext/>
        <w:keepLines/>
        <w:spacing w:after="240"/>
        <w:jc w:val="center"/>
      </w:pPr>
      <w:bookmarkStart w:id="16" w:name="bookmark31"/>
      <w:bookmarkStart w:id="17" w:name="bookmark30"/>
      <w:bookmarkStart w:id="18" w:name="bookmark29"/>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环江毛南族自治县投资促进局</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144.40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127.17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144.40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9.25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7.98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144.40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144.40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144.40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144.40</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环江毛南族自治县投资促进局</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144.40</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144.40</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144.40</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121001</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144.40</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144.40</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144.40</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2"/>
      <w:bookmarkStart w:id="20" w:name="bookmark41"/>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环江毛南族自治县投资促进局</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144.40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104.40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121001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144.40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104.40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2010101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2010301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125.60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86.00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39.60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2011308</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招商引资</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9.25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9.25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7.98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7.98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4"/>
      <w:bookmarkStart w:id="23" w:name="bookmark45"/>
      <w:bookmarkStart w:id="24" w:name="bookmark46"/>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环江毛南族自治县投资促进局</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144.40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127.17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144.40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9.25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7.98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144.40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144.40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144.40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144.40</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546"/>
        <w:gridCol w:w="1471"/>
        <w:gridCol w:w="1933"/>
        <w:gridCol w:w="2050"/>
        <w:gridCol w:w="1874"/>
        <w:gridCol w:w="1692"/>
        <w:gridCol w:w="69"/>
        <w:gridCol w:w="1673"/>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环江毛南族自治县投资促进局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121001</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144.40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104.40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96.01</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8.39</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2010101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0.30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0.30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0.10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0.10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2010301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125.60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86.01</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78.41</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7.60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39.60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2011308</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招商引资</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0.37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0.37</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0.37</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0.79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0.79</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0.79</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9.25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9.25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9.25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7.98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7.98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7.98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8"/>
      <w:bookmarkStart w:id="26" w:name="bookmark56"/>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环江毛南族自治县投资促进局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104.40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96.01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89.90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89.90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23.20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23.20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14.43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14.43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19.31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19.31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9.25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9.25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7.98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7.98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11.97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11.97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8.39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印刷费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物业管理费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30214</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租赁费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会议费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培训费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劳务费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其他交通费用</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5.16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6.11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6.11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5.37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5.37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环江毛南族自治县投资促进局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121001</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6.90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环江毛南族自治县投资促进局</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2"/>
        <w:gridCol w:w="2143"/>
        <w:gridCol w:w="2144"/>
        <w:gridCol w:w="2336"/>
        <w:gridCol w:w="2143"/>
        <w:gridCol w:w="2143"/>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环江毛南族自治县投资促进局</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环江毛南族自治县投资促进局</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环江毛南族自治县投资促进局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招商工作经费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今年内完成外出招商工作，外出招商及公务接待，办公耗材等，总费用10万元。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环江毛南族自治县投资促进局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联系村工作经费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1.60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 xml:space="preserve">  联系村工作经费1.6万元，一年内完成。</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环江毛南族自治县投资促进局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东盟博览会参会经费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东盟博览会参会经费，今年内完成。</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环江毛南族自治县投资促进局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综合业务工作经费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综合业务工作经费，邮电费1.5万元，差旅费6万元，电费1万元，水费1.5万元。</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环江毛南族自治县投资促进局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党支部生活经费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0.10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开展好党建工作，完成各项指标，今年内完成。</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环江毛南族自治县投资促进局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招商宣传册经费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4.30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招商宣传册制作经费，制作700本，每本80元，合计5.6万元，今年内完成。</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环江毛南族自治县投资促进局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驻点招商经费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确保驻点招商工作取得实实在在的成效。我县组成3人小组驻点招商，计划费用明细如下：1.住宿费6万元，2.伙食及差旅补助12万元，3.办公用品及耗材3万元，4.驻点招商车辆费用4万元；5..招商接待费5万元。争取引进一家企业入驻环江。</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环江毛南族自治县投资促进局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保安服务费用</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单位大院保卫安全工作人员2人，经费每人每月2000元，生活用品2000元，全年共50000元。</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pPr>
      <w:bookmarkStart w:id="31" w:name="bookmark94"/>
      <w:bookmarkStart w:id="32" w:name="bookmark95"/>
      <w:bookmarkStart w:id="33" w:name="bookmark96"/>
      <w: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8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false">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jA&#10;ixHbAAAADQEAAA8AAAAAAAAAAQAgAAAAOAAAAGRycy9kb3ducmV2LnhtbFBLAQIUABQAAAAIAIdO&#10;4kDdr+T80QEAAJoDAAAOAAAAAAAAAAEAIAAAAEABAABkcnMvZTJvRG9jLnhtbFBLBQYAAAAABgAG&#10;AFkBAACD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8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false">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jA&#10;ixHbAAAADQEAAA8AAAAAAAAAAQAgAAAAOAAAAGRycy9kb3ducmV2LnhtbFBLAQIUABQAAAAIAIdO&#10;4kA+YTrF0QEAAJoDAAAOAAAAAAAAAAEAIAAAAEABAABkcnMvZTJvRG9jLnhtbFBLBQYAAAAABgAG&#10;AFkBAACD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96D775"/>
    <w:multiLevelType w:val="singleLevel"/>
    <w:tmpl w:val="7F96D77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NotTrackMoves/>
  <w:documentProtection w:edit="readOnly" w:enforcement="1" w:cryptProviderType="rsaAES" w:cryptAlgorithmClass="hash" w:cryptAlgorithmType="typeAny" w:cryptAlgorithmSid="14" w:cryptSpinCount="100000" w:hash="BqaIvA5WrCNg7H+440U03m1uNJuXrLkZNynhWfTqES6QeLjBnt3aa5Apu7GC+YrUZSBejBcBqmPxMU2FQTStPQ==" w:salt="133u2bdXJ1PgdGE6q1VrKw=="/>
  <w:defaultTabStop w:val="420"/>
  <w:drawingGridHorizontalSpacing w:val="181"/>
  <w:drawingGridVerticalSpacing w:val="181"/>
  <w:noPunctuationKerning w:val="true"/>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ZTIwMjA5OTI4N2MwODc2NzEzYWVkMzg3YjQ5NmMifQ=="/>
  </w:docVars>
  <w:rsids>
    <w:rsidRoot w:val="00000000"/>
    <w:rsid w:val="EEFEC58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false"/>
      <c:spPr>
        <a:noFill/>
        <a:ln>
          <a:noFill/>
        </a:ln>
        <a:effectLst/>
      </c:spPr>
    </c:title>
    <c:autoTitleDeleted val="false"/>
    <c:plotArea>
      <c:layout/>
      <c:pieChart>
        <c:varyColors val="true"/>
        <c:ser>
          <c:idx val="0"/>
          <c:order val="0"/>
          <c:tx>
            <c:strRef>
              <c:f>Sheet1!$B$1</c:f>
              <c:strCache>
                <c:ptCount val="1"/>
                <c:pt idx="0">
                  <c:v>countries</c:v>
                </c:pt>
              </c:strCache>
            </c:strRef>
          </c:tx>
          <c:explosion val="0"/>
          <c:dPt>
            <c:idx val="0"/>
            <c:bubble3D val="false"/>
            <c:spPr>
              <a:solidFill>
                <a:schemeClr val="accent1"/>
              </a:solidFill>
              <a:ln w="19050">
                <a:solidFill>
                  <a:schemeClr val="lt1"/>
                </a:solidFill>
              </a:ln>
              <a:effectLst/>
            </c:spPr>
          </c:dPt>
          <c:dLbls>
            <c:delete val="true"/>
          </c:dLbls>
          <c:cat>
            <c:strRef>
              <c:f>Sheet1!$A$2</c:f>
              <c:strCache>
                <c:ptCount val="1"/>
                <c:pt idx="0">
                  <c:v>一般公共预算拨款</c:v>
                </c:pt>
              </c:strCache>
            </c:strRef>
          </c:cat>
          <c:val>
            <c:numRef>
              <c:f>Sheet1!$B$2</c:f>
              <c:numCache>
                <c:formatCode>General</c:formatCode>
                <c:ptCount val="1"/>
                <c:pt idx="0">
                  <c:v>144.4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false"/>
      <c:spPr>
        <a:noFill/>
        <a:ln>
          <a:noFill/>
        </a:ln>
        <a:effectLst/>
      </c:spPr>
    </c:title>
    <c:autoTitleDeleted val="false"/>
    <c:plotArea>
      <c:layout/>
      <c:pieChart>
        <c:varyColors val="true"/>
        <c:ser>
          <c:idx val="0"/>
          <c:order val="0"/>
          <c:tx>
            <c:strRef>
              <c:f>Sheet1!$B$1</c:f>
              <c:strCache>
                <c:ptCount val="1"/>
                <c:pt idx="0">
                  <c:v>countries</c:v>
                </c:pt>
              </c:strCache>
            </c:strRef>
          </c:tx>
          <c:explosion val="0"/>
          <c:dPt>
            <c:idx val="0"/>
            <c:bubble3D val="false"/>
            <c:spPr>
              <a:solidFill>
                <a:schemeClr val="accent1"/>
              </a:solidFill>
              <a:ln w="19050">
                <a:solidFill>
                  <a:schemeClr val="lt1"/>
                </a:solidFill>
              </a:ln>
              <a:effectLst/>
            </c:spPr>
          </c:dPt>
          <c:dPt>
            <c:idx val="1"/>
            <c:bubble3D val="false"/>
          </c:dPt>
          <c:dPt>
            <c:idx val="2"/>
            <c:bubble3D val="false"/>
          </c:dPt>
          <c:dLbls>
            <c:delete val="true"/>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127.17</c:v>
                </c:pt>
                <c:pt idx="1">
                  <c:v>9.25</c:v>
                </c:pt>
                <c:pt idx="2">
                  <c:v>7.98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上年</c:v>
                </c:pt>
              </c:strCache>
            </c:strRef>
          </c:tx>
          <c:spPr>
            <a:solidFill>
              <a:schemeClr val="accent1"/>
            </a:solidFill>
            <a:ln>
              <a:noFill/>
            </a:ln>
            <a:effectLst/>
          </c:spPr>
          <c:invertIfNegative val="false"/>
          <c:dLbls>
            <c:delete val="true"/>
          </c:dLbls>
          <c:cat>
            <c:strRef>
              <c:f>Sheet1!$A$2:$A$3</c:f>
              <c:strCache>
                <c:ptCount val="2"/>
                <c:pt idx="0">
                  <c:v>收入</c:v>
                </c:pt>
                <c:pt idx="1">
                  <c:v>支出</c:v>
                </c:pt>
              </c:strCache>
            </c:strRef>
          </c:cat>
          <c:val>
            <c:numRef>
              <c:f>Sheet1!$B$2:$B$3</c:f>
              <c:numCache>
                <c:formatCode>General</c:formatCode>
                <c:ptCount val="2"/>
                <c:pt idx="0">
                  <c:v>104.11</c:v>
                </c:pt>
                <c:pt idx="1">
                  <c:v>104.11</c:v>
                </c:pt>
              </c:numCache>
            </c:numRef>
          </c:val>
        </c:ser>
        <c:ser>
          <c:idx val="1"/>
          <c:order val="1"/>
          <c:tx>
            <c:strRef>
              <c:f>Sheet1!$C$1</c:f>
              <c:strCache>
                <c:ptCount val="1"/>
                <c:pt idx="0">
                  <c:v>当年</c:v>
                </c:pt>
              </c:strCache>
            </c:strRef>
          </c:tx>
          <c:spPr>
            <a:solidFill>
              <a:schemeClr val="accent2"/>
            </a:solidFill>
            <a:ln>
              <a:noFill/>
            </a:ln>
            <a:effectLst/>
          </c:spPr>
          <c:invertIfNegative val="false"/>
          <c:dLbls>
            <c:delete val="true"/>
          </c:dLbls>
          <c:cat>
            <c:strRef>
              <c:f>Sheet1!$A$2:$A$3</c:f>
              <c:strCache>
                <c:ptCount val="2"/>
                <c:pt idx="0">
                  <c:v>收入</c:v>
                </c:pt>
                <c:pt idx="1">
                  <c:v>支出</c:v>
                </c:pt>
              </c:strCache>
            </c:strRef>
          </c:cat>
          <c:val>
            <c:numRef>
              <c:f>Sheet1!$C$2:$C$3</c:f>
              <c:numCache>
                <c:formatCode>General</c:formatCode>
                <c:ptCount val="2"/>
                <c:pt idx="0">
                  <c:v>144.4</c:v>
                </c:pt>
                <c:pt idx="1">
                  <c:v>144.4</c:v>
                </c:pt>
              </c:numCache>
            </c:numRef>
          </c:val>
        </c:ser>
        <c:dLbls>
          <c:showLegendKey val="false"/>
          <c:showVal val="false"/>
          <c:showCatName val="false"/>
          <c:showSerName val="false"/>
          <c:showPercent val="false"/>
          <c:showBubbleSize val="false"/>
        </c:dLbls>
        <c:gapWidth val="219"/>
        <c:overlap val="-27"/>
        <c:axId val="811850650"/>
        <c:axId val="698020238"/>
      </c:barChart>
      <c:catAx>
        <c:axId val="811850650"/>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true"/>
        <c:lblAlgn val="ctr"/>
        <c:lblOffset val="100"/>
        <c:noMultiLvlLbl val="false"/>
      </c:catAx>
      <c:valAx>
        <c:axId val="69802023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false"/>
      <c:spPr>
        <a:noFill/>
        <a:ln>
          <a:noFill/>
        </a:ln>
        <a:effectLst/>
      </c:spPr>
    </c:title>
    <c:autoTitleDeleted val="false"/>
    <c:plotArea>
      <c:layout/>
      <c:barChart>
        <c:barDir val="bar"/>
        <c:grouping val="clustered"/>
        <c:varyColors val="false"/>
        <c:ser>
          <c:idx val="0"/>
          <c:order val="0"/>
          <c:tx>
            <c:strRef>
              <c:f>Sheet1!$B$1</c:f>
              <c:strCache>
                <c:ptCount val="1"/>
                <c:pt idx="0">
                  <c:v>基本支出</c:v>
                </c:pt>
              </c:strCache>
            </c:strRef>
          </c:tx>
          <c:spPr>
            <a:solidFill>
              <a:schemeClr val="accent1"/>
            </a:solidFill>
            <a:ln>
              <a:noFill/>
            </a:ln>
            <a:effectLst/>
          </c:spPr>
          <c:invertIfNegative val="false"/>
          <c:dLbls>
            <c:delete val="true"/>
          </c:dLbls>
          <c:cat>
            <c:strRef>
              <c:f>Sheet1!$A$2</c:f>
              <c:strCache>
                <c:ptCount val="1"/>
                <c:pt idx="0">
                  <c:v>上年</c:v>
                </c:pt>
              </c:strCache>
            </c:strRef>
          </c:cat>
          <c:val>
            <c:numRef>
              <c:f>Sheet1!$B$2</c:f>
              <c:numCache>
                <c:formatCode>General</c:formatCode>
                <c:ptCount val="1"/>
                <c:pt idx="0">
                  <c:v>104.4</c:v>
                </c:pt>
              </c:numCache>
            </c:numRef>
          </c:val>
        </c:ser>
        <c:ser>
          <c:idx val="1"/>
          <c:order val="1"/>
          <c:tx>
            <c:strRef>
              <c:f>Sheet1!$C$1</c:f>
              <c:strCache>
                <c:ptCount val="1"/>
                <c:pt idx="0">
                  <c:v>结转下年支出</c:v>
                </c:pt>
              </c:strCache>
            </c:strRef>
          </c:tx>
          <c:invertIfNegative val="false"/>
          <c:dLbls>
            <c:delete val="true"/>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false"/>
          <c:dLbls>
            <c:delete val="true"/>
          </c:dLbls>
          <c:cat>
            <c:strRef>
              <c:f>Sheet1!$A$2</c:f>
              <c:strCache>
                <c:ptCount val="1"/>
                <c:pt idx="0">
                  <c:v>上年</c:v>
                </c:pt>
              </c:strCache>
            </c:strRef>
          </c:cat>
          <c:val>
            <c:numRef>
              <c:f>Sheet1!$D$2</c:f>
              <c:numCache>
                <c:formatCode>General</c:formatCode>
                <c:ptCount val="1"/>
                <c:pt idx="0">
                  <c:v>40</c:v>
                </c:pt>
              </c:numCache>
            </c:numRef>
          </c:val>
        </c:ser>
        <c:ser>
          <c:idx val="3"/>
          <c:order val="3"/>
          <c:tx>
            <c:strRef>
              <c:f>Sheet1!$E$1</c:f>
              <c:strCache>
                <c:ptCount val="1"/>
                <c:pt idx="0">
                  <c:v>公用经费</c:v>
                </c:pt>
              </c:strCache>
            </c:strRef>
          </c:tx>
          <c:invertIfNegative val="false"/>
          <c:dLbls>
            <c:delete val="true"/>
          </c:dLbls>
          <c:cat>
            <c:strRef>
              <c:f>Sheet1!$A$2</c:f>
              <c:strCache>
                <c:ptCount val="1"/>
                <c:pt idx="0">
                  <c:v>上年</c:v>
                </c:pt>
              </c:strCache>
            </c:strRef>
          </c:cat>
          <c:val>
            <c:numRef>
              <c:f>Sheet1!$E$2</c:f>
              <c:numCache>
                <c:formatCode>General</c:formatCode>
                <c:ptCount val="1"/>
                <c:pt idx="0">
                  <c:v>8.39</c:v>
                </c:pt>
              </c:numCache>
            </c:numRef>
          </c:val>
        </c:ser>
        <c:ser>
          <c:idx val="4"/>
          <c:order val="4"/>
          <c:tx>
            <c:strRef>
              <c:f>Sheet1!$F$1</c:f>
              <c:strCache>
                <c:ptCount val="1"/>
                <c:pt idx="0">
                  <c:v>人员经费</c:v>
                </c:pt>
              </c:strCache>
            </c:strRef>
          </c:tx>
          <c:invertIfNegative val="false"/>
          <c:dLbls>
            <c:delete val="true"/>
          </c:dLbls>
          <c:cat>
            <c:strRef>
              <c:f>Sheet1!$A$2</c:f>
              <c:strCache>
                <c:ptCount val="1"/>
                <c:pt idx="0">
                  <c:v>上年</c:v>
                </c:pt>
              </c:strCache>
            </c:strRef>
          </c:cat>
          <c:val>
            <c:numRef>
              <c:f>Sheet1!$F$2</c:f>
              <c:numCache>
                <c:formatCode>General</c:formatCode>
                <c:ptCount val="1"/>
                <c:pt idx="0">
                  <c:v>96.01</c:v>
                </c:pt>
              </c:numCache>
            </c:numRef>
          </c:val>
        </c:ser>
        <c:dLbls>
          <c:showLegendKey val="false"/>
          <c:showVal val="false"/>
          <c:showCatName val="false"/>
          <c:showSerName val="false"/>
          <c:showPercent val="false"/>
          <c:showBubbleSize val="false"/>
        </c:dLbls>
        <c:gapWidth val="182"/>
        <c:overlap val="0"/>
        <c:axId val="691519273"/>
        <c:axId val="850134922"/>
      </c:barChart>
      <c:catAx>
        <c:axId val="691519273"/>
        <c:scaling>
          <c:orientation val="minMax"/>
        </c:scaling>
        <c:delete val="true"/>
        <c:axPos val="l"/>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true"/>
        <c:lblAlgn val="ctr"/>
        <c:lblOffset val="100"/>
        <c:noMultiLvlLbl val="false"/>
      </c:catAx>
      <c:valAx>
        <c:axId val="850134922"/>
        <c:scaling>
          <c:orientation val="minMax"/>
        </c:scaling>
        <c:delete val="false"/>
        <c:axPos val="b"/>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false"/>
      <c:spPr>
        <a:noFill/>
        <a:ln>
          <a:noFill/>
        </a:ln>
        <a:effectLst/>
      </c:spPr>
    </c:title>
    <c:autoTitleDeleted val="false"/>
    <c:plotArea>
      <c:layout/>
      <c:pieChart>
        <c:varyColors val="true"/>
        <c:ser>
          <c:idx val="0"/>
          <c:order val="0"/>
          <c:tx>
            <c:strRef>
              <c:f>Sheet1!$B$1</c:f>
              <c:strCache>
                <c:ptCount val="1"/>
                <c:pt idx="0">
                  <c:v>countries</c:v>
                </c:pt>
              </c:strCache>
            </c:strRef>
          </c:tx>
          <c:explosion val="0"/>
          <c:dPt>
            <c:idx val="0"/>
            <c:bubble3D val="false"/>
            <c:spPr>
              <a:solidFill>
                <a:schemeClr val="accent1"/>
              </a:solidFill>
              <a:ln w="19050">
                <a:solidFill>
                  <a:schemeClr val="lt1"/>
                </a:solidFill>
              </a:ln>
              <a:effectLst/>
            </c:spPr>
          </c:dPt>
          <c:dPt>
            <c:idx val="1"/>
            <c:bubble3D val="false"/>
          </c:dPt>
          <c:dLbls>
            <c:delete val="true"/>
          </c:dLbls>
          <c:cat>
            <c:strRef>
              <c:f>Sheet1!$A$2:$A$3</c:f>
              <c:strCache>
                <c:ptCount val="2"/>
                <c:pt idx="0">
                  <c:v>人员经费</c:v>
                </c:pt>
                <c:pt idx="1">
                  <c:v>公用经费</c:v>
                </c:pt>
              </c:strCache>
            </c:strRef>
          </c:cat>
          <c:val>
            <c:numRef>
              <c:f>Sheet1!$B$2:$B$3</c:f>
              <c:numCache>
                <c:formatCode>General</c:formatCode>
                <c:ptCount val="2"/>
                <c:pt idx="0">
                  <c:v>96.01</c:v>
                </c:pt>
                <c:pt idx="1">
                  <c:v>8.39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上年</c:v>
                </c:pt>
              </c:strCache>
            </c:strRef>
          </c:tx>
          <c:spPr>
            <a:solidFill>
              <a:schemeClr val="accent1"/>
            </a:solidFill>
            <a:ln>
              <a:noFill/>
            </a:ln>
            <a:effectLst/>
          </c:spPr>
          <c:invertIfNegative val="false"/>
          <c:dLbls>
            <c:delete val="true"/>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11</c:v>
                </c:pt>
                <c:pt idx="1">
                  <c:v>0</c:v>
                </c:pt>
                <c:pt idx="2">
                  <c:v>1.5</c:v>
                </c:pt>
              </c:numCache>
            </c:numRef>
          </c:val>
        </c:ser>
        <c:ser>
          <c:idx val="1"/>
          <c:order val="1"/>
          <c:tx>
            <c:strRef>
              <c:f>Sheet1!$C$1</c:f>
              <c:strCache>
                <c:ptCount val="1"/>
                <c:pt idx="0">
                  <c:v>当年</c:v>
                </c:pt>
              </c:strCache>
            </c:strRef>
          </c:tx>
          <c:invertIfNegative val="false"/>
          <c:dLbls>
            <c:delete val="true"/>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6.9</c:v>
                </c:pt>
                <c:pt idx="1">
                  <c:v>0</c:v>
                </c:pt>
                <c:pt idx="2">
                  <c:v>0</c:v>
                </c:pt>
              </c:numCache>
            </c:numRef>
          </c:val>
        </c:ser>
        <c:dLbls>
          <c:showLegendKey val="false"/>
          <c:showVal val="false"/>
          <c:showCatName val="false"/>
          <c:showSerName val="false"/>
          <c:showPercent val="false"/>
          <c:showBubbleSize val="false"/>
        </c:dLbls>
        <c:gapWidth val="182"/>
        <c:overlap val="0"/>
        <c:axId val="587647791"/>
        <c:axId val="468612210"/>
      </c:barChart>
      <c:catAx>
        <c:axId val="587647791"/>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true"/>
        <c:lblAlgn val="ctr"/>
        <c:lblOffset val="100"/>
        <c:noMultiLvlLbl val="false"/>
      </c:catAx>
      <c:valAx>
        <c:axId val="468612210"/>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2023-02-07T14:11:00Z</dcterms:created>
  <dc:creator>蔡冬冬</dc:creator>
  <cp:lastModifiedBy>huawei</cp:lastModifiedBy>
  <dcterms:modified xsi:type="dcterms:W3CDTF">2024-02-29T09:58:26Z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