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环江毛南族自治县统计局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环江毛南族自治县统计局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环江毛南族自治县统计局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环江毛南族自治县统计局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环江毛南族自治县统计局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承担组织协调和指导全县统计工作，确保统计数据真实、准确、及时的责任；贯彻执行国家和自治区统计工作的政策和法律、法规，制定全县统计改革、统计科学发展规划及统计调查计划；监督检查统计法律、法规、规章的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（二）依据国家基本统计制度和统计标准，拟订全县地方统计调查方案；组织实施全县国民经济核算制度和投入产出调查，核算全县地区生产总值，汇编提供国民经济核算资料。</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（三）组织实施国家和自治区部署的人口、经济、农业等重大国情国力普查及专项统计调查；研究提出重大县情县力普查和抽样调查计划并组织实施，汇总、整理和提供有关国情国力、县情县力方面的统计数据。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组织实施农林牧渔业、工业、建筑业、批发和零售业、住宿和餐饮业、固定资产投资、房地产业、租赁和商务服务业、居民服务和其他服务业、文化体育和娱乐业、运输服务业、仓储业、科技交流和推广服务业、社会福利业以及能源、投资、消费、居民收入、科技、人口、劳动力、社会发展基本情况、环境基本情况等统计调查，组织开展社情民意调查，并进行汇总、整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（五）组织实施社会发展水平、县域经济发展、节能降耗、招商引资、全面小康及农村小康建设进程、妇女儿童等统计监测和综合评价，收集、整理和提供有关统计数据和资料。</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（六）综合整理和提供财政、金融、旅游、交通运输、邮政、文化教育、卫生、体育、社会保障、公用事业、对外贸易、对外经济等全县性基本统计数据。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（七）对国民经济、科技进步、社会发展和环境资源等情况进行统计分析、统计预测和统计监督，向自治县党委、自治县人民政府及有关部门提供统计信息和咨询建议。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（八）统一核定、管理、公布全县性基本统计资料，定期发布全县国民经济和社会发展情况的统计信息。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依法管理、审批（备案）各部门、各乡（镇）统计调查项目、统计调查方案；依法监督管理涉外调查活动；指导专业统计基础工作、统计基层业务基础建设；建立健全统计数据质量审核、监控、检查和评估制度，开展对重要统计数据的审核、监控和评估。</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（十）建立健全和管理各乡（镇）统计信息自动化系统和统计数据库体系；指导各乡镇统计信息化系统建设。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（十一）会同有关部门组织管理全县统计从业资格认定、统计专业资格考试和职务评聘工作。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（十二）承办自治县人民政府交办的其他事项。</w:t>
      </w:r>
    </w:p>
    <w:p>
      <w:pPr>
        <w:pStyle w:val="Bodytext|1"/>
        <w:spacing w:line="623" w:lineRule="exact"/>
        <w:ind w:left="0" w:firstLine="560" w:leftChars="0" w:firstLineChars="200"/>
        <w:jc w:val="left"/>
        <w:rPr>
          <w:rFonts w:hint="default"/>
          <w:highlight w:val="yellow"/>
          <w:lang w:val="en-US" w:eastAsia="zh-CN"/>
        </w:rPr>
      </w:pP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（一）本单位设有办公室，综合股，法规核算股，企业统计股，社会、农村统计股，普查办等股室。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人员编制总数为14人，其中行政编制7人，事业编制7人，机关后勤服务中心聘用人员控制数1人。实有财政供养人数17人，其中行政在职6人，事业在职4人，机关后勤服务中心聘用人员控制数1人，离退休人员6人（其中退休6人）。编外在职实有人数17人，其中协统计员15人；遗嘱生活补助2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环江毛南族自治县统计局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293.24</w:t>
      </w:r>
      <w:r>
        <w:rPr>
          <w:rFonts w:hint="eastAsia"/>
          <w:b w:val="0"/>
          <w:bCs w:val="0"/>
          <w:sz w:val="28"/>
          <w:szCs w:val="28"/>
        </w:rPr>
        <w:t xml:space="preserve">万元，总支出</w:t>
      </w:r>
      <w:r>
        <w:rPr>
          <w:rFonts w:hint="eastAsia"/>
          <w:sz w:val="28"/>
          <w:szCs w:val="28"/>
          <w:lang w:val="en-US" w:eastAsia="zh-CN"/>
        </w:rPr>
        <w:t xml:space="preserve">293.24</w:t>
      </w:r>
      <w:r>
        <w:rPr>
          <w:rFonts w:hint="eastAsia"/>
          <w:b w:val="0"/>
          <w:bCs w:val="0"/>
          <w:sz w:val="28"/>
          <w:szCs w:val="28"/>
        </w:rPr>
        <w:t xml:space="preserve">万元。总收入较2023年度预算数</w:t>
      </w:r>
      <w:r>
        <w:rPr>
          <w:rFonts w:hint="eastAsia"/>
          <w:sz w:val="28"/>
          <w:szCs w:val="28"/>
          <w:lang w:val="en-US" w:eastAsia="zh-CN"/>
        </w:rPr>
        <w:t xml:space="preserve">318.69</w:t>
      </w:r>
      <w:r>
        <w:rPr>
          <w:rFonts w:hint="eastAsia"/>
          <w:b w:val="0"/>
          <w:bCs w:val="0"/>
          <w:sz w:val="28"/>
          <w:szCs w:val="28"/>
        </w:rPr>
        <w:t xml:space="preserve">万元，</w:t>
      </w:r>
      <w:r>
        <w:rPr>
          <w:rFonts w:hint="eastAsia"/>
          <w:sz w:val="28"/>
          <w:szCs w:val="28"/>
        </w:rPr>
        <w:t xml:space="preserve">减少25.45</w:t>
      </w:r>
      <w:r>
        <w:rPr>
          <w:rFonts w:hint="eastAsia"/>
          <w:b w:val="0"/>
          <w:bCs w:val="0"/>
          <w:sz w:val="28"/>
          <w:szCs w:val="28"/>
        </w:rPr>
        <w:t xml:space="preserve">万元，</w:t>
      </w:r>
      <w:r>
        <w:rPr>
          <w:rFonts w:hint="eastAsia"/>
          <w:sz w:val="28"/>
          <w:szCs w:val="28"/>
        </w:rPr>
        <w:t xml:space="preserve">下降7.99%</w:t>
      </w:r>
      <w:r>
        <w:rPr>
          <w:rFonts w:hint="eastAsia"/>
          <w:b w:val="0"/>
          <w:bCs w:val="0"/>
          <w:sz w:val="28"/>
          <w:szCs w:val="28"/>
        </w:rPr>
        <w:t xml:space="preserve">，主要原因是</w:t>
      </w:r>
      <w:r>
        <w:rPr>
          <w:rFonts w:hint="eastAsia"/>
          <w:highlight w:val="none"/>
          <w:lang w:val="en-US" w:eastAsia="zh-CN"/>
        </w:rPr>
        <w:t xml:space="preserve">在职人员减少，减少项目支出</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。总支出较2023年度预算数</w:t>
      </w:r>
      <w:r>
        <w:rPr>
          <w:rFonts w:hint="eastAsia"/>
          <w:sz w:val="28"/>
          <w:szCs w:val="28"/>
          <w:lang w:val="en-US" w:eastAsia="zh-CN"/>
        </w:rPr>
        <w:t xml:space="preserve">318.69</w:t>
      </w:r>
      <w:r>
        <w:rPr>
          <w:rFonts w:hint="eastAsia"/>
          <w:b w:val="0"/>
          <w:bCs w:val="0"/>
          <w:sz w:val="28"/>
          <w:szCs w:val="28"/>
        </w:rPr>
        <w:t xml:space="preserve">万元，</w:t>
      </w:r>
      <w:r>
        <w:rPr>
          <w:rFonts w:hint="eastAsia"/>
          <w:sz w:val="28"/>
          <w:szCs w:val="28"/>
        </w:rPr>
        <w:t xml:space="preserve">减少25.45</w:t>
      </w:r>
      <w:r>
        <w:rPr>
          <w:rFonts w:hint="eastAsia"/>
          <w:b w:val="0"/>
          <w:bCs w:val="0"/>
          <w:sz w:val="28"/>
          <w:szCs w:val="28"/>
        </w:rPr>
        <w:t xml:space="preserve">万元，</w:t>
      </w:r>
      <w:r>
        <w:rPr>
          <w:rFonts w:hint="eastAsia"/>
          <w:sz w:val="28"/>
          <w:szCs w:val="28"/>
        </w:rPr>
        <w:t xml:space="preserve">下降7.99%</w:t>
      </w:r>
      <w:r>
        <w:rPr>
          <w:rFonts w:hint="eastAsia"/>
          <w:b w:val="0"/>
          <w:bCs w:val="0"/>
          <w:sz w:val="28"/>
          <w:szCs w:val="28"/>
        </w:rPr>
        <w:t xml:space="preserve">，主要原因是</w:t>
      </w:r>
      <w:r>
        <w:rPr>
          <w:rFonts w:hint="eastAsia"/>
          <w:highlight w:val="none"/>
          <w:lang w:val="en-US" w:eastAsia="zh-CN"/>
        </w:rPr>
        <w:t xml:space="preserve">在职人员减少，减少项目支出</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highlight w:val="none"/>
          <w:lang w:val="en-US" w:eastAsia="zh-CN"/>
        </w:rPr>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04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293.24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318.69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减少25.45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下降7.99%</w:t>
      </w:r>
      <w:r>
        <w:rPr>
          <w:rFonts w:ascii="宋体" w:eastAsia="宋体" w:hAnsi="宋体" w:cs="宋体" w:hint="eastAsia"/>
          <w:sz w:val="28"/>
          <w:szCs w:val="28"/>
          <w:u w:color="auto"/>
        </w:rPr>
        <w:t xml:space="preserve">，主要原因是</w:t>
      </w:r>
      <w:r>
        <w:rPr>
          <w:rFonts w:hint="eastAsia"/>
          <w:highlight w:val="none"/>
          <w:lang w:val="en-US" w:eastAsia="zh-CN"/>
        </w:rPr>
        <w:t xml:space="preserve">在职人员减少，减少项目支出</w:t>
      </w:r>
    </w:p>
    <w:p>
      <w:pPr>
        <w:pStyle w:val="Bodytext|1"/>
        <w:spacing w:line="623" w:lineRule="exact"/>
        <w:ind w:left="0" w:firstLine="560" w:leftChars="0" w:firstLineChars="200"/>
        <w:jc w:val="left"/>
        <w:rPr>
          <w:rFonts w:ascii="宋体" w:eastAsia="宋体" w:hAnsi="宋体" w:cs="宋体" w:hint="eastAsia"/>
          <w:sz w:val="28"/>
          <w:szCs w:val="28"/>
        </w:rPr>
      </w:pPr>
      <w:r>
        <w:rPr>
          <w:rFonts w:hint="eastAsia"/>
          <w:highlight w:val="none"/>
          <w:lang w:val="en-US" w:eastAsia="zh-CN"/>
        </w:rPr>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04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293.24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318.69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减少25.45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下降7.99%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在职人员减少，减少项目支出，严格控制相关经费出支</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一公共服务支出262.72万元，社会保障和就业支出16.27万元，住房保障支出14.25万元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262.72</w:t>
      </w:r>
      <w:r>
        <w:rPr>
          <w:rFonts w:hint="eastAsia"/>
        </w:rPr>
        <w:t xml:space="preserve">万元，占支出总预算</w:t>
      </w:r>
      <w:r>
        <w:rPr>
          <w:rFonts w:hint="eastAsia"/>
          <w:lang w:val="en-US" w:eastAsia="zh-CN"/>
        </w:rPr>
        <w:t xml:space="preserve">89.59%</w:t>
      </w:r>
      <w:r>
        <w:rPr>
          <w:rFonts w:hint="eastAsia"/>
        </w:rPr>
        <w:t xml:space="preserve">,比上年</w:t>
      </w:r>
      <w:r>
        <w:rPr>
          <w:rFonts w:hint="eastAsia"/>
          <w:lang w:val="en-US" w:eastAsia="zh-CN"/>
        </w:rPr>
        <w:t xml:space="preserve">减少26.57</w:t>
      </w:r>
      <w:r>
        <w:rPr>
          <w:rFonts w:hint="eastAsia"/>
        </w:rPr>
        <w:t xml:space="preserve">万元，</w:t>
      </w:r>
      <w:r>
        <w:rPr>
          <w:rFonts w:hint="eastAsia"/>
          <w:lang w:val="en-US" w:eastAsia="zh-CN"/>
        </w:rPr>
        <w:t xml:space="preserve">减少9.18%</w:t>
      </w:r>
      <w:r>
        <w:rPr>
          <w:rFonts w:hint="eastAsia"/>
        </w:rPr>
        <w:t xml:space="preserve">,</w:t>
      </w:r>
      <w:r>
        <w:rPr>
          <w:rFonts w:hint="eastAsia"/>
          <w:highlight w:val="none"/>
        </w:rPr>
        <w:t xml:space="preserve">主要原因是：</w:t>
      </w:r>
      <w:r>
        <w:rPr>
          <w:rFonts w:hint="eastAsia"/>
          <w:highlight w:val="none"/>
          <w:lang w:val="en-US" w:eastAsia="zh-CN"/>
        </w:rPr>
        <w:t xml:space="preserve">在职人员减少，减少项目支出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14.25</w:t>
      </w:r>
      <w:r>
        <w:rPr>
          <w:rFonts w:hint="eastAsia"/>
        </w:rPr>
        <w:t xml:space="preserve">万元，占支出总预算</w:t>
      </w:r>
      <w:r>
        <w:rPr>
          <w:rFonts w:hint="eastAsia"/>
          <w:lang w:val="en-US" w:eastAsia="zh-CN"/>
        </w:rPr>
        <w:t xml:space="preserve">4.86%</w:t>
      </w:r>
      <w:r>
        <w:rPr>
          <w:rFonts w:hint="eastAsia"/>
        </w:rPr>
        <w:t xml:space="preserve">,比上年</w:t>
      </w:r>
      <w:r>
        <w:rPr>
          <w:rFonts w:hint="eastAsia"/>
          <w:lang w:val="en-US" w:eastAsia="zh-CN"/>
        </w:rPr>
        <w:t xml:space="preserve">增长1.63</w:t>
      </w:r>
      <w:r>
        <w:rPr>
          <w:rFonts w:hint="eastAsia"/>
        </w:rPr>
        <w:t xml:space="preserve">万元，</w:t>
      </w:r>
      <w:r>
        <w:rPr>
          <w:rFonts w:hint="eastAsia"/>
          <w:lang w:val="en-US" w:eastAsia="zh-CN"/>
        </w:rPr>
        <w:t xml:space="preserve">增长12.92%</w:t>
      </w:r>
      <w:r>
        <w:rPr>
          <w:rFonts w:hint="eastAsia"/>
        </w:rPr>
        <w:t xml:space="preserve">,</w:t>
      </w:r>
      <w:r>
        <w:rPr>
          <w:rFonts w:hint="eastAsia"/>
          <w:highlight w:val="none"/>
        </w:rPr>
        <w:t xml:space="preserve">主要原因是：</w:t>
      </w:r>
      <w:r>
        <w:rPr>
          <w:rFonts w:hint="eastAsia"/>
          <w:highlight w:val="none"/>
          <w:lang w:val="en-US" w:eastAsia="zh-CN"/>
        </w:rPr>
        <w:t xml:space="preserve">住房公积金基数增加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16.27</w:t>
      </w:r>
      <w:r>
        <w:rPr>
          <w:rFonts w:hint="eastAsia"/>
        </w:rPr>
        <w:t xml:space="preserve">万元，占支出总预算</w:t>
      </w:r>
      <w:r>
        <w:rPr>
          <w:rFonts w:hint="eastAsia"/>
          <w:lang w:val="en-US" w:eastAsia="zh-CN"/>
        </w:rPr>
        <w:t xml:space="preserve">5.55%</w:t>
      </w:r>
      <w:r>
        <w:rPr>
          <w:rFonts w:hint="eastAsia"/>
        </w:rPr>
        <w:t xml:space="preserve">,比上年</w:t>
      </w:r>
      <w:r>
        <w:rPr>
          <w:rFonts w:hint="eastAsia"/>
          <w:lang w:val="en-US" w:eastAsia="zh-CN"/>
        </w:rPr>
        <w:t xml:space="preserve">减少0.51</w:t>
      </w:r>
      <w:r>
        <w:rPr>
          <w:rFonts w:hint="eastAsia"/>
        </w:rPr>
        <w:t xml:space="preserve">万元，</w:t>
      </w:r>
      <w:r>
        <w:rPr>
          <w:rFonts w:hint="eastAsia"/>
          <w:lang w:val="en-US" w:eastAsia="zh-CN"/>
        </w:rPr>
        <w:t xml:space="preserve">减少3.04%</w:t>
      </w:r>
      <w:r>
        <w:rPr>
          <w:rFonts w:hint="eastAsia"/>
        </w:rPr>
        <w:t xml:space="preserve">,</w:t>
      </w:r>
      <w:r>
        <w:rPr>
          <w:rFonts w:hint="eastAsia"/>
          <w:highlight w:val="none"/>
        </w:rPr>
        <w:t xml:space="preserve">主要原因是：</w:t>
      </w:r>
      <w:r>
        <w:rPr>
          <w:rFonts w:hint="eastAsia"/>
          <w:highlight w:val="none"/>
          <w:lang w:val="en-US" w:eastAsia="zh-CN"/>
        </w:rPr>
        <w:t xml:space="preserve">在职人员减少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211.24</w:t>
      </w:r>
      <w:r>
        <w:rPr>
          <w:rFonts w:hint="eastAsia"/>
        </w:rPr>
        <w:t xml:space="preserve">万元，占支出预算</w:t>
      </w:r>
      <w:r>
        <w:rPr>
          <w:u w:color="auto"/>
        </w:rPr>
        <w:t xml:space="preserve">72.04%</w:t>
      </w:r>
      <w:r>
        <w:rPr>
          <w:u w:color="auto"/>
        </w:rPr>
        <w:t xml:space="preserve">,比上年</w:t>
      </w:r>
      <w:r>
        <w:rPr>
          <w:u w:color="auto"/>
        </w:rPr>
        <w:t xml:space="preserve">减少10.01</w:t>
      </w:r>
      <w:r>
        <w:rPr>
          <w:u w:color="auto"/>
        </w:rPr>
        <w:t xml:space="preserve">万元，</w:t>
      </w:r>
      <w:r>
        <w:rPr>
          <w:u w:color="auto"/>
        </w:rPr>
        <w:t xml:space="preserve">减少4.52%</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187.84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88.92%</w:t>
      </w:r>
      <w:r>
        <w:rPr>
          <w:rFonts w:hint="eastAsia"/>
        </w:rPr>
        <w:t xml:space="preserve">,</w:t>
      </w:r>
      <w:r>
        <w:t xml:space="preserve">比上年</w:t>
      </w:r>
      <w:r>
        <w:rPr>
          <w:rFonts w:hint="eastAsia"/>
        </w:rPr>
        <w:t xml:space="preserve">减少13.04</w:t>
      </w:r>
      <w:r>
        <w:t xml:space="preserve">万元，</w:t>
      </w:r>
      <w:r>
        <w:rPr>
          <w:rFonts w:hint="eastAsia"/>
        </w:rPr>
        <w:t xml:space="preserve">减少6.49%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14.26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6.75%</w:t>
      </w:r>
      <w:r>
        <w:rPr>
          <w:rFonts w:hint="eastAsia"/>
        </w:rPr>
        <w:t xml:space="preserve">,</w:t>
      </w:r>
      <w:r>
        <w:t xml:space="preserve">比上年</w:t>
      </w:r>
      <w:r>
        <w:rPr>
          <w:rFonts w:hint="eastAsia"/>
        </w:rPr>
        <w:t xml:space="preserve">减少0.68</w:t>
      </w:r>
      <w:r>
        <w:t xml:space="preserve">万元，</w:t>
      </w:r>
      <w:r>
        <w:rPr>
          <w:rFonts w:hint="eastAsia"/>
        </w:rPr>
        <w:t xml:space="preserve">减少4.55%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9.13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4.32%</w:t>
      </w:r>
      <w:r>
        <w:rPr>
          <w:rFonts w:hint="eastAsia"/>
        </w:rPr>
        <w:t xml:space="preserve">,</w:t>
      </w:r>
      <w:r>
        <w:t xml:space="preserve">比上年</w:t>
      </w:r>
      <w:r>
        <w:rPr>
          <w:rFonts w:hint="eastAsia"/>
        </w:rPr>
        <w:t xml:space="preserve">增长3.70</w:t>
      </w:r>
      <w:r>
        <w:t xml:space="preserve">万元，</w:t>
      </w:r>
      <w:r>
        <w:rPr>
          <w:rFonts w:hint="eastAsia"/>
        </w:rPr>
        <w:t xml:space="preserve">增长68.14%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提高退休人员生活补助费</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82.00</w:t>
      </w:r>
      <w:r>
        <w:rPr>
          <w:rFonts w:hint="eastAsia"/>
        </w:rPr>
        <w:t xml:space="preserve">万元，占支出预算</w:t>
      </w:r>
      <w:r>
        <w:rPr>
          <w:u w:color="auto"/>
        </w:rPr>
        <w:t xml:space="preserve">27.96%</w:t>
      </w:r>
      <w:r>
        <w:rPr>
          <w:rFonts w:hint="eastAsia"/>
        </w:rPr>
        <w:t xml:space="preserve">,比上年</w:t>
      </w:r>
      <w:r>
        <w:rPr>
          <w:u w:color="auto"/>
        </w:rPr>
        <w:t xml:space="preserve">减少15.45</w:t>
      </w:r>
      <w:r>
        <w:rPr>
          <w:rFonts w:hint="eastAsia"/>
        </w:rPr>
        <w:t xml:space="preserve">万元，</w:t>
      </w:r>
      <w:r>
        <w:rPr>
          <w:u w:color="auto"/>
        </w:rPr>
        <w:t xml:space="preserve">减少15.85%</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74.26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90.56%</w:t>
      </w:r>
      <w:r>
        <w:t xml:space="preserve">,比上年</w:t>
      </w:r>
      <w:r>
        <w:rPr>
          <w:rFonts w:hint="eastAsia"/>
        </w:rPr>
        <w:t xml:space="preserve">减少3.30</w:t>
      </w:r>
      <w:r>
        <w:t xml:space="preserve">万元，</w:t>
      </w:r>
      <w:r>
        <w:rPr>
          <w:rFonts w:hint="eastAsia"/>
        </w:rPr>
        <w:t xml:space="preserve">减少4.25%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减少项目支出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7.06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8.61%</w:t>
      </w:r>
      <w:r>
        <w:t xml:space="preserve">,比上年</w:t>
      </w:r>
      <w:r>
        <w:rPr>
          <w:rFonts w:hint="eastAsia"/>
        </w:rPr>
        <w:t xml:space="preserve">减少11.43</w:t>
      </w:r>
      <w:r>
        <w:t xml:space="preserve">万元，</w:t>
      </w:r>
      <w:r>
        <w:rPr>
          <w:rFonts w:hint="eastAsia"/>
        </w:rPr>
        <w:t xml:space="preserve">减少61.82%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0.69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0.84%</w:t>
      </w:r>
      <w:r>
        <w:t xml:space="preserve">,比上年</w:t>
      </w:r>
      <w:r>
        <w:rPr>
          <w:rFonts w:hint="eastAsia"/>
        </w:rPr>
        <w:t xml:space="preserve">减少0.71</w:t>
      </w:r>
      <w:r>
        <w:t xml:space="preserve">万元，</w:t>
      </w:r>
      <w:r>
        <w:rPr>
          <w:rFonts w:hint="eastAsia"/>
        </w:rPr>
        <w:t xml:space="preserve">减少50.71%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控制办公成本，提倡厉行节约</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04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293.24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293.24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318.69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减少25.45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下降7.99%</w:t>
      </w:r>
      <w:r>
        <w:rPr>
          <w:rFonts w:ascii="宋体" w:eastAsia="宋体" w:hAnsi="宋体" w:cs="宋体" w:hint="eastAsia"/>
          <w:sz w:val="28"/>
          <w:szCs w:val="28"/>
        </w:rPr>
        <w:t xml:space="preserve">，主要原因是</w:t>
      </w:r>
      <w:r>
        <w:rPr>
          <w:rFonts w:hint="eastAsia"/>
          <w:highlight w:val="none"/>
          <w:lang w:val="en-US" w:eastAsia="zh-CN"/>
        </w:rPr>
        <w:t xml:space="preserve">在职人员减少，减少项目支出</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318.69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减少25.45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下降7.99%</w:t>
      </w:r>
      <w:r>
        <w:rPr>
          <w:rFonts w:ascii="宋体" w:eastAsia="宋体" w:hAnsi="宋体" w:cs="宋体" w:hint="eastAsia"/>
          <w:sz w:val="28"/>
          <w:szCs w:val="28"/>
        </w:rPr>
        <w:t xml:space="preserve">，主要原因是</w:t>
      </w:r>
      <w:r>
        <w:rPr>
          <w:rFonts w:hint="eastAsia"/>
          <w:highlight w:val="none"/>
          <w:lang w:val="en-US" w:eastAsia="zh-CN"/>
        </w:rPr>
        <w:t xml:space="preserve">在职人员减少，减少项目支出</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04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293.24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318.69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减少25.45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下降7.99%</w:t>
      </w:r>
      <w:r>
        <w:rPr>
          <w:rFonts w:ascii="宋体" w:eastAsia="宋体" w:hAnsi="宋体" w:cs="宋体" w:hint="eastAsia"/>
          <w:sz w:val="28"/>
          <w:szCs w:val="28"/>
        </w:rPr>
        <w:t xml:space="preserve">，主要原因是</w:t>
      </w:r>
      <w:r>
        <w:rPr>
          <w:rFonts w:hint="eastAsia"/>
          <w:highlight w:val="none"/>
          <w:lang w:val="en-US" w:eastAsia="zh-CN"/>
        </w:rPr>
        <w:t xml:space="preserve">在职人员减少，减少项目支出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262.72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89.59%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289.29</w:t>
      </w:r>
      <w:r>
        <w:rPr>
          <w:rFonts w:ascii="宋体" w:eastAsia="宋体" w:hAnsi="宋体" w:cs="宋体" w:hint="eastAsia"/>
          <w:sz w:val="28"/>
          <w:szCs w:val="28"/>
        </w:rPr>
        <w:t xml:space="preserve">万元，</w:t>
      </w:r>
      <w:r>
        <w:rPr>
          <w:rFonts w:ascii="宋体" w:eastAsia="宋体" w:hAnsi="宋体" w:cs="宋体"/>
          <w:sz w:val="28"/>
          <w:u w:color="auto"/>
        </w:rPr>
        <w:t xml:space="preserve">减少26.57</w:t>
      </w:r>
      <w:r>
        <w:rPr>
          <w:rFonts w:ascii="宋体" w:eastAsia="宋体" w:hAnsi="宋体" w:cs="宋体" w:hint="eastAsia"/>
          <w:sz w:val="28"/>
          <w:szCs w:val="28"/>
        </w:rPr>
        <w:t xml:space="preserve">万元，</w:t>
      </w:r>
      <w:r>
        <w:rPr>
          <w:rFonts w:ascii="宋体" w:eastAsia="宋体" w:hAnsi="宋体" w:cs="宋体"/>
          <w:sz w:val="28"/>
          <w:u w:color="auto"/>
        </w:rPr>
        <w:t xml:space="preserve">减少9.18%</w:t>
      </w:r>
      <w:r>
        <w:rPr>
          <w:rFonts w:ascii="宋体" w:eastAsia="宋体" w:hAnsi="宋体" w:cs="宋体" w:hint="eastAsia"/>
          <w:sz w:val="28"/>
          <w:szCs w:val="28"/>
        </w:rPr>
        <w:t xml:space="preserve">，主要原因是：</w:t>
      </w:r>
      <w:r>
        <w:rPr>
          <w:rFonts w:hint="eastAsia"/>
          <w:highlight w:val="none"/>
        </w:rPr>
        <w:t xml:space="preserve">在职人员减少，减少项目支出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14.25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4.86%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12.62</w:t>
      </w:r>
      <w:r>
        <w:rPr>
          <w:rFonts w:ascii="宋体" w:eastAsia="宋体" w:hAnsi="宋体" w:cs="宋体" w:hint="eastAsia"/>
          <w:sz w:val="28"/>
          <w:szCs w:val="28"/>
        </w:rPr>
        <w:t xml:space="preserve">万元，</w:t>
      </w:r>
      <w:r>
        <w:rPr>
          <w:rFonts w:ascii="宋体" w:eastAsia="宋体" w:hAnsi="宋体" w:cs="宋体"/>
          <w:sz w:val="28"/>
          <w:u w:color="auto"/>
        </w:rPr>
        <w:t xml:space="preserve">增长1.63</w:t>
      </w:r>
      <w:r>
        <w:rPr>
          <w:rFonts w:ascii="宋体" w:eastAsia="宋体" w:hAnsi="宋体" w:cs="宋体" w:hint="eastAsia"/>
          <w:sz w:val="28"/>
          <w:szCs w:val="28"/>
        </w:rPr>
        <w:t xml:space="preserve">万元，</w:t>
      </w:r>
      <w:r>
        <w:rPr>
          <w:rFonts w:ascii="宋体" w:eastAsia="宋体" w:hAnsi="宋体" w:cs="宋体"/>
          <w:sz w:val="28"/>
          <w:u w:color="auto"/>
        </w:rPr>
        <w:t xml:space="preserve">增长12.92%</w:t>
      </w:r>
      <w:r>
        <w:rPr>
          <w:rFonts w:ascii="宋体" w:eastAsia="宋体" w:hAnsi="宋体" w:cs="宋体" w:hint="eastAsia"/>
          <w:sz w:val="28"/>
          <w:szCs w:val="28"/>
        </w:rPr>
        <w:t xml:space="preserve">，主要原因是：</w:t>
      </w:r>
      <w:r>
        <w:rPr>
          <w:rFonts w:hint="eastAsia"/>
          <w:highlight w:val="none"/>
        </w:rPr>
        <w:t xml:space="preserve">住房公积金基数增加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16.27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5.55%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16.78</w:t>
      </w:r>
      <w:r>
        <w:rPr>
          <w:rFonts w:ascii="宋体" w:eastAsia="宋体" w:hAnsi="宋体" w:cs="宋体" w:hint="eastAsia"/>
          <w:sz w:val="28"/>
          <w:szCs w:val="28"/>
        </w:rPr>
        <w:t xml:space="preserve">万元，</w:t>
      </w:r>
      <w:r>
        <w:rPr>
          <w:rFonts w:ascii="宋体" w:eastAsia="宋体" w:hAnsi="宋体" w:cs="宋体"/>
          <w:sz w:val="28"/>
          <w:u w:color="auto"/>
        </w:rPr>
        <w:t xml:space="preserve">减少0.51</w:t>
      </w:r>
      <w:r>
        <w:rPr>
          <w:rFonts w:ascii="宋体" w:eastAsia="宋体" w:hAnsi="宋体" w:cs="宋体" w:hint="eastAsia"/>
          <w:sz w:val="28"/>
          <w:szCs w:val="28"/>
        </w:rPr>
        <w:t xml:space="preserve">万元，</w:t>
      </w:r>
      <w:r>
        <w:rPr>
          <w:rFonts w:ascii="宋体" w:eastAsia="宋体" w:hAnsi="宋体" w:cs="宋体"/>
          <w:sz w:val="28"/>
          <w:u w:color="auto"/>
        </w:rPr>
        <w:t xml:space="preserve">减少3.04%</w:t>
      </w:r>
      <w:r>
        <w:rPr>
          <w:rFonts w:ascii="宋体" w:eastAsia="宋体" w:hAnsi="宋体" w:cs="宋体" w:hint="eastAsia"/>
          <w:sz w:val="28"/>
          <w:szCs w:val="28"/>
        </w:rPr>
        <w:t xml:space="preserve">，主要原因是：</w:t>
      </w:r>
      <w:r>
        <w:rPr>
          <w:rFonts w:hint="eastAsia"/>
          <w:highlight w:val="none"/>
        </w:rPr>
        <w:t xml:space="preserve">在职人员减少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04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211.24</w:t>
      </w:r>
      <w:r>
        <w:rPr>
          <w:rFonts w:hint="eastAsia"/>
        </w:rPr>
        <w:t xml:space="preserve">万元，较2023年度预算数</w:t>
      </w:r>
      <w:r>
        <w:rPr>
          <w:rFonts w:hint="eastAsia"/>
          <w:lang w:val="en-US" w:eastAsia="zh-CN"/>
        </w:rPr>
        <w:t xml:space="preserve">221.25</w:t>
      </w:r>
      <w:r>
        <w:rPr>
          <w:rFonts w:hint="eastAsia"/>
        </w:rPr>
        <w:t xml:space="preserve">万元</w:t>
      </w:r>
      <w:r>
        <w:rPr>
          <w:rFonts w:hint="eastAsia"/>
          <w:lang w:val="en-US" w:eastAsia="zh-CN"/>
        </w:rPr>
        <w:t xml:space="preserve">,</w:t>
      </w:r>
      <w:r>
        <w:rPr>
          <w:u w:color="auto"/>
        </w:rPr>
        <w:t xml:space="preserve">减少10.01</w:t>
      </w:r>
      <w:r>
        <w:rPr>
          <w:rFonts w:hint="eastAsia"/>
        </w:rPr>
        <w:t xml:space="preserve">万元，</w:t>
      </w:r>
      <w:r>
        <w:rPr>
          <w:rFonts w:hint="eastAsia"/>
          <w:lang w:val="en-US" w:eastAsia="zh-CN"/>
        </w:rPr>
        <w:t xml:space="preserve">下降4.52%</w:t>
      </w:r>
      <w:r>
        <w:rPr>
          <w:rFonts w:hint="eastAsia"/>
        </w:rPr>
        <w:t xml:space="preserve">，主要原因是</w:t>
      </w:r>
      <w:r>
        <w:rPr>
          <w:rFonts w:hint="eastAsia"/>
          <w:highlight w:val="none"/>
          <w:lang w:val="en-US" w:eastAsia="zh-CN"/>
        </w:rPr>
        <w:t xml:space="preserve">在职人员减少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187.84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88.92%</w:t>
      </w:r>
      <w:r>
        <w:rPr>
          <w:rFonts w:hint="eastAsia"/>
        </w:rPr>
        <w:t xml:space="preserve">，较2023年度预算数</w:t>
      </w:r>
      <w:r>
        <w:rPr>
          <w:rFonts w:hint="eastAsia"/>
          <w:lang w:val="en-US" w:eastAsia="zh-CN"/>
        </w:rPr>
        <w:t xml:space="preserve">200.88</w:t>
      </w:r>
      <w:r>
        <w:rPr>
          <w:rFonts w:hint="eastAsia"/>
        </w:rPr>
        <w:t xml:space="preserve">万元，</w:t>
      </w:r>
      <w:r>
        <w:rPr>
          <w:rFonts w:hint="eastAsia"/>
          <w:lang w:val="en-US" w:eastAsia="zh-CN"/>
        </w:rPr>
        <w:t xml:space="preserve">减少13.04</w:t>
      </w:r>
      <w:r>
        <w:rPr>
          <w:rFonts w:hint="eastAsia"/>
        </w:rPr>
        <w:t xml:space="preserve">万元，</w:t>
      </w:r>
      <w:r>
        <w:rPr>
          <w:rFonts w:hint="eastAsia"/>
          <w:lang w:val="en-US" w:eastAsia="zh-CN"/>
        </w:rPr>
        <w:t xml:space="preserve">减少6.49%</w:t>
      </w:r>
      <w:r>
        <w:rPr>
          <w:rFonts w:hint="eastAsia"/>
        </w:rPr>
        <w:t xml:space="preserve">，主要原因是：</w:t>
      </w:r>
      <w:r>
        <w:rPr>
          <w:rFonts w:hint="eastAsia"/>
          <w:highlight w:val="none"/>
        </w:rPr>
        <w:t xml:space="preserve">在职人员减少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14.26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6.75%</w:t>
      </w:r>
      <w:r>
        <w:rPr>
          <w:rFonts w:hint="eastAsia"/>
        </w:rPr>
        <w:t xml:space="preserve">，较2023年度预算数</w:t>
      </w:r>
      <w:r>
        <w:rPr>
          <w:rFonts w:hint="eastAsia"/>
          <w:lang w:val="en-US" w:eastAsia="zh-CN"/>
        </w:rPr>
        <w:t xml:space="preserve">14.94</w:t>
      </w:r>
      <w:r>
        <w:rPr>
          <w:rFonts w:hint="eastAsia"/>
        </w:rPr>
        <w:t xml:space="preserve">万元，</w:t>
      </w:r>
      <w:r>
        <w:rPr>
          <w:rFonts w:hint="eastAsia"/>
          <w:lang w:val="en-US" w:eastAsia="zh-CN"/>
        </w:rPr>
        <w:t xml:space="preserve">减少0.68</w:t>
      </w:r>
      <w:r>
        <w:rPr>
          <w:rFonts w:hint="eastAsia"/>
        </w:rPr>
        <w:t xml:space="preserve">万元，</w:t>
      </w:r>
      <w:r>
        <w:rPr>
          <w:rFonts w:hint="eastAsia"/>
          <w:lang w:val="en-US" w:eastAsia="zh-CN"/>
        </w:rPr>
        <w:t xml:space="preserve">减少4.55%</w:t>
      </w:r>
      <w:r>
        <w:rPr>
          <w:rFonts w:hint="eastAsia"/>
        </w:rPr>
        <w:t xml:space="preserve">，主要原因是：</w:t>
      </w:r>
      <w:r>
        <w:rPr>
          <w:rFonts w:hint="eastAsia"/>
          <w:highlight w:val="none"/>
        </w:rPr>
        <w:t xml:space="preserve">在职人员减少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9.13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4.32%</w:t>
      </w:r>
      <w:r>
        <w:rPr>
          <w:rFonts w:hint="eastAsia"/>
        </w:rPr>
        <w:t xml:space="preserve">，较2023年度预算数</w:t>
      </w:r>
      <w:r>
        <w:rPr>
          <w:rFonts w:hint="eastAsia"/>
          <w:lang w:val="en-US" w:eastAsia="zh-CN"/>
        </w:rPr>
        <w:t xml:space="preserve">5.43</w:t>
      </w:r>
      <w:r>
        <w:rPr>
          <w:rFonts w:hint="eastAsia"/>
        </w:rPr>
        <w:t xml:space="preserve">万元，</w:t>
      </w:r>
      <w:r>
        <w:rPr>
          <w:rFonts w:hint="eastAsia"/>
          <w:lang w:val="en-US" w:eastAsia="zh-CN"/>
        </w:rPr>
        <w:t xml:space="preserve">增长3.70</w:t>
      </w:r>
      <w:r>
        <w:rPr>
          <w:rFonts w:hint="eastAsia"/>
        </w:rPr>
        <w:t xml:space="preserve">万元，</w:t>
      </w:r>
      <w:r>
        <w:rPr>
          <w:rFonts w:hint="eastAsia"/>
          <w:lang w:val="en-US" w:eastAsia="zh-CN"/>
        </w:rPr>
        <w:t xml:space="preserve">增长68.14%</w:t>
      </w:r>
      <w:r>
        <w:rPr>
          <w:rFonts w:hint="eastAsia"/>
        </w:rPr>
        <w:t xml:space="preserve">，主要原因是：</w:t>
      </w:r>
      <w:r>
        <w:rPr>
          <w:rFonts w:hint="eastAsia"/>
          <w:highlight w:val="none"/>
        </w:rPr>
        <w:t xml:space="preserve">提高退休人员生活补助费</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04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1.50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1.50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1.50</w:t>
      </w:r>
      <w:r>
        <w:rPr>
          <w:rFonts w:hint="eastAsia"/>
          <w:b w:val="0"/>
          <w:bCs w:val="0"/>
          <w:sz w:val="28"/>
          <w:szCs w:val="28"/>
        </w:rPr>
        <w:t xml:space="preserve">万元，同口径较2023年度预算数</w:t>
      </w:r>
      <w:r>
        <w:rPr>
          <w:rFonts w:hint="eastAsia"/>
          <w:b w:val="0"/>
          <w:bCs w:val="0"/>
          <w:sz w:val="28"/>
          <w:szCs w:val="28"/>
          <w:lang w:val="en-US" w:eastAsia="zh-CN"/>
        </w:rPr>
        <w:t xml:space="preserve">2.90</w:t>
      </w:r>
      <w:r>
        <w:rPr>
          <w:rFonts w:hint="eastAsia"/>
          <w:b w:val="0"/>
          <w:bCs w:val="0"/>
          <w:sz w:val="28"/>
          <w:szCs w:val="28"/>
        </w:rPr>
        <w:t xml:space="preserve">万元，</w:t>
      </w:r>
      <w:r>
        <w:rPr>
          <w:rFonts w:hint="eastAsia"/>
          <w:b w:val="0"/>
          <w:bCs w:val="0"/>
          <w:sz w:val="28"/>
          <w:szCs w:val="28"/>
          <w:lang w:val="en-US" w:eastAsia="zh-CN"/>
        </w:rPr>
        <w:t xml:space="preserve">减少1.40</w:t>
      </w:r>
      <w:r>
        <w:rPr>
          <w:rFonts w:hint="eastAsia"/>
          <w:b w:val="0"/>
          <w:bCs w:val="0"/>
          <w:sz w:val="28"/>
          <w:szCs w:val="28"/>
        </w:rPr>
        <w:t xml:space="preserve">万元，</w:t>
      </w:r>
      <w:r>
        <w:rPr>
          <w:rFonts w:hint="eastAsia"/>
          <w:b w:val="0"/>
          <w:bCs w:val="0"/>
          <w:sz w:val="28"/>
          <w:szCs w:val="28"/>
          <w:lang w:val="en-US" w:eastAsia="zh-CN"/>
        </w:rPr>
        <w:t xml:space="preserve">减少48.28%</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本单位没有因公出国（境）费用</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1.50</w:t>
      </w:r>
      <w:r>
        <w:rPr>
          <w:rFonts w:hint="eastAsia"/>
          <w:b w:val="0"/>
          <w:bCs w:val="0"/>
          <w:sz w:val="28"/>
          <w:szCs w:val="28"/>
        </w:rPr>
        <w:t xml:space="preserve">万元，较2023年度预算数</w:t>
      </w:r>
      <w:r>
        <w:rPr>
          <w:sz w:val="28"/>
          <w:u w:color="auto"/>
        </w:rPr>
        <w:t xml:space="preserve">2.90</w:t>
      </w:r>
      <w:r>
        <w:rPr>
          <w:rFonts w:hint="eastAsia"/>
          <w:b w:val="0"/>
          <w:bCs w:val="0"/>
          <w:sz w:val="28"/>
          <w:szCs w:val="28"/>
        </w:rPr>
        <w:t xml:space="preserve">万元，</w:t>
      </w:r>
      <w:r>
        <w:rPr>
          <w:sz w:val="28"/>
          <w:u w:color="auto"/>
        </w:rPr>
        <w:t xml:space="preserve">减少1.40</w:t>
      </w:r>
      <w:r>
        <w:rPr>
          <w:rFonts w:hint="eastAsia"/>
          <w:b w:val="0"/>
          <w:bCs w:val="0"/>
          <w:sz w:val="28"/>
          <w:szCs w:val="28"/>
        </w:rPr>
        <w:t xml:space="preserve">万元，</w:t>
      </w:r>
      <w:r>
        <w:rPr>
          <w:sz w:val="28"/>
          <w:u w:color="auto"/>
        </w:rPr>
        <w:t xml:space="preserve">减少48.28%</w:t>
      </w:r>
      <w:r>
        <w:rPr>
          <w:rFonts w:hint="eastAsia"/>
          <w:b w:val="0"/>
          <w:bCs w:val="0"/>
          <w:sz w:val="28"/>
          <w:szCs w:val="28"/>
        </w:rPr>
        <w:t xml:space="preserve">，主要原因是</w:t>
      </w:r>
      <w:r>
        <w:rPr>
          <w:rFonts w:hint="eastAsia"/>
          <w:highlight w:val="none"/>
          <w:lang w:val="en-US" w:eastAsia="zh-CN"/>
        </w:rPr>
        <w:t xml:space="preserve">认真贯彻落实中央“八项规定”精神和厉行节约要求，严格和压缩“三公”经费相关支出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本单位没有公务用车购置费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本单位没有公务用车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本部门没有政府性基金预算支出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2024年本部门没有国有资本经营预算支出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14.26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14.94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减少0.68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下降4.55%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在职人员减少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0.69万元</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0.69万元</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用于办公设备购置</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82.01</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村级统计员补贴，预算资金26.46万元，2024年度绩效目标为：发放村级统计员补贴，进一步提高村级统计工作，设1务数量指标，发放数＝147人；设1条质量指标：发放率100%；设1条时效指标：2024年12月底之前发放；设1条成本指标：年度维护成本≤26.46万元；设1条满意指标：发放对象满意度≥90%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环江毛南族自治县统计局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环江毛南族自治县统计局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293.24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262.72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281.24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16.27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14.25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293.24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293.24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293.24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293.24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环江毛南族自治县统计局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293.24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293.24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293.24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128001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293.24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293.24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293.24</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环江毛南族自治县统计局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293.24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211.24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293.24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211.24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2010501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187.50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179.30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专项统计业务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2010506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统计管理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2010507</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专项普查活动</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9.95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9.95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2010508</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统计抽样调查</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2010599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其他统计信息事务支出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16.27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16.27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环江毛南族自治县统计局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293.24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262.72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281.24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16.27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14.25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293.24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293.24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293.24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293.24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环江毛南族自治县统计局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128001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293.24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211.23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196.97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14.26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2010501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187.50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179.30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166.46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12.84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专项统计业务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2010506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统计管理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2010507</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专项普查活动</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9.95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9.95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2010508</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统计抽样调查</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2010599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其他统计信息事务支出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16.27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16.27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16.27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14.25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环江毛南族自治县统计局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211.23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196.97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43.29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43.29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47.29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47.29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环江毛南族自治县统计局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128001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1.50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环江毛南族自治县统计局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环江毛南族自治县统计局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环江毛南族自治县统计局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环江毛南族自治县统计局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“四上企业”扶持奖励</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19.34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按环政发（2019）2号文件要求，发放109家“四上企业”统计员年终奖励。</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环江毛南族自治县统计局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村级统计员补贴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26.46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发放全县12个乡镇147个行政村统计员补贴</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环江毛南族自治县统计局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党支部组织活动经费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环江毛南族自治县统计局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企业电子台账工作经费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完成109家在库企业电子台账安装及维护</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环江毛南族自治县统计局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第五次全国经济普查</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第五次全国经济普查数据维护工作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环江毛南族自治县统计局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第五次全国经济普查"两员"经费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4.95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及时拨付第五次全国经济普查“两员”经费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环江毛南族自治县统计局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统计协管员劳动报酬项目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按时发放“协统员”劳动报酬。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环江毛南族自治县统计局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统计业务费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第五次全国经济普查数据维护工作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环江毛南族自治县统计局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抽样调查</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完成周期性抽样调查任务，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环江毛南族自治县统计局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办公经费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支付水、电费，邮电费等办公经费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4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62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4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62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Uun/HxRCYvkUJIyBXWhVbQ==" w:hash="08IZRJnr7+Bcm+T6WhiYvX1IPZgs4LNg8O5EiafyFyrhSr/zpw8Y6pVQyuUPYz2AK/z2HXBU8xtJ1eb+WUl6A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293.24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250.72</c:v>
                </c:pt>
                <c:pt idx="1">
                  <c:v>16.27</c:v>
                </c:pt>
                <c:pt idx="2">
                  <c:v>14.25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300.21</c:v>
                </c:pt>
                <c:pt idx="1">
                  <c:v>300.21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281.24</c:v>
                </c:pt>
                <c:pt idx="1">
                  <c:v>281.24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211.24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70.0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14.26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196.97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196.97</c:v>
                </c:pt>
                <c:pt idx="1">
                  <c:v>14.26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2.9</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1.5</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2024-02-29T02:26:13Z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