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环江毛南族自治县工商业联合会</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环江毛南族自治县工商业联合会</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环江毛南族自治县工商业联合会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环江毛南族自治县工商业联合会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环江毛南族自治县工商业联合会</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一、依据《中华全国工商业联合会章程》，贯彻执行自治区工商联和河池市工商联执委会、常委会决议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二、做好自治县工商联履行政治协商、参政议政、民主监督职能的有关工作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三、开展非公有制经济人士思想政治工作。做好非公有制经济代表人士的日常联系、考察、培养工作，协助做好政治安排推荐的有关工作。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四、加强与政府部门及有关经济组织的联系，为会员企业开展经济活动提供服务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五、依照法律和《中华全国工商业联合会章程》维护会员的合法权益;反映会员的意见、建议，为会员提供服务，帮助解决生产经营中实际问题</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六、加强会员企业、团体和个人的管理工作，收取会员会费，执行章程权利和义务。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七、引导会员弘扬中华民族传统美德，先富帮后富，走共同富裕的道路，热心社会公益事业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八、加强与香港、澳门特别行政区，台湾地区和国内外工商社团及工商经济界的联系，促进经济、技术和贸易合作，协助引进资金、技术、人才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九、对各乡镇商会和县内行业商会等商会组织进行业务指导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十、承担自治县党委、自治县人民政府授权和交办的其他工作任务。</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单位无下属单位，部门预算为本级预算。设综合部一个内设机构。人员编制总数为3人，其中行政编制3人，事业编制0人，机关后勤服务中心聘用人员控制数0人。实有财政供养人数3人，其中行政在职3人，事业在职0人，离退休人员0人（其中离休0人）。编外在职实有人数1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环江毛南族自治县工商业联合会</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60.68</w:t>
      </w:r>
      <w:r>
        <w:rPr>
          <w:rFonts w:hint="eastAsia"/>
          <w:b w:val="0"/>
          <w:bCs w:val="0"/>
          <w:sz w:val="28"/>
          <w:szCs w:val="28"/>
        </w:rPr>
        <w:t xml:space="preserve">万元，总支出</w:t>
      </w:r>
      <w:r>
        <w:rPr>
          <w:rFonts w:hint="eastAsia"/>
          <w:sz w:val="28"/>
          <w:szCs w:val="28"/>
          <w:lang w:val="en-US" w:eastAsia="zh-CN"/>
        </w:rPr>
        <w:t xml:space="preserve">60.68</w:t>
      </w:r>
      <w:r>
        <w:rPr>
          <w:rFonts w:hint="eastAsia"/>
          <w:b w:val="0"/>
          <w:bCs w:val="0"/>
          <w:sz w:val="28"/>
          <w:szCs w:val="28"/>
        </w:rPr>
        <w:t xml:space="preserve">万元。总收入较2023年度预算数</w:t>
      </w:r>
      <w:r>
        <w:rPr>
          <w:rFonts w:hint="eastAsia"/>
          <w:sz w:val="28"/>
          <w:szCs w:val="28"/>
          <w:lang w:val="en-US" w:eastAsia="zh-CN"/>
        </w:rPr>
        <w:t xml:space="preserve">54.06</w:t>
      </w:r>
      <w:r>
        <w:rPr>
          <w:rFonts w:hint="eastAsia"/>
          <w:b w:val="0"/>
          <w:bCs w:val="0"/>
          <w:sz w:val="28"/>
          <w:szCs w:val="28"/>
        </w:rPr>
        <w:t xml:space="preserve">万元，</w:t>
      </w:r>
      <w:r>
        <w:rPr>
          <w:rFonts w:hint="eastAsia"/>
          <w:sz w:val="28"/>
          <w:szCs w:val="28"/>
        </w:rPr>
        <w:t xml:space="preserve">增加6.62</w:t>
      </w:r>
      <w:r>
        <w:rPr>
          <w:rFonts w:hint="eastAsia"/>
          <w:b w:val="0"/>
          <w:bCs w:val="0"/>
          <w:sz w:val="28"/>
          <w:szCs w:val="28"/>
        </w:rPr>
        <w:t xml:space="preserve">万元，</w:t>
      </w:r>
      <w:r>
        <w:rPr>
          <w:rFonts w:hint="eastAsia"/>
          <w:sz w:val="28"/>
          <w:szCs w:val="28"/>
        </w:rPr>
        <w:t xml:space="preserve">增长12.25%</w:t>
      </w:r>
      <w:r>
        <w:rPr>
          <w:rFonts w:hint="eastAsia"/>
          <w:b w:val="0"/>
          <w:bCs w:val="0"/>
          <w:sz w:val="28"/>
          <w:szCs w:val="28"/>
        </w:rPr>
        <w:t xml:space="preserve">，主要原因是</w:t>
      </w:r>
      <w:r>
        <w:rPr>
          <w:rFonts w:hint="eastAsia"/>
          <w:highlight w:val="none"/>
          <w:lang w:val="en-US" w:eastAsia="zh-CN"/>
        </w:rPr>
        <w:t xml:space="preserve">基础性绩效奖增加</w:t>
      </w:r>
      <w:r>
        <w:rPr>
          <w:rFonts w:hint="eastAsia"/>
          <w:b w:val="0"/>
          <w:bCs w:val="0"/>
          <w:sz w:val="28"/>
          <w:szCs w:val="28"/>
        </w:rPr>
        <w:t xml:space="preserve">。总支出较2023年度预算数</w:t>
      </w:r>
      <w:r>
        <w:rPr>
          <w:rFonts w:hint="eastAsia"/>
          <w:sz w:val="28"/>
          <w:szCs w:val="28"/>
          <w:lang w:val="en-US" w:eastAsia="zh-CN"/>
        </w:rPr>
        <w:t xml:space="preserve">54.06</w:t>
      </w:r>
      <w:r>
        <w:rPr>
          <w:rFonts w:hint="eastAsia"/>
          <w:b w:val="0"/>
          <w:bCs w:val="0"/>
          <w:sz w:val="28"/>
          <w:szCs w:val="28"/>
        </w:rPr>
        <w:t xml:space="preserve">万元，</w:t>
      </w:r>
      <w:r>
        <w:rPr>
          <w:rFonts w:hint="eastAsia"/>
          <w:sz w:val="28"/>
          <w:szCs w:val="28"/>
        </w:rPr>
        <w:t xml:space="preserve">增加6.62</w:t>
      </w:r>
      <w:r>
        <w:rPr>
          <w:rFonts w:hint="eastAsia"/>
          <w:b w:val="0"/>
          <w:bCs w:val="0"/>
          <w:sz w:val="28"/>
          <w:szCs w:val="28"/>
        </w:rPr>
        <w:t xml:space="preserve">万元，</w:t>
      </w:r>
      <w:r>
        <w:rPr>
          <w:rFonts w:hint="eastAsia"/>
          <w:sz w:val="28"/>
          <w:szCs w:val="28"/>
        </w:rPr>
        <w:t xml:space="preserve">增长12.25%</w:t>
      </w:r>
      <w:r>
        <w:rPr>
          <w:rFonts w:hint="eastAsia"/>
          <w:b w:val="0"/>
          <w:bCs w:val="0"/>
          <w:sz w:val="28"/>
          <w:szCs w:val="28"/>
        </w:rPr>
        <w:t xml:space="preserve">，主要原因是</w:t>
      </w:r>
      <w:r>
        <w:rPr>
          <w:rFonts w:hint="eastAsia"/>
          <w:highlight w:val="none"/>
          <w:lang w:val="en-US" w:eastAsia="zh-CN"/>
        </w:rPr>
        <w:t xml:space="preserve">基础性绩效奖增加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87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60.68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54.06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增加6.62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增长12.25%</w:t>
      </w:r>
      <w:r>
        <w:rPr>
          <w:rFonts w:ascii="宋体" w:eastAsia="宋体" w:hAnsi="宋体" w:cs="宋体" w:hint="eastAsia"/>
          <w:sz w:val="28"/>
          <w:szCs w:val="28"/>
          <w:u w:color="auto"/>
        </w:rPr>
        <w:t xml:space="preserve">，主要原因是</w:t>
      </w:r>
      <w:r>
        <w:rPr>
          <w:rFonts w:hint="eastAsia"/>
          <w:highlight w:val="none"/>
          <w:lang w:val="en-US" w:eastAsia="zh-CN"/>
        </w:rPr>
        <w:t xml:space="preserve">基础性绩效奖增加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87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60.68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54.06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增加6.62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增长12.25%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基础性绩效奖增加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一般公共服务支出、社会保障和就业支出、住房保障支出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51.50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84.87%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增长6.10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增长13.44%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基础性绩效奖增加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4.95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8.16%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基数调整后与2023年持平</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4.23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6.97%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增长14.02%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50.68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83.52%</w:t>
      </w:r>
      <w:r>
        <w:rPr>
          <w:rFonts w:ascii="宋体" w:eastAsia="宋体" w:hAnsi="宋体" w:cs="宋体"/>
          <w:sz w:val="28"/>
          <w:u w:color="auto"/>
        </w:rPr>
        <w:t xml:space="preserve">,比上年</w:t>
      </w:r>
      <w:r>
        <w:rPr>
          <w:rFonts w:ascii="宋体" w:eastAsia="宋体" w:hAnsi="宋体" w:cs="宋体"/>
          <w:sz w:val="28"/>
          <w:u w:color="auto"/>
        </w:rPr>
        <w:t xml:space="preserve">增长6.65</w:t>
      </w:r>
      <w:r>
        <w:rPr>
          <w:rFonts w:ascii="宋体" w:eastAsia="宋体" w:hAnsi="宋体" w:cs="宋体"/>
          <w:sz w:val="28"/>
          <w:u w:color="auto"/>
        </w:rPr>
        <w:t xml:space="preserve">万元，</w:t>
      </w:r>
      <w:r>
        <w:rPr>
          <w:rFonts w:ascii="宋体" w:eastAsia="宋体" w:hAnsi="宋体" w:cs="宋体"/>
          <w:sz w:val="28"/>
          <w:u w:color="auto"/>
        </w:rPr>
        <w:t xml:space="preserve">增长15.10%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46.30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91.36%</w:t>
      </w:r>
      <w:r>
        <w:rPr>
          <w:rFonts w:ascii="宋体" w:eastAsia="宋体" w:hAnsi="宋体" w:cs="宋体" w:hint="eastAsia"/>
          <w:sz w:val="28"/>
          <w:szCs w:val="28"/>
        </w:rPr>
        <w:t xml:space="preserve">,比上年</w:t>
      </w:r>
      <w:r>
        <w:rPr>
          <w:rFonts w:ascii="宋体" w:eastAsia="宋体" w:hAnsi="宋体" w:cs="宋体"/>
          <w:sz w:val="28"/>
          <w:u w:color="auto"/>
        </w:rPr>
        <w:t xml:space="preserve">增长6.84</w:t>
      </w:r>
      <w:r>
        <w:rPr>
          <w:rFonts w:ascii="宋体" w:eastAsia="宋体" w:hAnsi="宋体" w:cs="宋体"/>
          <w:sz w:val="28"/>
          <w:u w:color="auto"/>
        </w:rPr>
        <w:t xml:space="preserve">万元，</w:t>
      </w:r>
      <w:r>
        <w:rPr>
          <w:rFonts w:ascii="宋体" w:eastAsia="宋体" w:hAnsi="宋体" w:cs="宋体"/>
          <w:sz w:val="28"/>
          <w:u w:color="auto"/>
        </w:rPr>
        <w:t xml:space="preserve">增长17.33%</w:t>
      </w:r>
      <w:r>
        <w:rPr>
          <w:rFonts w:ascii="宋体" w:eastAsia="宋体" w:hAnsi="宋体" w:cs="宋体"/>
          <w:sz w:val="28"/>
          <w:u w:color="auto"/>
        </w:rPr>
        <w:t xml:space="preserve">,主要原因是：基础性绩效奖增加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4.38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8.64%</w:t>
      </w:r>
      <w:r>
        <w:rPr>
          <w:rFonts w:ascii="宋体" w:eastAsia="宋体" w:hAnsi="宋体" w:cs="宋体" w:hint="eastAsia"/>
          <w:sz w:val="28"/>
          <w:szCs w:val="28"/>
        </w:rPr>
        <w:t xml:space="preserve">,比上年</w:t>
      </w:r>
      <w:r>
        <w:rPr>
          <w:rFonts w:ascii="宋体" w:eastAsia="宋体" w:hAnsi="宋体" w:cs="宋体"/>
          <w:sz w:val="28"/>
          <w:u w:color="auto"/>
        </w:rPr>
        <w:t xml:space="preserve">减少0.19</w:t>
      </w:r>
      <w:r>
        <w:rPr>
          <w:rFonts w:ascii="宋体" w:eastAsia="宋体" w:hAnsi="宋体" w:cs="宋体"/>
          <w:sz w:val="28"/>
          <w:u w:color="auto"/>
        </w:rPr>
        <w:t xml:space="preserve">万元，</w:t>
      </w:r>
      <w:r>
        <w:rPr>
          <w:rFonts w:ascii="宋体" w:eastAsia="宋体" w:hAnsi="宋体" w:cs="宋体"/>
          <w:sz w:val="28"/>
          <w:u w:color="auto"/>
        </w:rPr>
        <w:t xml:space="preserve">减少4.16%</w:t>
      </w:r>
      <w:r>
        <w:rPr>
          <w:rFonts w:ascii="宋体" w:eastAsia="宋体" w:hAnsi="宋体" w:cs="宋体"/>
          <w:sz w:val="28"/>
          <w:u w:color="auto"/>
        </w:rPr>
        <w:t xml:space="preserve">,主要原因是：工会费支出减少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16.48%</w:t>
      </w:r>
      <w:r>
        <w:rPr>
          <w:rFonts w:ascii="宋体" w:eastAsia="宋体" w:hAnsi="宋体" w:cs="宋体" w:hint="eastAsia"/>
          <w:sz w:val="28"/>
          <w:szCs w:val="28"/>
        </w:rPr>
        <w:t xml:space="preserve">,比上年</w:t>
      </w:r>
      <w:r>
        <w:rPr>
          <w:rFonts w:ascii="宋体" w:eastAsia="宋体" w:hAnsi="宋体" w:cs="宋体"/>
          <w:sz w:val="28"/>
          <w:u w:color="auto"/>
        </w:rPr>
        <w:t xml:space="preserve">减少0.03</w:t>
      </w:r>
      <w:r>
        <w:rPr>
          <w:rFonts w:ascii="宋体" w:eastAsia="宋体" w:hAnsi="宋体" w:cs="宋体" w:hint="eastAsia"/>
          <w:sz w:val="28"/>
          <w:szCs w:val="28"/>
        </w:rPr>
        <w:t xml:space="preserve">万元，</w:t>
      </w:r>
      <w:r>
        <w:rPr>
          <w:rFonts w:ascii="宋体" w:eastAsia="宋体" w:hAnsi="宋体" w:cs="宋体"/>
          <w:sz w:val="28"/>
          <w:u w:color="auto"/>
        </w:rPr>
        <w:t xml:space="preserve">减少0.30%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减少0.03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减少0.30%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按要求减少其他运转类项目支出预算</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87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60.68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60.68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54.06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增长12.25%</w:t>
      </w:r>
      <w:r>
        <w:rPr>
          <w:rFonts w:ascii="宋体" w:eastAsia="宋体" w:hAnsi="宋体" w:cs="宋体" w:hint="eastAsia"/>
          <w:sz w:val="28"/>
          <w:szCs w:val="28"/>
        </w:rPr>
        <w:t xml:space="preserve">，主要原因是</w:t>
      </w:r>
      <w:r>
        <w:rPr>
          <w:rFonts w:hint="eastAsia"/>
          <w:highlight w:val="none"/>
          <w:lang w:val="en-US" w:eastAsia="zh-CN"/>
        </w:rPr>
        <w:t xml:space="preserve">基础性绩效奖增加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54.06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增长12.25%</w:t>
      </w:r>
      <w:r>
        <w:rPr>
          <w:rFonts w:ascii="宋体" w:eastAsia="宋体" w:hAnsi="宋体" w:cs="宋体" w:hint="eastAsia"/>
          <w:sz w:val="28"/>
          <w:szCs w:val="28"/>
        </w:rPr>
        <w:t xml:space="preserve">，主要原因是</w:t>
      </w:r>
      <w:r>
        <w:rPr>
          <w:rFonts w:hint="eastAsia"/>
          <w:highlight w:val="none"/>
          <w:lang w:val="en-US" w:eastAsia="zh-CN"/>
        </w:rPr>
        <w:t xml:space="preserve">基础性绩效奖增加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87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60.68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54.06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增长12.25%</w:t>
      </w:r>
      <w:r>
        <w:rPr>
          <w:rFonts w:ascii="宋体" w:eastAsia="宋体" w:hAnsi="宋体" w:cs="宋体" w:hint="eastAsia"/>
          <w:sz w:val="28"/>
          <w:szCs w:val="28"/>
        </w:rPr>
        <w:t xml:space="preserve">，主要原因是</w:t>
      </w:r>
      <w:r>
        <w:rPr>
          <w:rFonts w:hint="eastAsia"/>
          <w:highlight w:val="none"/>
          <w:lang w:val="en-US" w:eastAsia="zh-CN"/>
        </w:rPr>
        <w:t xml:space="preserve">基础性绩效奖增加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51.50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45.40</w:t>
      </w:r>
      <w:r>
        <w:rPr>
          <w:rFonts w:ascii="宋体" w:eastAsia="宋体" w:hAnsi="宋体" w:cs="宋体" w:hint="eastAsia"/>
          <w:sz w:val="28"/>
          <w:szCs w:val="28"/>
        </w:rPr>
        <w:t xml:space="preserve">万元，</w:t>
      </w:r>
      <w:r>
        <w:rPr>
          <w:rFonts w:ascii="宋体" w:eastAsia="宋体" w:hAnsi="宋体" w:cs="宋体"/>
          <w:sz w:val="28"/>
          <w:u w:color="auto"/>
        </w:rPr>
        <w:t xml:space="preserve">增长6.10</w:t>
      </w:r>
      <w:r>
        <w:rPr>
          <w:rFonts w:ascii="宋体" w:eastAsia="宋体" w:hAnsi="宋体" w:cs="宋体" w:hint="eastAsia"/>
          <w:sz w:val="28"/>
          <w:szCs w:val="28"/>
        </w:rPr>
        <w:t xml:space="preserve">万元，</w:t>
      </w:r>
      <w:r>
        <w:rPr>
          <w:rFonts w:ascii="宋体" w:eastAsia="宋体" w:hAnsi="宋体" w:cs="宋体"/>
          <w:sz w:val="28"/>
          <w:u w:color="auto"/>
        </w:rPr>
        <w:t xml:space="preserve">增长13.44%</w:t>
      </w:r>
      <w:r>
        <w:rPr>
          <w:rFonts w:ascii="宋体" w:eastAsia="宋体" w:hAnsi="宋体" w:cs="宋体" w:hint="eastAsia"/>
          <w:sz w:val="28"/>
          <w:szCs w:val="28"/>
        </w:rPr>
        <w:t xml:space="preserve">，主要原因是：</w:t>
      </w:r>
      <w:r>
        <w:rPr>
          <w:rFonts w:hint="eastAsia"/>
          <w:highlight w:val="none"/>
        </w:rPr>
        <w:t xml:space="preserve">基础性绩效奖增加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3.71</w:t>
      </w:r>
      <w:r>
        <w:rPr>
          <w:rFonts w:ascii="宋体" w:eastAsia="宋体" w:hAnsi="宋体" w:cs="宋体" w:hint="eastAsia"/>
          <w:sz w:val="28"/>
          <w:szCs w:val="28"/>
        </w:rPr>
        <w:t xml:space="preserve">万元，</w:t>
      </w:r>
      <w:r>
        <w:rPr>
          <w:rFonts w:ascii="宋体" w:eastAsia="宋体" w:hAnsi="宋体" w:cs="宋体"/>
          <w:sz w:val="28"/>
          <w:u w:color="auto"/>
        </w:rPr>
        <w:t xml:space="preserve">增长0.52</w:t>
      </w:r>
      <w:r>
        <w:rPr>
          <w:rFonts w:ascii="宋体" w:eastAsia="宋体" w:hAnsi="宋体" w:cs="宋体" w:hint="eastAsia"/>
          <w:sz w:val="28"/>
          <w:szCs w:val="28"/>
        </w:rPr>
        <w:t xml:space="preserve">万元，</w:t>
      </w:r>
      <w:r>
        <w:rPr>
          <w:rFonts w:ascii="宋体" w:eastAsia="宋体" w:hAnsi="宋体" w:cs="宋体"/>
          <w:sz w:val="28"/>
          <w:u w:color="auto"/>
        </w:rPr>
        <w:t xml:space="preserve">增长14.02%</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4.95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4.95</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，主要原因是：</w:t>
      </w:r>
      <w:r>
        <w:rPr>
          <w:rFonts w:hint="eastAsia"/>
          <w:highlight w:val="none"/>
        </w:rPr>
        <w:t xml:space="preserve">基数调整后与2023年持平</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87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50.68</w:t>
      </w:r>
      <w:r>
        <w:rPr>
          <w:rFonts w:hint="eastAsia"/>
        </w:rPr>
        <w:t xml:space="preserve">万元，较2023年度预算数</w:t>
      </w:r>
      <w:r>
        <w:rPr>
          <w:rFonts w:hint="eastAsia"/>
          <w:lang w:val="en-US" w:eastAsia="zh-CN"/>
        </w:rPr>
        <w:t xml:space="preserve">44.03</w:t>
      </w:r>
      <w:r>
        <w:rPr>
          <w:rFonts w:hint="eastAsia"/>
        </w:rPr>
        <w:t xml:space="preserve">万元</w:t>
      </w:r>
      <w:r>
        <w:rPr>
          <w:rFonts w:hint="eastAsia"/>
          <w:lang w:val="en-US" w:eastAsia="zh-CN"/>
        </w:rPr>
        <w:t xml:space="preserve">,</w:t>
      </w:r>
      <w:r>
        <w:rPr>
          <w:u w:color="auto"/>
        </w:rPr>
        <w:t xml:space="preserve">增加6.65</w:t>
      </w:r>
      <w:r>
        <w:rPr>
          <w:rFonts w:hint="eastAsia"/>
        </w:rPr>
        <w:t xml:space="preserve">万元，</w:t>
      </w:r>
      <w:r>
        <w:rPr>
          <w:rFonts w:hint="eastAsia"/>
          <w:lang w:val="en-US" w:eastAsia="zh-CN"/>
        </w:rPr>
        <w:t xml:space="preserve">增长15.10%</w:t>
      </w:r>
      <w:r>
        <w:rPr>
          <w:rFonts w:hint="eastAsia"/>
        </w:rPr>
        <w:t xml:space="preserve">，主要原因是</w:t>
      </w:r>
      <w:r>
        <w:rPr>
          <w:rFonts w:hint="eastAsia"/>
          <w:highlight w:val="none"/>
          <w:lang w:val="en-US" w:eastAsia="zh-CN"/>
        </w:rPr>
        <w:t xml:space="preserve">基础性绩效奖增加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46.30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91.36%</w:t>
      </w:r>
      <w:r>
        <w:rPr>
          <w:rFonts w:hint="eastAsia"/>
        </w:rPr>
        <w:t xml:space="preserve">，较2023年度预算数</w:t>
      </w:r>
      <w:r>
        <w:rPr>
          <w:rFonts w:hint="eastAsia"/>
          <w:lang w:val="en-US" w:eastAsia="zh-CN"/>
        </w:rPr>
        <w:t xml:space="preserve">39.46</w:t>
      </w:r>
      <w:r>
        <w:rPr>
          <w:rFonts w:hint="eastAsia"/>
        </w:rPr>
        <w:t xml:space="preserve">万元，</w:t>
      </w:r>
      <w:r>
        <w:rPr>
          <w:rFonts w:hint="eastAsia"/>
          <w:lang w:val="en-US" w:eastAsia="zh-CN"/>
        </w:rPr>
        <w:t xml:space="preserve">增长6.84</w:t>
      </w:r>
      <w:r>
        <w:rPr>
          <w:rFonts w:hint="eastAsia"/>
        </w:rPr>
        <w:t xml:space="preserve">万元，</w:t>
      </w:r>
      <w:r>
        <w:rPr>
          <w:rFonts w:hint="eastAsia"/>
          <w:lang w:val="en-US" w:eastAsia="zh-CN"/>
        </w:rPr>
        <w:t xml:space="preserve">增长17.33%</w:t>
      </w:r>
      <w:r>
        <w:rPr>
          <w:rFonts w:hint="eastAsia"/>
        </w:rPr>
        <w:t xml:space="preserve">，主要原因是：</w:t>
      </w:r>
      <w:r>
        <w:rPr>
          <w:rFonts w:hint="eastAsia"/>
          <w:highlight w:val="none"/>
        </w:rPr>
        <w:t xml:space="preserve">基础性绩效奖增加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4.38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8.64%</w:t>
      </w:r>
      <w:r>
        <w:rPr>
          <w:rFonts w:hint="eastAsia"/>
        </w:rPr>
        <w:t xml:space="preserve">，较2023年度预算数</w:t>
      </w:r>
      <w:r>
        <w:rPr>
          <w:rFonts w:hint="eastAsia"/>
          <w:lang w:val="en-US" w:eastAsia="zh-CN"/>
        </w:rPr>
        <w:t xml:space="preserve">4.57</w:t>
      </w:r>
      <w:r>
        <w:rPr>
          <w:rFonts w:hint="eastAsia"/>
        </w:rPr>
        <w:t xml:space="preserve">万元，</w:t>
      </w:r>
      <w:r>
        <w:rPr>
          <w:rFonts w:hint="eastAsia"/>
          <w:lang w:val="en-US" w:eastAsia="zh-CN"/>
        </w:rPr>
        <w:t xml:space="preserve">减少0.19</w:t>
      </w:r>
      <w:r>
        <w:rPr>
          <w:rFonts w:hint="eastAsia"/>
        </w:rPr>
        <w:t xml:space="preserve">万元，</w:t>
      </w:r>
      <w:r>
        <w:rPr>
          <w:rFonts w:hint="eastAsia"/>
          <w:lang w:val="en-US" w:eastAsia="zh-CN"/>
        </w:rPr>
        <w:t xml:space="preserve">减少4.16%</w:t>
      </w:r>
      <w:r>
        <w:rPr>
          <w:rFonts w:hint="eastAsia"/>
        </w:rPr>
        <w:t xml:space="preserve">，主要原因是：</w:t>
      </w:r>
      <w:r>
        <w:rPr>
          <w:rFonts w:hint="eastAsia"/>
          <w:highlight w:val="none"/>
        </w:rPr>
        <w:t xml:space="preserve">工会费支出减少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7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我单位2024年无因公出国（境）活动安排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我单位2024年无公务接待活动任务</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公车改革后，我单位不再保留有公车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公车改革后，我单位不再保留有公车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我单位2024年部门预算无政府性基金预算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4.38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4.57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下降4.16%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工会费支出减少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主要用于：我单位2024年部门预算无政府采购预算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名称：工商联机关参政议政调研费，预算资金10000元，2024年度绩效目标为：通过提供参政议政，保障工商业人士参与国家方针、政策、法律、法令执行情况的知晓度。设1条数量指标：完成参政议政调研活动任务大于或等于1次；设1条质量指标：经费支出合格率大于或等于98%；设1条时效指标：调研活动完成时间（2024年12月底前）；设1条成本指标：调研总成本小于或等于10000元；设一条社会效益指标：通过调研，提高委员参政议政的自觉性；设1条满意度指标：参与活动对象满意度大于或等于98%。</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环江毛南族自治县工商业联合会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环江毛南族自治县工商业联合会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60.68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51.50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60.68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60.68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60.68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60.68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60.68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环江毛南族自治县工商业联合会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130001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环江毛南族自治县工商业联合会</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60.68</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60.68</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60.68</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环江毛南族自治县工商业联合会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60.68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60.68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2012801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34.74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25.74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2012804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参政议政</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4.95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环江毛南族自治县工商业联合会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60.68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51.50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60.68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60.68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60.68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60.68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60.68</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环江毛南族自治县工商业联合会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130001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60.68</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50.68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46.30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4.38</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2012301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15.33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15.33</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15.33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2012801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34.74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25.74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21.79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3.95</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2012804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参政议政</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0.44</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0.44</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0.44</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4.95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4.95</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4.95</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4.23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4.23</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4.23</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环江毛南族自治县工商业联合会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50.68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12.85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12.85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7.87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7.87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10.56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4.95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4.95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印刷费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0.51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会议费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培训费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委托业务费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环江毛南族自治县工商业联合会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130001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环江毛南族自治县工商业联合会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环江毛南族自治县工商业联合会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环江毛南族自治县工商业联合会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环江毛南族自治县工商业联合会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工商联商务活动费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开展工商联商务活动，提升工商联社会作用。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环江毛南族自治县工商业联合会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通过召开党支部组织生活会，提高党员同志们的归属感</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环江毛南族自治县工商业联合会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五好工商联建设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2.88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在规定时间内完成五好工商联建设任务</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环江毛南族自治县工商业联合会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工商联机关参政议政调研费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开展参政议政调研活动。为工商联工作建言献策</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环江毛南族自治县工商业联合会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乡镇商会建设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通过乡镇商会建设，发挥乡镇商会的作用。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环江毛南族自治县工商业联合会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工商联执委会会议费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通过召开工商联执委会会议更好的开展工商联工作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环江毛南族自治县工商业联合会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工商联常委会会议费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通过开展工商联常委会会议为工商联工作建言献策</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98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87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98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87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98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88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98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88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98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99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7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98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7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98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4eZP5rq/Pytw2LtxBqJ2Pw==" w:hash="e9qbw/VDU/jrKReF4YyXm8zu0hjciF0nvBlRS4Vk7+WgJPktHE3I1g4mNMkgrhzk+0rotE0nyD2YnSEmXaGVT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60.68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51.5</c:v>
                </c:pt>
                <c:pt idx="1">
                  <c:v>4.95</c:v>
                </c:pt>
                <c:pt idx="2">
                  <c:v>4.23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54.06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60.68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50.68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4.38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46.3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46.3</c:v>
                </c:pt>
                <c:pt idx="1">
                  <c:v>4.38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2024-03-02T01:03:12Z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